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ind w:left="4867"/>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7"/>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120015</wp:posOffset>
            </wp:positionV>
            <wp:extent cx="1414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70"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1"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1"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322"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61" w:lineRule="exact"/>
        <w:rPr>
          <w:sz w:val="24"/>
          <w:szCs w:val="24"/>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20" w:h="16838" w:orient="portrait"/>
          <w:cols w:equalWidth="0" w:num="1">
            <w:col w:w="11247"/>
          </w:cols>
          <w:pgMar w:left="333" w:top="1440" w:right="338" w:bottom="1440" w:gutter="0" w:footer="0" w:header="0"/>
        </w:sectPr>
      </w:pPr>
    </w:p>
    <w:p>
      <w:pPr>
        <w:spacing w:after="0" w:line="269" w:lineRule="exact"/>
        <w:rPr>
          <w:sz w:val="24"/>
          <w:szCs w:val="24"/>
          <w:color w:val="auto"/>
        </w:rPr>
      </w:pPr>
    </w:p>
    <w:p>
      <w:pPr>
        <w:ind w:left="2527"/>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001-39888</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84-2224323</w:t>
      </w:r>
    </w:p>
    <w:p>
      <w:pPr>
        <w:spacing w:after="0" w:line="52" w:lineRule="exact"/>
        <w:rPr>
          <w:sz w:val="24"/>
          <w:szCs w:val="24"/>
          <w:color w:val="auto"/>
        </w:rPr>
      </w:pPr>
    </w:p>
    <w:p>
      <w:pPr>
        <w:sectPr>
          <w:pgSz w:w="11920" w:h="16838" w:orient="portrait"/>
          <w:cols w:equalWidth="0" w:num="3">
            <w:col w:w="4567" w:space="720"/>
            <w:col w:w="2080" w:space="720"/>
            <w:col w:w="3160"/>
          </w:cols>
          <w:pgMar w:left="333" w:top="1440" w:right="338" w:bottom="1440" w:gutter="0" w:footer="0" w:header="0"/>
          <w:type w:val="continuous"/>
        </w:sectPr>
      </w:pPr>
    </w:p>
    <w:p>
      <w:pPr>
        <w:jc w:val="center"/>
        <w:ind w:left="1047"/>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7" w:lineRule="exact"/>
        <w:rPr>
          <w:sz w:val="24"/>
          <w:szCs w:val="24"/>
          <w:color w:val="auto"/>
        </w:rPr>
      </w:pPr>
    </w:p>
    <w:p>
      <w:pPr>
        <w:jc w:val="center"/>
        <w:ind w:left="1047"/>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4"/>
          <w:szCs w:val="14"/>
          <w:color w:val="auto"/>
        </w:rPr>
        <w:t>(IRS Employer</w:t>
      </w:r>
    </w:p>
    <w:p>
      <w:pPr>
        <w:spacing w:after="0" w:line="2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20" w:h="16838" w:orient="portrait"/>
          <w:cols w:equalWidth="0" w:num="3">
            <w:col w:w="4527" w:space="720"/>
            <w:col w:w="1980" w:space="720"/>
            <w:col w:w="3300"/>
          </w:cols>
          <w:pgMar w:left="333" w:top="1440" w:right="338" w:bottom="1440" w:gutter="0" w:footer="0" w:header="0"/>
          <w:type w:val="continuous"/>
        </w:sectPr>
      </w:pPr>
    </w:p>
    <w:p>
      <w:pPr>
        <w:spacing w:after="0" w:line="241" w:lineRule="exact"/>
        <w:rPr>
          <w:sz w:val="24"/>
          <w:szCs w:val="24"/>
          <w:color w:val="auto"/>
        </w:rPr>
      </w:pPr>
    </w:p>
    <w:p>
      <w:pPr>
        <w:ind w:left="3787"/>
        <w:spacing w:after="0"/>
        <w:rPr>
          <w:sz w:val="20"/>
          <w:szCs w:val="20"/>
          <w:color w:val="auto"/>
        </w:rPr>
      </w:pPr>
      <w:r>
        <w:rPr>
          <w:rFonts w:ascii="Times New Roman" w:cs="Times New Roman" w:eastAsia="Times New Roman" w:hAnsi="Times New Roman"/>
          <w:sz w:val="16"/>
          <w:szCs w:val="16"/>
          <w:b w:val="1"/>
          <w:bCs w:val="1"/>
          <w:color w:val="auto"/>
        </w:rPr>
        <w:t>650 California Street</w:t>
      </w:r>
    </w:p>
    <w:p>
      <w:pPr>
        <w:sectPr>
          <w:pgSz w:w="11920" w:h="16838" w:orient="portrait"/>
          <w:cols w:equalWidth="0" w:num="1">
            <w:col w:w="11247"/>
          </w:cols>
          <w:pgMar w:left="333" w:top="1440" w:right="338" w:bottom="1440" w:gutter="0" w:footer="0" w:header="0"/>
          <w:type w:val="continuous"/>
        </w:sectPr>
      </w:pPr>
    </w:p>
    <w:p>
      <w:pPr>
        <w:spacing w:after="0" w:line="86" w:lineRule="exact"/>
        <w:rPr>
          <w:sz w:val="24"/>
          <w:szCs w:val="24"/>
          <w:color w:val="auto"/>
        </w:rPr>
      </w:pPr>
    </w:p>
    <w:p>
      <w:pPr>
        <w:ind w:left="3627"/>
        <w:spacing w:after="0"/>
        <w:rPr>
          <w:sz w:val="20"/>
          <w:szCs w:val="20"/>
          <w:color w:val="auto"/>
        </w:rPr>
      </w:pPr>
      <w:r>
        <w:rPr>
          <w:rFonts w:ascii="Times New Roman" w:cs="Times New Roman" w:eastAsia="Times New Roman" w:hAnsi="Times New Roman"/>
          <w:sz w:val="16"/>
          <w:szCs w:val="16"/>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94108</w:t>
      </w:r>
    </w:p>
    <w:p>
      <w:pPr>
        <w:spacing w:after="0" w:line="106" w:lineRule="exact"/>
        <w:rPr>
          <w:sz w:val="24"/>
          <w:szCs w:val="24"/>
          <w:color w:val="auto"/>
        </w:rPr>
      </w:pPr>
    </w:p>
    <w:p>
      <w:pPr>
        <w:sectPr>
          <w:pgSz w:w="11920" w:h="16838" w:orient="portrait"/>
          <w:cols w:equalWidth="0" w:num="2">
            <w:col w:w="6767" w:space="720"/>
            <w:col w:w="3760"/>
          </w:cols>
          <w:pgMar w:left="333" w:top="1440" w:right="338" w:bottom="1440" w:gutter="0" w:footer="0" w:header="0"/>
          <w:type w:val="continuous"/>
        </w:sectPr>
      </w:pPr>
    </w:p>
    <w:p>
      <w:pPr>
        <w:ind w:left="3367"/>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20" w:h="16838" w:orient="portrait"/>
          <w:cols w:equalWidth="0" w:num="2">
            <w:col w:w="6647" w:space="720"/>
            <w:col w:w="3880"/>
          </w:cols>
          <w:pgMar w:left="333" w:top="1440" w:right="338" w:bottom="1440" w:gutter="0" w:footer="0" w:header="0"/>
          <w:type w:val="continuous"/>
        </w:sectPr>
      </w:pPr>
    </w:p>
    <w:p>
      <w:pPr>
        <w:spacing w:after="0" w:line="17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(415) 960-1518</w:t>
      </w:r>
    </w:p>
    <w:p>
      <w:pPr>
        <w:spacing w:after="0" w:line="2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21"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35"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327" w:hanging="327"/>
        <w:spacing w:after="0"/>
        <w:tabs>
          <w:tab w:leader="none" w:pos="32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07" w:hanging="307"/>
        <w:spacing w:after="0"/>
        <w:tabs>
          <w:tab w:leader="none" w:pos="30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07" w:hanging="307"/>
        <w:spacing w:after="0"/>
        <w:tabs>
          <w:tab w:leader="none" w:pos="30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7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497" w:type="dxa"/>
        <w:tblCellMar>
          <w:top w:w="0" w:type="dxa"/>
          <w:left w:w="0" w:type="dxa"/>
          <w:bottom w:w="0" w:type="dxa"/>
          <w:right w:w="0" w:type="dxa"/>
        </w:tblCellMar>
      </w:tblPr>
      <w:tr>
        <w:trPr>
          <w:trHeight w:val="23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Trading symbol(s)</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Name of exchange on which registered</w:t>
            </w:r>
          </w:p>
        </w:tc>
      </w:tr>
      <w:tr>
        <w:trPr>
          <w:trHeight w:val="33"/>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0"/>
        </w:trPr>
        <w:tc>
          <w:tcPr>
            <w:tcW w:w="4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12529"/>
              </w:rPr>
              <w:t>Class A common stock, $0.00001 par value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12529"/>
              </w:rPr>
              <w:t>AFRM</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12529"/>
              </w:rPr>
              <w:t>Nasdaq Global Select Market</w:t>
            </w:r>
          </w:p>
        </w:tc>
      </w:tr>
    </w:tbl>
    <w:p>
      <w:pPr>
        <w:spacing w:after="0" w:line="94" w:lineRule="exact"/>
        <w:rPr>
          <w:sz w:val="24"/>
          <w:szCs w:val="24"/>
          <w:color w:val="auto"/>
        </w:rPr>
      </w:pPr>
    </w:p>
    <w:p>
      <w:pPr>
        <w:ind w:left="7" w:right="10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47"/>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7"/>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866775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440" w:right="338"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18, 2026, Affirm Holdings, Inc. (the “Company”), a Nevada corporation, and Affirm, Inc. (the “Borrower”), a Delaware corporation and wholly-owned subsidiary of the Company, as borrower, entered into Amendment No. 4 to the Revolving Credit Agreement (the “Amended Credit Agreement”) with the lenders party thereto and Barclays Bank PLC, as administrative agent (the “Lenders”) and the other parties party thereto. Under the Amended Credit Agreement, the aggregate commitment increased from $330 million to $675 million, and the maturity was extended two years to June 18, 2029, provided that, if on any day occurring on or after the 91st day before the maturity of the Company’s outstanding 0% convertible notes due 2026 (the “2026 Notes”), the aggregate outstanding principal amount of the 2026 Notes shall be greater than or equal to the greater of (i) $150 million and (ii) the Company’s liquidity level, the Amended Credit Agreement shall mature on such date. The Amended Credit Agreement amends the Revolving Credit Agreement, dated February 4, 2022 (as also amended on August 15, 2022, June 26, 2024 and December 16, 2024, the “Credit Agreement”). At closing, no amounts were outstanding under the Credit Agreement.</w:t>
      </w:r>
    </w:p>
    <w:p>
      <w:pPr>
        <w:spacing w:after="0" w:line="2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Proceeds of the borrowings under the Amended Credit Agreement will be used for general corporate purposes in the ordinary course of business. Borrowings under the Amended Credit Agreement are unsecured and will bear interest at a rate equal to, at the Borrower’s option, either (a) a SOFR rate determined by reference to the forward-looking term SOFR rate for the interest period, plus an applicable margin of 1.50% per annum or (b) a base rate determined by reference to the highest of (i) the federal funds rate plus 0.50% per annum, (ii) the rate last quoted by the Wall Street Journal as the US prime rate and (iii) the one-month forward-looking term SOFR rate plus 1.0% per annum, in each case, plus an applicable margin of 0.50% per annum. In addition, the Amended Credit Agreement requires the Borrower to pay a commitment fee of 0.15% per annum in respect of the unused commitments under the Credit Agreement.</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obligations of the Borrower under the Amended Credit Agreement are presently guaranteed by the Company and certain domestic subsidiaries of the Borrower and are required to be guaranteed in the future by certain additional domestic subsidiaries of the Company.</w:t>
      </w:r>
    </w:p>
    <w:p>
      <w:pPr>
        <w:ind w:right="20"/>
        <w:spacing w:after="0" w:line="271" w:lineRule="auto"/>
        <w:rPr>
          <w:sz w:val="20"/>
          <w:szCs w:val="20"/>
          <w:color w:val="auto"/>
        </w:rPr>
      </w:pPr>
      <w:r>
        <w:rPr>
          <w:rFonts w:ascii="Times New Roman" w:cs="Times New Roman" w:eastAsia="Times New Roman" w:hAnsi="Times New Roman"/>
          <w:sz w:val="17"/>
          <w:szCs w:val="17"/>
          <w:color w:val="auto"/>
        </w:rPr>
        <w:t>The Amended Credit Agreement contains events of default if either the cumulative default ratio for a given period or the 3-month rolling average delinquent receivable ratio referred to therein exceeds certain thresholds, and other customary events of default, including in the event of a change of control. The Amended Credit Agreement also contains certain covenants and restrictions that limit the Company and its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w:t>
      </w:r>
    </w:p>
    <w:p>
      <w:pPr>
        <w:spacing w:after="0" w:line="20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Amended Credit Agreement also contains certain financial maintenance covenants which require the Company and its subsidiaries to not exceed a specified leverage ratio and to maintain a minimum level of tangible net worth, in each case, as of the last day of each fiscal quarter.</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Company or Borrower fail to perform their respective obligations under these and other covenants (after giving effect to any applicable grace period specified in the Amended Credit Agreement), or should any event of default occur, the revolving loan commitments under the Amended Credit Agreement may be terminated and any outstanding borrowings, together with accrued interest, under the Amended Credit Agreement could be declared immediately due and payable.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Amended Credit Agreement and does not purport to be complete, and it is subject to and qualified in its entirety by reference to the full text of the Amended Credit Agreement, which is attached as Exhibit 10.1 to this Current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233045</wp:posOffset>
            </wp:positionV>
            <wp:extent cx="71831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5" w:right="318" w:bottom="1440" w:gutter="0" w:footer="0" w:header="0"/>
        </w:sectPr>
      </w:pPr>
    </w:p>
    <w:bookmarkStart w:id="2" w:name="page3"/>
    <w:bookmarkEnd w:id="2"/>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June 24, 2026, the Board of Directors (the “Board”) of the Company increased the size of the Board from nine directors to ten directors and appointed Ryan Schneider to the Board as a Class III director, each effective July 1, 2026. In addition, Mr. Schneider was appointed as a member of the Audit Committee and Nominating and Governance Committee of the Board.</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Mr. Schneider was the Chief Executive Officer for Anywhere Real Estate, a global leader in residential real estate franchising and brokerage, from 2018 to 2026. Prior to Anywhere Real Estate, he served as President, Card Business for Capital One Financial Corporation from 2007 to 2016, where he was responsible for U.S., U.K., and Canada credit card businesses, and also served as senior advisor from 2016 to 2017. Mr. Schneider previously served as a partner at McKinsey and Company with a focus on financial services clients. Mr. Schneider currently serves on the board of directors of Elevance Health, where he chairs the Audit Committee. He previously served on the board of directors of Anywhere Real Estate from 2017 to 2026 and Capital One Bank (USA) N.A. from 2008 to 2016.</w:t>
      </w:r>
    </w:p>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Mr. Schneider was selected to serve on the Company’s Board due to his extensive executive leadership, his finance, marketing and consumer insights and technology experience, and his public company board of directors service.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his service on the Company’s Board, Mr. Schneider will participate in the Company’s compensation program for non-employee directors, pursuant to which he will receive (i) a grant of restricted stock units (“RSUs”) with an aggregate value of $260,000, vesting annually over three years and subject to his continued service as a director, (ii) an annual grant of RSUs with an aggregate value of $260,000, vesting upon the earlier of (x) the date of the Company’s next annual meeting of its stockholders or (y) the first anniversary of the date of grant, and (iii) a $55,000 annual cash retainer (which he may elect to receive in RSUs rather than in cash). He is also entitled to a cash retainer in connection with his service on Board committees.</w:t>
      </w:r>
    </w:p>
    <w:p>
      <w:pPr>
        <w:spacing w:after="0" w:line="21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connection with his appointment as a director, Mr. Schneider will enter into an indemnity agreement with the Company, a form of which was filed as an exhibit to the Company’s Annual Report on Form 10-K for the fiscal year ended June 30, 2025 filed with the Securities and Exchange Commission on August 28, 2025. Other than the foregoing, there are no arrangements or understandings between Mr. Schneider or any other persons pursuant to which Mr. Schneider was selected as a director, and there are no other transactions involving Mr. Schneider requiring disclosure under Item 404(a)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 Composition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July 1, 2026, the Board’s committees will be composed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Audit Committee</w:t>
            </w:r>
          </w:p>
        </w:tc>
        <w:tc>
          <w:tcPr>
            <w:tcW w:w="1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 Committee</w:t>
            </w:r>
          </w:p>
        </w:tc>
        <w:tc>
          <w:tcPr>
            <w:tcW w:w="14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Nominating and Governance Committee</w:t>
            </w:r>
          </w:p>
        </w:tc>
      </w:tr>
      <w:tr>
        <w:trPr>
          <w:trHeight w:val="27"/>
        </w:trPr>
        <w:tc>
          <w:tcPr>
            <w:tcW w:w="3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Noel Watson (Chair)</w:t>
            </w:r>
          </w:p>
        </w:tc>
        <w:tc>
          <w:tcPr>
            <w:tcW w:w="1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Jeremy Liew (Chair)</w:t>
            </w:r>
          </w:p>
        </w:tc>
        <w:tc>
          <w:tcPr>
            <w:tcW w:w="14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Christa S. Quarles (Chair)</w:t>
            </w:r>
          </w:p>
        </w:tc>
      </w:tr>
      <w:tr>
        <w:trPr>
          <w:trHeight w:val="27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D. Hughes</w:t>
            </w: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Galanti</w:t>
            </w:r>
          </w:p>
        </w:tc>
        <w:tc>
          <w:tcPr>
            <w:tcW w:w="14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Galanti</w:t>
            </w:r>
          </w:p>
        </w:tc>
      </w:tr>
      <w:tr>
        <w:trPr>
          <w:trHeight w:val="27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Manolo Sánchez</w:t>
            </w: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Brian D. Hughes</w:t>
            </w:r>
          </w:p>
        </w:tc>
        <w:tc>
          <w:tcPr>
            <w:tcW w:w="14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Jeremy Liew</w:t>
            </w:r>
          </w:p>
        </w:tc>
      </w:tr>
      <w:tr>
        <w:trPr>
          <w:trHeight w:val="27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Ryan Schneider</w:t>
            </w: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Christa S. Quarles</w:t>
            </w:r>
          </w:p>
        </w:tc>
        <w:tc>
          <w:tcPr>
            <w:tcW w:w="14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Ryan Schneider</w:t>
            </w:r>
          </w:p>
        </w:tc>
      </w:tr>
      <w:tr>
        <w:trPr>
          <w:trHeight w:val="270"/>
        </w:trPr>
        <w:tc>
          <w:tcPr>
            <w:tcW w:w="3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Manolo Sánchez</w:t>
            </w:r>
          </w:p>
        </w:tc>
        <w:tc>
          <w:tcPr>
            <w:tcW w:w="140" w:type="dxa"/>
            <w:vAlign w:val="bottom"/>
          </w:tcPr>
          <w:p>
            <w:pPr>
              <w:spacing w:after="0"/>
              <w:rPr>
                <w:sz w:val="23"/>
                <w:szCs w:val="23"/>
                <w:color w:val="auto"/>
              </w:rPr>
            </w:pPr>
          </w:p>
        </w:tc>
        <w:tc>
          <w:tcPr>
            <w:tcW w:w="3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233045</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395" w:right="378"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ind w:left="900" w:hanging="25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540" w:type="dxa"/>
            <w:vAlign w:val="bottom"/>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60" w:type="dxa"/>
            <w:vAlign w:val="bottom"/>
            <w:gridSpan w:val="2"/>
          </w:tcPr>
          <w:p>
            <w:pPr>
              <w:spacing w:after="0"/>
              <w:rPr>
                <w:sz w:val="13"/>
                <w:szCs w:val="13"/>
                <w:color w:val="auto"/>
              </w:rPr>
            </w:pPr>
          </w:p>
        </w:tc>
      </w:t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spacing w:after="0"/>
              <w:rPr>
                <w:sz w:val="20"/>
                <w:szCs w:val="20"/>
                <w:color w:val="auto"/>
              </w:rPr>
            </w:pPr>
          </w:p>
        </w:tc>
        <w:tc>
          <w:tcPr>
            <w:tcW w:w="8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Amendment No. 4 to Revolving Credit Agreement, dated June 18, 2026, between Affirm, Inc., Affirm Holdings, Inc., certain</w:t>
            </w:r>
          </w:p>
        </w:tc>
      </w:tr>
      <w:tr>
        <w:trPr>
          <w:trHeight w:val="183"/>
        </w:trPr>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9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lenders identified therein, and Barclays Bank PLC.</w:t>
            </w:r>
            <w:r>
              <w:rPr>
                <w:rFonts w:ascii="Times New Roman" w:cs="Times New Roman" w:eastAsia="Times New Roman" w:hAnsi="Times New Roman"/>
                <w:sz w:val="18"/>
                <w:szCs w:val="18"/>
                <w:color w:val="000000"/>
              </w:rPr>
              <w:t>*</w:t>
            </w:r>
          </w:p>
        </w:tc>
      </w:tr>
      <w:tr>
        <w:trPr>
          <w:trHeight w:val="20"/>
        </w:trPr>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58"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224155</wp:posOffset>
            </wp:positionV>
            <wp:extent cx="71831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395" w:right="338"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37" w:lineRule="exact"/>
        <w:rPr>
          <w:sz w:val="20"/>
          <w:szCs w:val="20"/>
          <w:color w:val="auto"/>
        </w:rPr>
      </w:pPr>
    </w:p>
    <w:p>
      <w:pPr>
        <w:ind w:left="690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34290</wp:posOffset>
            </wp:positionV>
            <wp:extent cx="2434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Rob O'Hare</w:t>
      </w:r>
    </w:p>
    <w:p>
      <w:pPr>
        <w:spacing w:after="0" w:line="6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w:t>
      </w:r>
    </w:p>
    <w:p>
      <w:pPr>
        <w:sectPr>
          <w:pgSz w:w="11920" w:h="16838" w:orient="portrait"/>
          <w:cols w:equalWidth="0" w:num="1">
            <w:col w:w="10900"/>
          </w:cols>
          <w:pgMar w:left="340" w:top="1422" w:right="678" w:bottom="1440" w:gutter="0" w:footer="0" w:header="0"/>
        </w:sectPr>
      </w:pPr>
    </w:p>
    <w:bookmarkStart w:id="5" w:name="page6"/>
    <w:bookmarkEnd w:id="5"/>
    <w:p>
      <w:pPr>
        <w:ind w:left="1034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312" w:lineRule="auto"/>
        <w:rPr>
          <w:sz w:val="20"/>
          <w:szCs w:val="20"/>
          <w:color w:val="auto"/>
        </w:rPr>
      </w:pPr>
      <w:r>
        <w:rPr>
          <w:rFonts w:ascii="Times New Roman" w:cs="Times New Roman" w:eastAsia="Times New Roman" w:hAnsi="Times New Roman"/>
          <w:sz w:val="17"/>
          <w:szCs w:val="17"/>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113"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AMENDMENT NO. 4</w:t>
      </w:r>
      <w:r>
        <w:rPr>
          <w:rFonts w:ascii="Times New Roman" w:cs="Times New Roman" w:eastAsia="Times New Roman" w:hAnsi="Times New Roman"/>
          <w:sz w:val="22"/>
          <w:szCs w:val="22"/>
          <w:color w:val="auto"/>
        </w:rPr>
        <w:t>, dated as of June 18, 2026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the Credit Agreement,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4, 2022, among Affirm, Inc., a Delaware corporation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Affirm Holdings, Inc., a Nevada corporation (“</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the Lenders party thereto, and Barclays Bank PLC, as Administrative Agent (the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(as heretofore amended, restated, modified and supplemented,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the Credit Agreement, as amended by this Amendment, the “</w:t>
      </w:r>
      <w:r>
        <w:rPr>
          <w:rFonts w:ascii="Times New Roman" w:cs="Times New Roman" w:eastAsia="Times New Roman" w:hAnsi="Times New Roman"/>
          <w:sz w:val="22"/>
          <w:szCs w:val="22"/>
          <w:b w:val="1"/>
          <w:bCs w:val="1"/>
          <w:color w:val="auto"/>
        </w:rPr>
        <w:t>Amended Credit Agreement</w:t>
      </w:r>
      <w:r>
        <w:rPr>
          <w:rFonts w:ascii="Times New Roman" w:cs="Times New Roman" w:eastAsia="Times New Roman" w:hAnsi="Times New Roman"/>
          <w:sz w:val="22"/>
          <w:szCs w:val="22"/>
          <w:color w:val="auto"/>
        </w:rPr>
        <w:t>”). Capitalized terms used and not otherwise defined herein shall have the meanings assigned to such terms in the Credit Agreement.</w:t>
      </w:r>
    </w:p>
    <w:p>
      <w:pPr>
        <w:spacing w:after="0" w:line="177" w:lineRule="exact"/>
        <w:rPr>
          <w:sz w:val="20"/>
          <w:szCs w:val="20"/>
          <w:color w:val="auto"/>
        </w:rPr>
      </w:pPr>
    </w:p>
    <w:p>
      <w:pPr>
        <w:ind w:firstLine="1289"/>
        <w:spacing w:after="0" w:line="271" w:lineRule="auto"/>
        <w:tabs>
          <w:tab w:leader="none" w:pos="171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Administrative Agent and the Lenders agree to certain amendments to the Credit Agreement in the manner provided for herein.</w:t>
      </w:r>
    </w:p>
    <w:p>
      <w:pPr>
        <w:spacing w:after="0" w:line="157" w:lineRule="exact"/>
        <w:rPr>
          <w:rFonts w:ascii="Times New Roman" w:cs="Times New Roman" w:eastAsia="Times New Roman" w:hAnsi="Times New Roman"/>
          <w:sz w:val="22"/>
          <w:szCs w:val="22"/>
          <w:color w:val="auto"/>
        </w:rPr>
      </w:pPr>
    </w:p>
    <w:p>
      <w:pPr>
        <w:jc w:val="both"/>
        <w:ind w:firstLine="1289"/>
        <w:spacing w:after="0" w:line="272" w:lineRule="auto"/>
        <w:tabs>
          <w:tab w:leader="none" w:pos="17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party hereto that constitute all Lenders under the Credit Agreement immediately prior to giving effect to this Amendment are referred to herein as the “</w:t>
      </w:r>
      <w:r>
        <w:rPr>
          <w:rFonts w:ascii="Times New Roman" w:cs="Times New Roman" w:eastAsia="Times New Roman" w:hAnsi="Times New Roman"/>
          <w:sz w:val="21"/>
          <w:szCs w:val="21"/>
          <w:b w:val="1"/>
          <w:bCs w:val="1"/>
          <w:color w:val="auto"/>
        </w:rPr>
        <w:t>Existing Lenders</w:t>
      </w:r>
      <w:r>
        <w:rPr>
          <w:rFonts w:ascii="Times New Roman" w:cs="Times New Roman" w:eastAsia="Times New Roman" w:hAnsi="Times New Roman"/>
          <w:sz w:val="21"/>
          <w:szCs w:val="21"/>
          <w:color w:val="auto"/>
        </w:rPr>
        <w:t>”. The Lenders party hereto constitute all Lenders under the Amended Credit Agreement, and pursuant to Section 9.02 of the Credit Agreement, the Administrative Agent and the Lenders are willing to agree to the terms of this Amendment and the amendments to the Credit Agreement effected hereby.</w:t>
      </w:r>
    </w:p>
    <w:p>
      <w:pPr>
        <w:spacing w:after="0" w:line="160" w:lineRule="exact"/>
        <w:rPr>
          <w:rFonts w:ascii="Times New Roman" w:cs="Times New Roman" w:eastAsia="Times New Roman" w:hAnsi="Times New Roman"/>
          <w:sz w:val="21"/>
          <w:szCs w:val="21"/>
          <w:color w:val="auto"/>
        </w:rPr>
      </w:pPr>
    </w:p>
    <w:p>
      <w:pPr>
        <w:ind w:firstLine="1289"/>
        <w:spacing w:after="0" w:line="271" w:lineRule="auto"/>
        <w:tabs>
          <w:tab w:leader="none" w:pos="192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this Amendment and the Amended Credit Agreement, Barclays Bank PLC is the Syndication Agent, the Left Lead Arranger and a Joint Bookrunner.</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Accordingly,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The Borrower, the Lenders and the Administrative Agent hereby agree that (a) the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70C0"/>
        </w:rPr>
        <w:t>double-underlined text</w:t>
      </w:r>
      <w:r>
        <w:rPr>
          <w:rFonts w:ascii="Times New Roman" w:cs="Times New Roman" w:eastAsia="Times New Roman" w:hAnsi="Times New Roman"/>
          <w:sz w:val="22"/>
          <w:szCs w:val="22"/>
          <w:color w:val="auto"/>
        </w:rPr>
        <w:t>) as set forth in Exhibit A hereto and (b) Schedule 2.01A to the Credit Agreement is hereby amended and restated in full to read as Schedule 2.01A 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ind w:right="540" w:firstLine="1296"/>
        <w:spacing w:after="0" w:line="284" w:lineRule="auto"/>
        <w:rPr>
          <w:sz w:val="20"/>
          <w:szCs w:val="20"/>
          <w:color w:val="auto"/>
        </w:rPr>
      </w:pPr>
      <w:r>
        <w:rPr>
          <w:rFonts w:ascii="Times New Roman" w:cs="Times New Roman" w:eastAsia="Times New Roman" w:hAnsi="Times New Roman"/>
          <w:sz w:val="22"/>
          <w:szCs w:val="22"/>
          <w:color w:val="auto"/>
        </w:rPr>
        <w:t>Each of Holdings and the Borrower represents and warrants, as of the Amendment Effective Date (as defined below), to the Administrative Agent that:</w:t>
      </w:r>
    </w:p>
    <w:p>
      <w:pPr>
        <w:sectPr>
          <w:pgSz w:w="11920" w:h="16838" w:orient="portrait"/>
          <w:cols w:equalWidth="0" w:num="1">
            <w:col w:w="11260"/>
          </w:cols>
          <w:pgMar w:left="340" w:top="112" w:right="318" w:bottom="1440" w:gutter="0" w:footer="0" w:header="0"/>
        </w:sectPr>
      </w:pPr>
    </w:p>
    <w:bookmarkStart w:id="6" w:name="page7"/>
    <w:bookmarkEnd w:id="6"/>
    <w:p>
      <w:pPr>
        <w:jc w:val="both"/>
        <w:ind w:firstLine="1289"/>
        <w:spacing w:after="0" w:line="275" w:lineRule="auto"/>
        <w:tabs>
          <w:tab w:leader="none" w:pos="1809"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has been duly executed and delivered by the Borrower and Holdings and constitutes the legal, valid and binding obligation of the Borrower, enforceable against Holdings and the Borrower in accordance with its terms, except to the extent that the enforceability thereof may be limited by Debtor Relief Laws and by general principles of equity.</w:t>
      </w:r>
    </w:p>
    <w:p>
      <w:pPr>
        <w:spacing w:after="0" w:line="168" w:lineRule="exact"/>
        <w:rPr>
          <w:rFonts w:ascii="Times New Roman" w:cs="Times New Roman" w:eastAsia="Times New Roman" w:hAnsi="Times New Roman"/>
          <w:sz w:val="21"/>
          <w:szCs w:val="21"/>
          <w:color w:val="auto"/>
        </w:rPr>
      </w:pPr>
    </w:p>
    <w:p>
      <w:pPr>
        <w:jc w:val="both"/>
        <w:ind w:firstLine="1289"/>
        <w:spacing w:after="0" w:line="251" w:lineRule="auto"/>
        <w:tabs>
          <w:tab w:leader="none" w:pos="1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Holdings and the Borrower set forth in the Loan Documents (including, for the avoidance of doubt, this Amendment as a Loan Document) are true and correct in all material respects (except that any such representation and warranty that is qualified as to “materiality” or “Material Adverse Effect” are true and correct in all respects as so qualified) on and as of the date such representation and warranty is made, except to the extent such representations and warranties expressly relate to an earlier date (in which case such representations and warranties were true and correct in all material respects as of such earlier date).</w:t>
      </w:r>
    </w:p>
    <w:p>
      <w:pPr>
        <w:spacing w:after="0" w:line="181" w:lineRule="exact"/>
        <w:rPr>
          <w:rFonts w:ascii="Times New Roman" w:cs="Times New Roman" w:eastAsia="Times New Roman" w:hAnsi="Times New Roman"/>
          <w:sz w:val="22"/>
          <w:szCs w:val="22"/>
          <w:color w:val="auto"/>
        </w:rPr>
      </w:pPr>
    </w:p>
    <w:p>
      <w:pPr>
        <w:ind w:left="1700" w:hanging="411"/>
        <w:spacing w:after="0"/>
        <w:tabs>
          <w:tab w:leader="none" w:pos="1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no Default or Event of Default has occurred and is continuing.</w:t>
      </w:r>
    </w:p>
    <w:p>
      <w:pPr>
        <w:spacing w:after="0" w:line="215" w:lineRule="exact"/>
        <w:rPr>
          <w:rFonts w:ascii="Times New Roman" w:cs="Times New Roman" w:eastAsia="Times New Roman" w:hAnsi="Times New Roman"/>
          <w:sz w:val="22"/>
          <w:szCs w:val="22"/>
          <w:color w:val="auto"/>
        </w:rPr>
      </w:pPr>
    </w:p>
    <w:p>
      <w:pPr>
        <w:ind w:left="4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Effectiveness</w:t>
      </w:r>
    </w:p>
    <w:p>
      <w:pPr>
        <w:spacing w:after="0" w:line="233"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This Amendment shall become effective on the date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on which each of the following conditions is satisfied:</w:t>
      </w:r>
    </w:p>
    <w:p>
      <w:pPr>
        <w:spacing w:after="0" w:line="153" w:lineRule="exact"/>
        <w:rPr>
          <w:sz w:val="20"/>
          <w:szCs w:val="20"/>
          <w:color w:val="auto"/>
        </w:rPr>
      </w:pPr>
    </w:p>
    <w:p>
      <w:pPr>
        <w:ind w:firstLine="1289"/>
        <w:spacing w:after="0" w:line="271" w:lineRule="auto"/>
        <w:tabs>
          <w:tab w:leader="none" w:pos="175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a counterpart of this Amendment from (i) each Lender and (ii) the Borrower, Holdings and each Guarantor signed on behalf of such party;</w:t>
      </w:r>
    </w:p>
    <w:p>
      <w:pPr>
        <w:spacing w:after="0" w:line="157" w:lineRule="exact"/>
        <w:rPr>
          <w:rFonts w:ascii="Times New Roman" w:cs="Times New Roman" w:eastAsia="Times New Roman" w:hAnsi="Times New Roman"/>
          <w:sz w:val="22"/>
          <w:szCs w:val="22"/>
          <w:color w:val="auto"/>
        </w:rPr>
      </w:pPr>
    </w:p>
    <w:p>
      <w:pPr>
        <w:jc w:val="both"/>
        <w:ind w:firstLine="1289"/>
        <w:spacing w:after="0" w:line="251" w:lineRule="auto"/>
        <w:tabs>
          <w:tab w:leader="none" w:pos="172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Holdings and the Borrower set forth herein and in the Loan Documents (including, for the avoidance of doubt, this Amendment as a Loan Document) are true and correct in all material respects (except that any such representation and warranty that is qualified as to “materiality” or “Material Adverse Effect” are true and correct in all respects as so qualified) on and as of the date such representation and warranty is made, except to the extent such representations and warranties expressly relate to an earlier date (in which case such representations and warranties were true and correct in all material respects as of such earlier date);</w:t>
      </w:r>
    </w:p>
    <w:p>
      <w:pPr>
        <w:spacing w:after="0" w:line="194" w:lineRule="exact"/>
        <w:rPr>
          <w:rFonts w:ascii="Times New Roman" w:cs="Times New Roman" w:eastAsia="Times New Roman" w:hAnsi="Times New Roman"/>
          <w:sz w:val="22"/>
          <w:szCs w:val="22"/>
          <w:color w:val="auto"/>
        </w:rPr>
      </w:pPr>
    </w:p>
    <w:p>
      <w:pPr>
        <w:ind w:left="1700" w:hanging="411"/>
        <w:spacing w:after="0"/>
        <w:tabs>
          <w:tab w:leader="none" w:pos="1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no Default or Event of Default has occurred and is continuing;</w:t>
      </w:r>
    </w:p>
    <w:p>
      <w:pPr>
        <w:spacing w:after="0" w:line="219" w:lineRule="exact"/>
        <w:rPr>
          <w:rFonts w:ascii="Times New Roman" w:cs="Times New Roman" w:eastAsia="Times New Roman" w:hAnsi="Times New Roman"/>
          <w:sz w:val="22"/>
          <w:szCs w:val="22"/>
          <w:color w:val="auto"/>
        </w:rPr>
      </w:pPr>
    </w:p>
    <w:p>
      <w:pPr>
        <w:jc w:val="both"/>
        <w:ind w:firstLine="1289"/>
        <w:spacing w:after="0" w:line="253" w:lineRule="auto"/>
        <w:tabs>
          <w:tab w:leader="none" w:pos="177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Amendment Effective Date and signed by the president or a Financial Officer of the Borrower, certifying (i) compliance with the conditions set forth in paragraphs B and C above and Section 4.02(c) of the Credit Agreement after giving effect to this Amendment and any Borrowing made on the Amendment Effective Date and (ii) the Borrower and its Subsidiaries, after giving effect to this Amendment and any Borrowing on such date, taken as a whole, are 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20" w:h="16838" w:orient="portrait"/>
          <w:cols w:equalWidth="0" w:num="1">
            <w:col w:w="11260"/>
          </w:cols>
          <w:pgMar w:left="340" w:top="1417" w:right="318" w:bottom="1440" w:gutter="0" w:footer="0" w:header="0"/>
        </w:sectPr>
      </w:pPr>
    </w:p>
    <w:bookmarkStart w:id="7" w:name="page8"/>
    <w:bookmarkEnd w:id="7"/>
    <w:p>
      <w:pPr>
        <w:jc w:val="both"/>
        <w:ind w:firstLine="1289"/>
        <w:spacing w:after="0" w:line="256" w:lineRule="auto"/>
        <w:tabs>
          <w:tab w:leader="none" w:pos="178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favorable written opinion (addressed to the Administrative Agent and the Lenders and dated the Amendment Effective Date) of DLA Piper LLP (US), counsel for the Borrower, and of [___], Nevada counsel for the Borrower, each in form and substance acceptable to the Administrative Agent and covering matters relating to the Borrower, this Agreement or the Transactions as the Required Lenders shall reasonably request;</w:t>
      </w:r>
    </w:p>
    <w:p>
      <w:pPr>
        <w:spacing w:after="0" w:line="176" w:lineRule="exact"/>
        <w:rPr>
          <w:rFonts w:ascii="Times New Roman" w:cs="Times New Roman" w:eastAsia="Times New Roman" w:hAnsi="Times New Roman"/>
          <w:sz w:val="22"/>
          <w:szCs w:val="22"/>
          <w:color w:val="auto"/>
        </w:rPr>
      </w:pPr>
    </w:p>
    <w:p>
      <w:pPr>
        <w:jc w:val="both"/>
        <w:ind w:firstLine="1289"/>
        <w:spacing w:after="0" w:line="257" w:lineRule="auto"/>
        <w:tabs>
          <w:tab w:leader="none" w:pos="173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Amendment Effective Date, including, to the extent invoiced, reimbursement or payment of all out of pocket expenses and fees of counsel to the Administrative Agent and the Lenders required to be reimbursed or paid by the Borrower; and</w:t>
      </w:r>
    </w:p>
    <w:p>
      <w:pPr>
        <w:spacing w:after="0" w:line="172" w:lineRule="exact"/>
        <w:rPr>
          <w:rFonts w:ascii="Times New Roman" w:cs="Times New Roman" w:eastAsia="Times New Roman" w:hAnsi="Times New Roman"/>
          <w:sz w:val="22"/>
          <w:szCs w:val="22"/>
          <w:color w:val="auto"/>
        </w:rPr>
      </w:pPr>
    </w:p>
    <w:p>
      <w:pPr>
        <w:jc w:val="both"/>
        <w:ind w:firstLine="1289"/>
        <w:spacing w:after="0" w:line="250" w:lineRule="auto"/>
        <w:tabs>
          <w:tab w:leader="none" w:pos="173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Administrative Agent shall have received, at least five days prior to the Amendment Effective Date, all documentation and other information required by bank regulatory authorities under applicable “know your customer” and anti-money laundering rules and regulations, including the Patriot Act, to the extent requested in writing of the Borrower at least 10 Business Days prior to the Amendment Effective Date and (ii) to the extent the Borrower qualifies as a “legal entity customer” under the Beneficial Ownership Regulation, at least five days prior to the Amendment Effective Date, any Lender that has requested, in a written notice to the Borrower at least 10 Business Days prior to the Amendment Effective Date, a Beneficial Ownership Certification in relation to the Borrower shall have received such Beneficial Ownership Certification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upon the execution and delivery by such Lender of its signature page to this Amendment, the condition set forth in this clause (ii) shall be deemed to be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Further Acknowledgments</w:t>
      </w:r>
    </w:p>
    <w:p>
      <w:pPr>
        <w:spacing w:after="0" w:line="224" w:lineRule="exact"/>
        <w:rPr>
          <w:sz w:val="20"/>
          <w:szCs w:val="20"/>
          <w:color w:val="auto"/>
        </w:rPr>
      </w:pPr>
    </w:p>
    <w:p>
      <w:pPr>
        <w:jc w:val="both"/>
        <w:ind w:firstLine="1289"/>
        <w:spacing w:after="0" w:line="257" w:lineRule="auto"/>
        <w:tabs>
          <w:tab w:leader="none" w:pos="185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to each of the provisions of this Amendment. Each Guarantor acknowledges and agrees that, after giving effect to this Amendment, the Guaranty continues to be in full force and effect and affirms and confirms its guarantee of the Obligations, which continue in full force and effect.</w:t>
      </w:r>
    </w:p>
    <w:p>
      <w:pPr>
        <w:spacing w:after="0" w:line="172" w:lineRule="exact"/>
        <w:rPr>
          <w:rFonts w:ascii="Times New Roman" w:cs="Times New Roman" w:eastAsia="Times New Roman" w:hAnsi="Times New Roman"/>
          <w:sz w:val="22"/>
          <w:szCs w:val="22"/>
          <w:color w:val="auto"/>
        </w:rPr>
      </w:pPr>
    </w:p>
    <w:p>
      <w:pPr>
        <w:ind w:firstLine="1289"/>
        <w:spacing w:after="0" w:line="284" w:lineRule="auto"/>
        <w:tabs>
          <w:tab w:leader="none" w:pos="17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hereby direct and authorize the Administrative Agent (in its capacity as such) to execute and deliver this Amendment.</w:t>
      </w:r>
    </w:p>
    <w:p>
      <w:pPr>
        <w:spacing w:after="0" w:line="143" w:lineRule="exact"/>
        <w:rPr>
          <w:rFonts w:ascii="Times New Roman" w:cs="Times New Roman" w:eastAsia="Times New Roman" w:hAnsi="Times New Roman"/>
          <w:sz w:val="22"/>
          <w:szCs w:val="22"/>
          <w:color w:val="auto"/>
        </w:rPr>
      </w:pPr>
    </w:p>
    <w:p>
      <w:pPr>
        <w:jc w:val="both"/>
        <w:ind w:firstLine="1289"/>
        <w:spacing w:after="0" w:line="257" w:lineRule="auto"/>
        <w:tabs>
          <w:tab w:leader="none" w:pos="172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Amendment Effective Date, each Lender party hereto that is not an Existing Lender hereby becomes a Lender under the Amended Credit Agreement having its Commitment set forth in Schedule 2.01A hereto and shall be bound by the provisions of the Amended Credit Agreement as a Lender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20" w:h="16838" w:orient="portrait"/>
          <w:cols w:equalWidth="0" w:num="1">
            <w:col w:w="11260"/>
          </w:cols>
          <w:pgMar w:left="340" w:top="1417" w:right="318"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jc w:val="both"/>
        <w:ind w:firstLine="1289"/>
        <w:spacing w:after="0" w:line="249" w:lineRule="auto"/>
        <w:tabs>
          <w:tab w:leader="none" w:pos="17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Except as expressly set forth herein, this Amendment shall not by implication or otherwise limit, impair, constitute a waiver of or otherwise affect the rights and remedies of the Lenders, the Administrative Agent, the Borrower or any other Loan Party under the Credit Agreement or any other Loan Document, and shall not alter, modify, amend or in any way affect any of the terms, conditions, obligations, covenants or agreements contained in the Credit Agreement or any other Loan Document or any exhibits or schedules thereto, all of which are ratified and affirmed in all respects and shall continue in full force and effect after giving effect to this Amendment. After the Amendment Effective Date, any reference to the Credit Agreement shall mean the Credit Agreement as modified hereby. This Amendment shall constitute a “Loan Document” for all purposes of the Credit Agreement and the other Loan Documents.</w:t>
      </w:r>
    </w:p>
    <w:p>
      <w:pPr>
        <w:spacing w:after="0" w:line="181" w:lineRule="exact"/>
        <w:rPr>
          <w:rFonts w:ascii="Times New Roman" w:cs="Times New Roman" w:eastAsia="Times New Roman" w:hAnsi="Times New Roman"/>
          <w:sz w:val="22"/>
          <w:szCs w:val="22"/>
          <w:color w:val="auto"/>
        </w:rPr>
      </w:pPr>
    </w:p>
    <w:p>
      <w:pPr>
        <w:jc w:val="both"/>
        <w:ind w:firstLine="1289"/>
        <w:spacing w:after="0" w:line="264" w:lineRule="auto"/>
        <w:tabs>
          <w:tab w:leader="none" w:pos="179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Novation</w:t>
      </w:r>
      <w:r>
        <w:rPr>
          <w:rFonts w:ascii="Times New Roman" w:cs="Times New Roman" w:eastAsia="Times New Roman" w:hAnsi="Times New Roman"/>
          <w:sz w:val="21"/>
          <w:szCs w:val="21"/>
          <w:color w:val="auto"/>
        </w:rPr>
        <w:t>. This Amendment shall not extinguish the Obligations for the payment of money outstanding under the Credit Agreement or discharge or release any guarantee of any Loan Document. Except as expressly provided, nothing herein contained shall be construed as a substitution or novation, or a payment and reborrowing, or a termination, of the Obligations outstanding under the Credit Agreement or instruments guaranteeing the same, which shall remain in full force and effect, except as modified hereby or by instruments executed concurrently herewith. Nothing expressed or implied in this Amendment or any other document contemplated hereby shall be construed as a release or other discharge of any Loan Party under the Credit Agreement or any Loan Document from any of its obligations and liabilities thereunder, and except as expressly provided, such obligations are in all respects continuing with only the terms being modified as provided in this Amendment.</w:t>
      </w:r>
    </w:p>
    <w:p>
      <w:pPr>
        <w:spacing w:after="0" w:line="169" w:lineRule="exact"/>
        <w:rPr>
          <w:rFonts w:ascii="Times New Roman" w:cs="Times New Roman" w:eastAsia="Times New Roman" w:hAnsi="Times New Roman"/>
          <w:sz w:val="21"/>
          <w:szCs w:val="21"/>
          <w:color w:val="auto"/>
        </w:rPr>
      </w:pPr>
    </w:p>
    <w:p>
      <w:pPr>
        <w:jc w:val="both"/>
        <w:ind w:firstLine="1289"/>
        <w:spacing w:after="0" w:line="252" w:lineRule="auto"/>
        <w:tabs>
          <w:tab w:leader="none" w:pos="187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the parties hereto and their respective successors and assigns and shall inure to the benefit of the parties hereto and the successors and assigns of the Lenders (it being understood that rights of assignment of the parties hereto are subject to the further provisions of Section 9.04 of the Credit Agreement).</w:t>
      </w:r>
    </w:p>
    <w:p>
      <w:pPr>
        <w:spacing w:after="0" w:line="192" w:lineRule="exact"/>
        <w:rPr>
          <w:rFonts w:ascii="Times New Roman" w:cs="Times New Roman" w:eastAsia="Times New Roman" w:hAnsi="Times New Roman"/>
          <w:sz w:val="22"/>
          <w:szCs w:val="22"/>
          <w:color w:val="auto"/>
        </w:rPr>
      </w:pPr>
    </w:p>
    <w:p>
      <w:pPr>
        <w:jc w:val="both"/>
        <w:ind w:firstLine="1289"/>
        <w:spacing w:after="0" w:line="262" w:lineRule="auto"/>
        <w:tabs>
          <w:tab w:leader="none" w:pos="1829"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SHALL BE CONSTRUED IN ACCORDANCE WITH AND GOVERNED BY THE LAW OF THE STATE OF NEW YORK. EACH OF THE LENDERS AND THE ADMINISTRATIVE AGENT HEREBY IRREVOCABLY AND UNCONDITIONALLY AGREES THAT ANY CLAIMS BROUGHT AGAINST THE ADMINISTRATIVE AGENT BY ANY LENDER RELATING TO THIS AMENDMENT OR THE CONSUMMATION OR ADMINISTRATION OF THE TRANSACTIONS CONTEMPLATED HEREBY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20" w:h="16838" w:orient="portrait"/>
          <w:cols w:equalWidth="0" w:num="1">
            <w:col w:w="11260"/>
          </w:cols>
          <w:pgMar w:left="340" w:top="1413" w:right="318" w:bottom="1440" w:gutter="0" w:footer="0" w:header="0"/>
        </w:sectPr>
      </w:pPr>
    </w:p>
    <w:bookmarkStart w:id="9" w:name="page10"/>
    <w:bookmarkEnd w:id="9"/>
    <w:p>
      <w:pPr>
        <w:jc w:val="both"/>
        <w:spacing w:after="0" w:line="259" w:lineRule="auto"/>
        <w:rPr>
          <w:sz w:val="20"/>
          <w:szCs w:val="20"/>
          <w:color w:val="auto"/>
        </w:rPr>
      </w:pPr>
      <w:r>
        <w:rPr>
          <w:rFonts w:ascii="Times New Roman" w:cs="Times New Roman" w:eastAsia="Times New Roman" w:hAnsi="Times New Roman"/>
          <w:sz w:val="21"/>
          <w:szCs w:val="21"/>
          <w:color w:val="auto"/>
        </w:rPr>
        <w:t>YORK SITTING IN THE BOROUGH OF MANHATTAN (OR IF SUCH COURT LACKS SUBJECT MATTER JURISDICTION, THE SUPREME COURT OF THE STATE OF NEW YORK SITTING IN THE BOROUGH OF MANHATTAN), AND ANY APPELLATE COURT FROM ANY THEREOF, IN ANY ACTION OR PROCEEDING (WHETHER IN TORT, CONTRACT, LAW OR EQUITY) ARISING OUT OF OR RELATING TO THIS AMENDMENT OR THE TRANSACTIONS RELATING 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OR ANY LENDER MAY OTHERWISE HAVE TO BRING ANY ACTION OR PROCEEDING RELATING TO THIS AMENDMENT AGAINST THE BORROWER OR ITS PROPERTIES IN THE COURTS OF ANY JURISDICTION.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IN ANY COURT REFERRED TO IN THIS SECTION D. EACH OF THE PARTIES HERETO HEREBY IRREVOCABLY WAIVES, TO THE FULLEST EXTENT PERMITTED BY LAW, THE DEFENSE OF AN INCONVENIENT FORUM TO THE MAINTENANCE OF SUCH ACTION OR PROCEEDING IN ANY SUCH COURT. EACH PARTY TO THIS AMENDMENT IRREVOCABLY CONSENTS TO SERVICE OF PROCESS IN THE MANNER PROVIDED FOR NOTICES IN SECTION 9.01 OF THE CREDIT AGREEMENT. NOTHING IN THIS AMENDMENT WILL AFFECT THE RIGHT OF ANY PARTY TO THIS AMENDMENT TO SERVE PROCESS IN ANY OTHER MANNER PERMITTED BY LAW.</w:t>
      </w:r>
    </w:p>
    <w:p>
      <w:pPr>
        <w:spacing w:after="0" w:line="200" w:lineRule="exact"/>
        <w:rPr>
          <w:sz w:val="20"/>
          <w:szCs w:val="20"/>
          <w:color w:val="auto"/>
        </w:rPr>
      </w:pPr>
    </w:p>
    <w:p>
      <w:pPr>
        <w:spacing w:after="0" w:line="246" w:lineRule="exact"/>
        <w:rPr>
          <w:sz w:val="20"/>
          <w:szCs w:val="20"/>
          <w:color w:val="auto"/>
        </w:rPr>
      </w:pPr>
    </w:p>
    <w:p>
      <w:pPr>
        <w:jc w:val="both"/>
        <w:ind w:firstLine="1289"/>
        <w:spacing w:after="0" w:line="250" w:lineRule="auto"/>
        <w:tabs>
          <w:tab w:leader="none" w:pos="173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 TO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20" w:h="16838" w:orient="portrait"/>
          <w:cols w:equalWidth="0" w:num="1">
            <w:col w:w="11260"/>
          </w:cols>
          <w:pgMar w:left="340" w:top="1417" w:right="318" w:bottom="1440" w:gutter="0" w:footer="0" w:header="0"/>
        </w:sectPr>
      </w:pPr>
    </w:p>
    <w:bookmarkStart w:id="10" w:name="page11"/>
    <w:bookmarkEnd w:id="10"/>
    <w:p>
      <w:pPr>
        <w:jc w:val="both"/>
        <w:ind w:firstLine="1289"/>
        <w:spacing w:after="0" w:line="250" w:lineRule="auto"/>
        <w:tabs>
          <w:tab w:leader="none" w:pos="17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 set of counterparts executed by all the parties hereto shall be lodged with the Borrower and the Administrative Agent.</w:t>
      </w:r>
    </w:p>
    <w:p>
      <w:pPr>
        <w:spacing w:after="0" w:line="179" w:lineRule="exact"/>
        <w:rPr>
          <w:rFonts w:ascii="Times New Roman" w:cs="Times New Roman" w:eastAsia="Times New Roman" w:hAnsi="Times New Roman"/>
          <w:sz w:val="22"/>
          <w:szCs w:val="22"/>
          <w:color w:val="auto"/>
        </w:rPr>
      </w:pPr>
    </w:p>
    <w:p>
      <w:pPr>
        <w:ind w:firstLine="1289"/>
        <w:spacing w:after="0" w:line="271" w:lineRule="auto"/>
        <w:tabs>
          <w:tab w:leader="none" w:pos="194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several sections and subsections of this Amendment are inserted for convenience only and shall not in any way affect the meaning or construction of any provision of this Amendment.</w:t>
      </w:r>
    </w:p>
    <w:p>
      <w:pPr>
        <w:spacing w:after="0" w:line="157" w:lineRule="exact"/>
        <w:rPr>
          <w:rFonts w:ascii="Times New Roman" w:cs="Times New Roman" w:eastAsia="Times New Roman" w:hAnsi="Times New Roman"/>
          <w:sz w:val="22"/>
          <w:szCs w:val="22"/>
          <w:color w:val="auto"/>
        </w:rPr>
      </w:pPr>
    </w:p>
    <w:p>
      <w:pPr>
        <w:jc w:val="both"/>
        <w:ind w:firstLine="1289"/>
        <w:spacing w:after="0" w:line="251" w:lineRule="auto"/>
        <w:tabs>
          <w:tab w:leader="none" w:pos="174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20" w:h="16838" w:orient="portrait"/>
          <w:cols w:equalWidth="0" w:num="1">
            <w:col w:w="11260"/>
          </w:cols>
          <w:pgMar w:left="340" w:top="1417" w:right="318" w:bottom="1440" w:gutter="0" w:footer="0" w:header="0"/>
        </w:sectPr>
      </w:pPr>
    </w:p>
    <w:bookmarkStart w:id="11" w:name="page12"/>
    <w:bookmarkEnd w:id="11"/>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written above.</w:t>
      </w:r>
    </w:p>
    <w:p>
      <w:pPr>
        <w:spacing w:after="0" w:line="20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INC.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Borrower</w:t>
      </w:r>
    </w:p>
    <w:p>
      <w:pPr>
        <w:spacing w:after="0" w:line="18"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22"/>
          <w:szCs w:val="22"/>
          <w:color w:val="auto"/>
        </w:rPr>
        <w:t>By:</w:t>
        <w:tab/>
        <w:t>/s/Rob O’Hare</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-160020</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HOLDINGS,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Holdings</w:t>
      </w:r>
    </w:p>
    <w:p>
      <w:pPr>
        <w:spacing w:after="0" w:line="7"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22"/>
          <w:szCs w:val="22"/>
          <w:color w:val="auto"/>
        </w:rPr>
        <w:t>By:</w:t>
        <w:tab/>
        <w:t>/s/Rob O’Hare</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-160020</wp:posOffset>
            </wp:positionV>
            <wp:extent cx="229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LOAN SERVICES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Guarantor</w:t>
      </w:r>
    </w:p>
    <w:p>
      <w:pPr>
        <w:spacing w:after="0" w:line="20"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22"/>
          <w:szCs w:val="22"/>
          <w:color w:val="auto"/>
        </w:rPr>
        <w:t>By:</w:t>
        <w:tab/>
        <w:t>/s/Rob O’Hare</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-160020</wp:posOffset>
            </wp:positionV>
            <wp:extent cx="2297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3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OPPORTUNITY FUND I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Guarantor</w:t>
      </w:r>
    </w:p>
    <w:p>
      <w:pPr>
        <w:spacing w:after="0" w:line="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 Affirm, Inc., its sole member</w:t>
      </w:r>
    </w:p>
    <w:p>
      <w:pPr>
        <w:spacing w:after="0" w:line="18"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22"/>
          <w:szCs w:val="22"/>
          <w:color w:val="auto"/>
        </w:rPr>
        <w:t>By:</w:t>
        <w:tab/>
        <w:t>/s/Rob O’Hare</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-160020</wp:posOffset>
            </wp:positionV>
            <wp:extent cx="2297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RETURNLY HOLDINGS,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Guarantor</w:t>
      </w:r>
    </w:p>
    <w:p>
      <w:pPr>
        <w:spacing w:after="0" w:line="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 Affirm, Inc., its sole member</w:t>
      </w:r>
    </w:p>
    <w:p>
      <w:pPr>
        <w:spacing w:after="0" w:line="20"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22"/>
          <w:szCs w:val="22"/>
          <w:color w:val="auto"/>
        </w:rPr>
        <w:t>By:</w:t>
        <w:tab/>
        <w:t>/s/Rob O’Hare</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-160020</wp:posOffset>
            </wp:positionV>
            <wp:extent cx="2297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ectPr>
          <w:pgSz w:w="11920" w:h="16838" w:orient="portrait"/>
          <w:cols w:equalWidth="0" w:num="1">
            <w:col w:w="11140"/>
          </w:cols>
          <w:pgMar w:left="340" w:top="1417" w:right="438" w:bottom="1440" w:gutter="0" w:footer="0" w:header="0"/>
        </w:sectPr>
      </w:pPr>
    </w:p>
    <w:bookmarkStart w:id="12" w:name="page13"/>
    <w:bookmarkEnd w:id="12"/>
    <w:p>
      <w:pPr>
        <w:spacing w:after="0" w:line="24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BARCLAYS BANK PLC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as 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40"/>
        <w:spacing w:after="0"/>
        <w:tabs>
          <w:tab w:leader="none" w:pos="3460" w:val="left"/>
        </w:tabs>
        <w:rPr>
          <w:sz w:val="20"/>
          <w:szCs w:val="20"/>
          <w:color w:val="auto"/>
        </w:rPr>
      </w:pPr>
      <w:r>
        <w:rPr>
          <w:rFonts w:ascii="Times New Roman" w:cs="Times New Roman" w:eastAsia="Times New Roman" w:hAnsi="Times New Roman"/>
          <w:sz w:val="22"/>
          <w:szCs w:val="22"/>
          <w:color w:val="auto"/>
        </w:rPr>
        <w:t>By:</w:t>
        <w:tab/>
        <w:t>/s/Edward Pan</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 Edward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-160020</wp:posOffset>
            </wp:positionV>
            <wp:extent cx="1911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Title: Director</w:t>
      </w:r>
    </w:p>
    <w:p>
      <w:pPr>
        <w:sectPr>
          <w:pgSz w:w="11920" w:h="16838" w:orient="portrait"/>
          <w:cols w:equalWidth="0" w:num="1">
            <w:col w:w="9038"/>
          </w:cols>
          <w:pgMar w:left="1440" w:top="1440" w:right="1440" w:bottom="1440" w:gutter="0" w:footer="0" w:header="0"/>
        </w:sectPr>
      </w:pPr>
    </w:p>
    <w:bookmarkStart w:id="13" w:name="page14"/>
    <w:bookmarkEnd w:id="13"/>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BMO Bank N.A.</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/s/Lauren Harte</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Lauren Harte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-152400</wp:posOffset>
            </wp:positionV>
            <wp:extent cx="18002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Director</w:t>
      </w:r>
    </w:p>
    <w:p>
      <w:pPr>
        <w:sectPr>
          <w:pgSz w:w="11920" w:h="16838" w:orient="portrait"/>
          <w:cols w:equalWidth="0" w:num="1">
            <w:col w:w="9038"/>
          </w:cols>
          <w:pgMar w:left="1440" w:top="1440" w:right="1440" w:bottom="1440" w:gutter="0" w:footer="0" w:header="0"/>
        </w:sectPr>
      </w:pPr>
    </w:p>
    <w:bookmarkStart w:id="14" w:name="page15"/>
    <w:bookmarkEnd w:id="14"/>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Canadian Imperial Bank of</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Commerce, New York Branch</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/s/Edward Turowski</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Edward Turowski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-160020</wp:posOffset>
            </wp:positionV>
            <wp:extent cx="1800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20" w:h="16838" w:orient="portrait"/>
          <w:cols w:equalWidth="0" w:num="1">
            <w:col w:w="9038"/>
          </w:cols>
          <w:pgMar w:left="1440" w:top="1440" w:right="1440" w:bottom="1440" w:gutter="0" w:footer="0" w:header="0"/>
        </w:sectPr>
      </w:pPr>
    </w:p>
    <w:bookmarkStart w:id="15" w:name="page16"/>
    <w:bookmarkEnd w:id="15"/>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CITIBANK, N.A.,</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/s/Maureen Maroney</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-152400</wp:posOffset>
            </wp:positionV>
            <wp:extent cx="1800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20" w:h="16838" w:orient="portrait"/>
          <w:cols w:equalWidth="0" w:num="1">
            <w:col w:w="9038"/>
          </w:cols>
          <w:pgMar w:left="1440" w:top="1440" w:right="1440" w:bottom="1440" w:gutter="0" w:footer="0" w:header="0"/>
        </w:sectPr>
      </w:pPr>
    </w:p>
    <w:bookmarkStart w:id="16" w:name="page17"/>
    <w:bookmarkEnd w:id="16"/>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/s/Timothy O’Toole</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Timothy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-160020</wp:posOffset>
            </wp:positionV>
            <wp:extent cx="1800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20" w:h="16838" w:orient="portrait"/>
          <w:cols w:equalWidth="0" w:num="1">
            <w:col w:w="9038"/>
          </w:cols>
          <w:pgMar w:left="1440" w:top="1440" w:right="1440" w:bottom="1440" w:gutter="0" w:footer="0" w:header="0"/>
        </w:sectPr>
      </w:pPr>
    </w:p>
    <w:bookmarkStart w:id="17" w:name="page18"/>
    <w:bookmarkEnd w:id="17"/>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MIZUHO BANK, LTD.,</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/s/Donna DeMagistris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-152400</wp:posOffset>
            </wp:positionV>
            <wp:extent cx="1800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20" w:h="16838" w:orient="portrait"/>
          <w:cols w:equalWidth="0" w:num="1">
            <w:col w:w="9038"/>
          </w:cols>
          <w:pgMar w:left="1440" w:top="1440" w:right="1440" w:bottom="1440" w:gutter="0" w:footer="0" w:header="0"/>
        </w:sectPr>
      </w:pPr>
    </w:p>
    <w:bookmarkStart w:id="18" w:name="page19"/>
    <w:bookmarkEnd w:id="18"/>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MORGAN STANLEY SENIOR</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FUNDING, INC.,</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/s/Michael King</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-160020</wp:posOffset>
            </wp:positionV>
            <wp:extent cx="1800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20" w:h="16838" w:orient="portrait"/>
          <w:cols w:equalWidth="0" w:num="1">
            <w:col w:w="9038"/>
          </w:cols>
          <w:pgMar w:left="1440" w:top="1440" w:right="1440" w:bottom="1440" w:gutter="0" w:footer="0" w:header="0"/>
        </w:sectPr>
      </w:pPr>
    </w:p>
    <w:bookmarkStart w:id="19" w:name="page20"/>
    <w:bookmarkEnd w:id="19"/>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Royal Bank of Canada,</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/s/Scott Umbs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Scott Umbs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-160020</wp:posOffset>
            </wp:positionV>
            <wp:extent cx="1800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 w:lineRule="exact"/>
        <w:rPr>
          <w:sz w:val="20"/>
          <w:szCs w:val="20"/>
          <w:color w:val="auto"/>
        </w:rPr>
      </w:pPr>
    </w:p>
    <w:p>
      <w:pPr>
        <w:jc w:val="right"/>
        <w:ind w:right="2878"/>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20" w:h="16838" w:orient="portrait"/>
          <w:cols w:equalWidth="0" w:num="1">
            <w:col w:w="9038"/>
          </w:cols>
          <w:pgMar w:left="1440" w:top="1440" w:right="1440" w:bottom="1440" w:gutter="0" w:footer="0" w:header="0"/>
        </w:sectPr>
      </w:pPr>
    </w:p>
    <w:bookmarkStart w:id="20" w:name="page21"/>
    <w:bookmarkEnd w:id="20"/>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Truist Bank,</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/s/Richard W. Jantzen, III</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Richard W. Jantzen,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-152400</wp:posOffset>
            </wp:positionV>
            <wp:extent cx="1800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Director</w:t>
      </w:r>
    </w:p>
    <w:p>
      <w:pPr>
        <w:sectPr>
          <w:pgSz w:w="11920" w:h="16838" w:orient="portrait"/>
          <w:cols w:equalWidth="0" w:num="1">
            <w:col w:w="9038"/>
          </w:cols>
          <w:pgMar w:left="1440" w:top="1440" w:right="1440" w:bottom="1440" w:gutter="0" w:footer="0" w:header="0"/>
        </w:sectPr>
      </w:pPr>
    </w:p>
    <w:bookmarkStart w:id="21" w:name="page22"/>
    <w:bookmarkEnd w:id="21"/>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WELLS FARGO BANK, N.A.</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/s/Brian Buck</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Brian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-160020</wp:posOffset>
            </wp:positionV>
            <wp:extent cx="180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20" w:h="16838" w:orient="portrait"/>
          <w:cols w:equalWidth="0" w:num="1">
            <w:col w:w="9038"/>
          </w:cols>
          <w:pgMar w:left="1440" w:top="1440" w:right="1440" w:bottom="1440" w:gutter="0" w:footer="0" w:header="0"/>
        </w:sectPr>
      </w:pPr>
    </w:p>
    <w:bookmarkStart w:id="22" w:name="page23"/>
    <w:bookmarkEnd w:id="22"/>
    <w:p>
      <w:pPr>
        <w:jc w:val="center"/>
        <w:ind w:right="-21"/>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10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1"/>
          <w:szCs w:val="21"/>
          <w:b w:val="1"/>
          <w:bCs w:val="1"/>
          <w:color w:val="auto"/>
        </w:rPr>
        <w:t>Conformed Credit Agreement</w:t>
      </w:r>
    </w:p>
    <w:p>
      <w:pPr>
        <w:spacing w:after="0" w:line="200" w:lineRule="exact"/>
        <w:rPr>
          <w:sz w:val="20"/>
          <w:szCs w:val="20"/>
          <w:color w:val="auto"/>
        </w:rPr>
      </w:pPr>
    </w:p>
    <w:p>
      <w:pPr>
        <w:spacing w:after="0" w:line="25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color w:val="auto"/>
        </w:rPr>
        <w:t>[Attached]</w:t>
      </w:r>
    </w:p>
    <w:p>
      <w:pPr>
        <w:sectPr>
          <w:pgSz w:w="11920" w:h="16838" w:orient="portrait"/>
          <w:cols w:equalWidth="0" w:num="1">
            <w:col w:w="9038"/>
          </w:cols>
          <w:pgMar w:left="1440" w:top="1417"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Conformed through Amendment No. </w:t>
      </w:r>
      <w:r>
        <w:rPr>
          <w:rFonts w:ascii="Times New Roman" w:cs="Times New Roman" w:eastAsia="Times New Roman" w:hAnsi="Times New Roman"/>
          <w:sz w:val="22"/>
          <w:szCs w:val="22"/>
          <w:b w:val="1"/>
          <w:bCs w:val="1"/>
          <w:color w:val="EE2724"/>
          <w:strike w:val="1"/>
        </w:rPr>
        <w:t>3</w:t>
      </w:r>
      <w:r>
        <w:rPr>
          <w:rFonts w:ascii="Times New Roman" w:cs="Times New Roman" w:eastAsia="Times New Roman" w:hAnsi="Times New Roman"/>
          <w:sz w:val="22"/>
          <w:szCs w:val="22"/>
          <w:b w:val="1"/>
          <w:bCs w:val="1"/>
          <w:u w:val="single" w:color="auto"/>
          <w:color w:val="0E32E1"/>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681990</wp:posOffset>
            </wp:positionV>
            <wp:extent cx="71577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REVOLVING CREDIT AGREEMENT</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 xml:space="preserve">February 4, 2022 (as amended as of August 15, 2022, as of June 26, 2024 </w:t>
      </w:r>
      <w:r>
        <w:rPr>
          <w:rFonts w:ascii="Times New Roman" w:cs="Times New Roman" w:eastAsia="Times New Roman" w:hAnsi="Times New Roman"/>
          <w:sz w:val="21"/>
          <w:szCs w:val="21"/>
          <w:color w:val="EE2724"/>
          <w:strike w:val="1"/>
        </w:rPr>
        <w:t>and</w:t>
      </w:r>
      <w:r>
        <w:rPr>
          <w:rFonts w:ascii="Times New Roman" w:cs="Times New Roman" w:eastAsia="Times New Roman" w:hAnsi="Times New Roman"/>
          <w:sz w:val="21"/>
          <w:szCs w:val="21"/>
          <w:u w:val="single" w:color="auto"/>
          <w:color w:val="0E32E1"/>
        </w:rPr>
        <w:t>,</w:t>
      </w:r>
      <w:r>
        <w:rPr>
          <w:rFonts w:ascii="Times New Roman" w:cs="Times New Roman" w:eastAsia="Times New Roman" w:hAnsi="Times New Roman"/>
          <w:sz w:val="21"/>
          <w:szCs w:val="21"/>
          <w:color w:val="auto"/>
        </w:rPr>
        <w:t xml:space="preserve"> as of December 16, 2024 </w:t>
      </w:r>
      <w:r>
        <w:rPr>
          <w:rFonts w:ascii="Times New Roman" w:cs="Times New Roman" w:eastAsia="Times New Roman" w:hAnsi="Times New Roman"/>
          <w:sz w:val="21"/>
          <w:szCs w:val="21"/>
          <w:u w:val="single" w:color="auto"/>
          <w:color w:val="0E32E1"/>
        </w:rPr>
        <w:t>and as of June 18, 2026</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AFFIRM, INC.,</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Borrower,</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Holdings,</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Lead Left Arranger, Syndication Agent and Joint Bookrunner,</w:t>
      </w: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BANK OF MONTREAL,</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CANADIAN IMPERIAL BANK OF COMMERCE, NEW YORK BRANCH,</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CITIBANK, N.A.,</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MORGAN STANLEY SENIOR FUNDING, INC. and</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xml:space="preserve">TRUIST </w:t>
      </w:r>
      <w:r>
        <w:rPr>
          <w:rFonts w:ascii="Times New Roman" w:cs="Times New Roman" w:eastAsia="Times New Roman" w:hAnsi="Times New Roman"/>
          <w:sz w:val="22"/>
          <w:szCs w:val="22"/>
          <w:color w:val="EE2724"/>
          <w:strike w:val="1"/>
        </w:rPr>
        <w:t>BANK</w:t>
      </w:r>
      <w:r>
        <w:rPr>
          <w:rFonts w:ascii="Times New Roman" w:cs="Times New Roman" w:eastAsia="Times New Roman" w:hAnsi="Times New Roman"/>
          <w:sz w:val="22"/>
          <w:szCs w:val="22"/>
          <w:u w:val="single" w:color="auto"/>
          <w:color w:val="0E32E1"/>
        </w:rPr>
        <w:t>SECURITIES, INC.</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Co-Arranger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295910</wp:posOffset>
            </wp:positionV>
            <wp:extent cx="71577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00"/>
          </w:cols>
          <w:pgMar w:left="400" w:top="130" w:right="318" w:bottom="1440" w:gutter="0" w:footer="0" w:header="0"/>
        </w:sectPr>
      </w:pPr>
    </w:p>
    <w:bookmarkStart w:id="24" w:name="page25"/>
    <w:bookmarkEnd w:id="24"/>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6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 xml:space="preserve">ARTICLE I </w:t>
            </w:r>
            <w:r>
              <w:rPr>
                <w:rFonts w:ascii="Times New Roman" w:cs="Times New Roman" w:eastAsia="Times New Roman" w:hAnsi="Times New Roman"/>
                <w:sz w:val="22"/>
                <w:szCs w:val="22"/>
                <w:b w:val="1"/>
                <w:bCs w:val="1"/>
                <w:color w:val="auto"/>
              </w:rPr>
              <w:t>DEFINITIONS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15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Defined Terms</w:t>
            </w:r>
          </w:p>
        </w:tc>
        <w:tc>
          <w:tcPr>
            <w:tcW w:w="2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4680" w:type="dxa"/>
            <w:vAlign w:val="bottom"/>
            <w:gridSpan w:val="12"/>
          </w:tcPr>
          <w:p>
            <w:pPr>
              <w:ind w:left="100"/>
              <w:spacing w:after="0"/>
              <w:rPr>
                <w:sz w:val="20"/>
                <w:szCs w:val="20"/>
                <w:color w:val="auto"/>
              </w:rPr>
            </w:pPr>
            <w:r>
              <w:rPr>
                <w:rFonts w:ascii="Times New Roman" w:cs="Times New Roman" w:eastAsia="Times New Roman" w:hAnsi="Times New Roman"/>
                <w:sz w:val="22"/>
                <w:szCs w:val="22"/>
                <w:color w:val="auto"/>
              </w:rPr>
              <w:t>Classification of Loans and Borrowings  39</w:t>
            </w: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15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5"/>
              </w:rPr>
              <w:t>Terms Generally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4680" w:type="dxa"/>
            <w:vAlign w:val="bottom"/>
            <w:gridSpan w:val="12"/>
          </w:tcPr>
          <w:p>
            <w:pPr>
              <w:ind w:left="100"/>
              <w:spacing w:after="0"/>
              <w:rPr>
                <w:sz w:val="20"/>
                <w:szCs w:val="20"/>
                <w:color w:val="auto"/>
              </w:rPr>
            </w:pPr>
            <w:r>
              <w:rPr>
                <w:rFonts w:ascii="Times New Roman" w:cs="Times New Roman" w:eastAsia="Times New Roman" w:hAnsi="Times New Roman"/>
                <w:sz w:val="22"/>
                <w:szCs w:val="22"/>
                <w:color w:val="auto"/>
              </w:rPr>
              <w:t>Accounting Terms; GAAP  40</w:t>
            </w: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1.05.</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Divisions</w:t>
            </w:r>
          </w:p>
        </w:tc>
        <w:tc>
          <w:tcPr>
            <w:tcW w:w="3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81"/>
              </w:rPr>
              <w:t>40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7"/>
        </w:trPr>
        <w:tc>
          <w:tcPr>
            <w:tcW w:w="26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 xml:space="preserve">ARTICLE II </w:t>
            </w:r>
            <w:r>
              <w:rPr>
                <w:rFonts w:ascii="Times New Roman" w:cs="Times New Roman" w:eastAsia="Times New Roman" w:hAnsi="Times New Roman"/>
                <w:sz w:val="22"/>
                <w:szCs w:val="22"/>
                <w:b w:val="1"/>
                <w:bCs w:val="1"/>
                <w:color w:val="auto"/>
                <w:w w:val="98"/>
              </w:rPr>
              <w:t>THE CREDITS</w:t>
            </w:r>
          </w:p>
        </w:tc>
        <w:tc>
          <w:tcPr>
            <w:tcW w:w="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81"/>
              </w:rPr>
              <w:t>40</w:t>
            </w:r>
          </w:p>
        </w:tc>
        <w:tc>
          <w:tcPr>
            <w:tcW w:w="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2"/>
                <w:szCs w:val="22"/>
                <w:color w:val="0000FF"/>
                <w:w w:val="99"/>
              </w:rPr>
              <w:t>41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15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Commitments</w:t>
            </w:r>
          </w:p>
        </w:tc>
        <w:tc>
          <w:tcPr>
            <w:tcW w:w="220" w:type="dxa"/>
            <w:vAlign w:val="bottom"/>
          </w:tcPr>
          <w:p>
            <w:pPr>
              <w:jc w:val="center"/>
              <w:spacing w:after="0"/>
              <w:rPr>
                <w:sz w:val="20"/>
                <w:szCs w:val="20"/>
                <w:color w:val="auto"/>
              </w:rPr>
            </w:pPr>
            <w:r>
              <w:rPr>
                <w:rFonts w:ascii="Times New Roman" w:cs="Times New Roman" w:eastAsia="Times New Roman" w:hAnsi="Times New Roman"/>
                <w:sz w:val="22"/>
                <w:szCs w:val="22"/>
                <w:color w:val="FF0000"/>
                <w:strike w:val="1"/>
                <w:w w:val="99"/>
              </w:rPr>
              <w:t>40</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41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5"/>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21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Loans and Borrowings</w:t>
            </w:r>
          </w:p>
        </w:tc>
        <w:tc>
          <w:tcPr>
            <w:tcW w:w="13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344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Requests for Revolving Borrowings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41</w:t>
            </w:r>
          </w:p>
        </w:tc>
        <w:tc>
          <w:tcPr>
            <w:tcW w:w="1020" w:type="dxa"/>
            <w:vAlign w:val="bottom"/>
            <w:gridSpan w:val="2"/>
          </w:tcPr>
          <w:p>
            <w:pPr>
              <w:jc w:val="right"/>
              <w:ind w:right="820"/>
              <w:spacing w:after="0"/>
              <w:rPr>
                <w:sz w:val="20"/>
                <w:szCs w:val="20"/>
                <w:color w:val="auto"/>
              </w:rPr>
            </w:pPr>
            <w:r>
              <w:rPr>
                <w:rFonts w:ascii="Times New Roman" w:cs="Times New Roman" w:eastAsia="Times New Roman" w:hAnsi="Times New Roman"/>
                <w:sz w:val="22"/>
                <w:szCs w:val="22"/>
                <w:color w:val="0000FF"/>
                <w:w w:val="81"/>
              </w:rPr>
              <w:t>42</w:t>
            </w: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21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w w:val="97"/>
              </w:rPr>
              <w:t>Funding of Borrowings</w:t>
            </w:r>
          </w:p>
        </w:tc>
        <w:tc>
          <w:tcPr>
            <w:tcW w:w="130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21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Interest Elections  43</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2.09.</w:t>
            </w:r>
          </w:p>
        </w:tc>
        <w:tc>
          <w:tcPr>
            <w:tcW w:w="4680" w:type="dxa"/>
            <w:vAlign w:val="bottom"/>
            <w:gridSpan w:val="12"/>
          </w:tcPr>
          <w:p>
            <w:pPr>
              <w:ind w:left="100"/>
              <w:spacing w:after="0"/>
              <w:rPr>
                <w:sz w:val="20"/>
                <w:szCs w:val="20"/>
                <w:color w:val="auto"/>
              </w:rPr>
            </w:pPr>
            <w:r>
              <w:rPr>
                <w:rFonts w:ascii="Times New Roman" w:cs="Times New Roman" w:eastAsia="Times New Roman" w:hAnsi="Times New Roman"/>
                <w:sz w:val="22"/>
                <w:szCs w:val="22"/>
                <w:color w:val="auto"/>
              </w:rPr>
              <w:t>Termination and Reduction of Commitments  44</w:t>
            </w:r>
          </w:p>
        </w:tc>
      </w:tr>
      <w:tr>
        <w:trPr>
          <w:trHeight w:val="51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4680" w:type="dxa"/>
            <w:vAlign w:val="bottom"/>
            <w:gridSpan w:val="12"/>
          </w:tcPr>
          <w:p>
            <w:pPr>
              <w:ind w:left="100"/>
              <w:spacing w:after="0"/>
              <w:rPr>
                <w:sz w:val="20"/>
                <w:szCs w:val="20"/>
                <w:color w:val="auto"/>
              </w:rPr>
            </w:pPr>
            <w:r>
              <w:rPr>
                <w:rFonts w:ascii="Times New Roman" w:cs="Times New Roman" w:eastAsia="Times New Roman" w:hAnsi="Times New Roman"/>
                <w:sz w:val="22"/>
                <w:szCs w:val="22"/>
                <w:color w:val="auto"/>
              </w:rPr>
              <w:t>Repayment of Loans; Evidence of Indebtedness  45</w:t>
            </w: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21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Prepayment of Loans</w:t>
            </w:r>
          </w:p>
        </w:tc>
        <w:tc>
          <w:tcPr>
            <w:tcW w:w="130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w w:val="99"/>
              </w:rPr>
              <w:t>46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Fees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46</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47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20" w:h="16838" w:orient="portrait"/>
          <w:cols w:equalWidth="0" w:num="1">
            <w:col w:w="11260"/>
          </w:cols>
          <w:pgMar w:left="340" w:top="1440" w:right="318" w:bottom="1440" w:gutter="0" w:footer="0" w:header="0"/>
        </w:sectPr>
      </w:pPr>
    </w:p>
    <w:bookmarkStart w:id="25" w:name="page26"/>
    <w:bookmarkEnd w:id="25"/>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7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Interest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0"/>
              </w:rPr>
              <w:t>47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2480" w:type="dxa"/>
            <w:vAlign w:val="bottom"/>
            <w:gridSpan w:val="12"/>
          </w:tcPr>
          <w:p>
            <w:pPr>
              <w:ind w:left="100"/>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9"/>
              </w:rPr>
              <w:t>48</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2.15.</w:t>
            </w:r>
          </w:p>
        </w:tc>
        <w:tc>
          <w:tcPr>
            <w:tcW w:w="20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Increased Costs  50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2480" w:type="dxa"/>
            <w:vAlign w:val="bottom"/>
            <w:gridSpan w:val="12"/>
          </w:tcPr>
          <w:p>
            <w:pPr>
              <w:ind w:left="100"/>
              <w:spacing w:after="0"/>
              <w:rPr>
                <w:sz w:val="20"/>
                <w:szCs w:val="20"/>
                <w:color w:val="auto"/>
              </w:rPr>
            </w:pPr>
            <w:r>
              <w:rPr>
                <w:rFonts w:ascii="Times New Roman" w:cs="Times New Roman" w:eastAsia="Times New Roman" w:hAnsi="Times New Roman"/>
                <w:sz w:val="22"/>
                <w:szCs w:val="22"/>
                <w:color w:val="auto"/>
              </w:rPr>
              <w:t>Break Funding Payments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9"/>
              </w:rPr>
              <w:t>51</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1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2.17.</w:t>
            </w:r>
          </w:p>
        </w:tc>
        <w:tc>
          <w:tcPr>
            <w:tcW w:w="5980" w:type="dxa"/>
            <w:vAlign w:val="bottom"/>
            <w:gridSpan w:val="29"/>
          </w:tcPr>
          <w:p>
            <w:pPr>
              <w:ind w:left="100"/>
              <w:spacing w:after="0"/>
              <w:rPr>
                <w:sz w:val="20"/>
                <w:szCs w:val="20"/>
                <w:color w:val="auto"/>
              </w:rPr>
            </w:pPr>
            <w:r>
              <w:rPr>
                <w:rFonts w:ascii="Times New Roman" w:cs="Times New Roman" w:eastAsia="Times New Roman" w:hAnsi="Times New Roman"/>
                <w:sz w:val="22"/>
                <w:szCs w:val="22"/>
                <w:color w:val="auto"/>
              </w:rPr>
              <w:t>Withholding of Taxes; Gross-Up Payments Free of Taxes  52</w:t>
            </w: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5540" w:type="dxa"/>
            <w:vAlign w:val="bottom"/>
            <w:gridSpan w:val="27"/>
          </w:tcPr>
          <w:p>
            <w:pPr>
              <w:ind w:left="100"/>
              <w:spacing w:after="0"/>
              <w:rPr>
                <w:sz w:val="20"/>
                <w:szCs w:val="20"/>
                <w:color w:val="auto"/>
              </w:rPr>
            </w:pPr>
            <w:r>
              <w:rPr>
                <w:rFonts w:ascii="Times New Roman" w:cs="Times New Roman" w:eastAsia="Times New Roman" w:hAnsi="Times New Roman"/>
                <w:sz w:val="22"/>
                <w:szCs w:val="22"/>
                <w:color w:val="auto"/>
              </w:rPr>
              <w:t>Payments Generally; Pro Rata Treatment; Sharing of Setoffs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56</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57</w:t>
            </w: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2.19.</w:t>
            </w:r>
          </w:p>
        </w:tc>
        <w:tc>
          <w:tcPr>
            <w:tcW w:w="4480" w:type="dxa"/>
            <w:vAlign w:val="bottom"/>
            <w:gridSpan w:val="24"/>
          </w:tcPr>
          <w:p>
            <w:pPr>
              <w:ind w:left="10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20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Defaulting Lenders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59</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81"/>
              </w:rPr>
              <w:t>60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2.21.</w:t>
            </w:r>
          </w:p>
        </w:tc>
        <w:tc>
          <w:tcPr>
            <w:tcW w:w="3160" w:type="dxa"/>
            <w:vAlign w:val="bottom"/>
            <w:gridSpan w:val="15"/>
          </w:tcPr>
          <w:p>
            <w:pPr>
              <w:ind w:left="100"/>
              <w:spacing w:after="0"/>
              <w:rPr>
                <w:sz w:val="20"/>
                <w:szCs w:val="20"/>
                <w:color w:val="auto"/>
              </w:rPr>
            </w:pPr>
            <w:r>
              <w:rPr>
                <w:rFonts w:ascii="Times New Roman" w:cs="Times New Roman" w:eastAsia="Times New Roman" w:hAnsi="Times New Roman"/>
                <w:sz w:val="22"/>
                <w:szCs w:val="22"/>
                <w:color w:val="auto"/>
              </w:rPr>
              <w:t>Incremental Revolving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60</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61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80"/>
        </w:trPr>
        <w:tc>
          <w:tcPr>
            <w:tcW w:w="5540" w:type="dxa"/>
            <w:vAlign w:val="bottom"/>
            <w:gridSpan w:val="22"/>
          </w:tcPr>
          <w:p>
            <w:pPr>
              <w:spacing w:after="0"/>
              <w:rPr>
                <w:sz w:val="20"/>
                <w:szCs w:val="20"/>
                <w:color w:val="auto"/>
              </w:rPr>
            </w:pPr>
            <w:r>
              <w:rPr>
                <w:rFonts w:ascii="Times New Roman" w:cs="Times New Roman" w:eastAsia="Times New Roman" w:hAnsi="Times New Roman"/>
                <w:sz w:val="22"/>
                <w:szCs w:val="22"/>
                <w:color w:val="auto"/>
                <w:w w:val="99"/>
              </w:rPr>
              <w:t xml:space="preserve">ARTICLE III </w:t>
            </w:r>
            <w:r>
              <w:rPr>
                <w:rFonts w:ascii="Times New Roman" w:cs="Times New Roman" w:eastAsia="Times New Roman" w:hAnsi="Times New Roman"/>
                <w:sz w:val="22"/>
                <w:szCs w:val="22"/>
                <w:b w:val="1"/>
                <w:bCs w:val="1"/>
                <w:color w:val="auto"/>
                <w:w w:val="99"/>
              </w:rPr>
              <w:t>REPRESENTATIONS AND WARRANTIES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62</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63</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20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8"/>
              </w:rPr>
              <w:t>Organization; Powers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62</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81"/>
              </w:rPr>
              <w:t>63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2740" w:type="dxa"/>
            <w:vAlign w:val="bottom"/>
            <w:gridSpan w:val="14"/>
          </w:tcPr>
          <w:p>
            <w:pPr>
              <w:ind w:left="10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1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3580" w:type="dxa"/>
            <w:vAlign w:val="bottom"/>
            <w:gridSpan w:val="17"/>
          </w:tcPr>
          <w:p>
            <w:pPr>
              <w:ind w:left="100"/>
              <w:spacing w:after="0"/>
              <w:rPr>
                <w:sz w:val="20"/>
                <w:szCs w:val="20"/>
                <w:color w:val="auto"/>
              </w:rPr>
            </w:pPr>
            <w:r>
              <w:rPr>
                <w:rFonts w:ascii="Times New Roman" w:cs="Times New Roman" w:eastAsia="Times New Roman" w:hAnsi="Times New Roman"/>
                <w:sz w:val="22"/>
                <w:szCs w:val="22"/>
                <w:color w:val="auto"/>
                <w:w w:val="99"/>
              </w:rPr>
              <w:t>Governmental Approvals; No Conflicts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4480" w:type="dxa"/>
            <w:vAlign w:val="bottom"/>
            <w:gridSpan w:val="24"/>
          </w:tcPr>
          <w:p>
            <w:pPr>
              <w:ind w:left="100"/>
              <w:spacing w:after="0"/>
              <w:rPr>
                <w:sz w:val="20"/>
                <w:szCs w:val="20"/>
                <w:color w:val="auto"/>
              </w:rPr>
            </w:pPr>
            <w:r>
              <w:rPr>
                <w:rFonts w:ascii="Times New Roman" w:cs="Times New Roman" w:eastAsia="Times New Roman" w:hAnsi="Times New Roman"/>
                <w:sz w:val="22"/>
                <w:szCs w:val="22"/>
                <w:color w:val="auto"/>
                <w:w w:val="97"/>
              </w:rPr>
              <w:t>Financial Condition; No Material Adverse Change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rPr>
              <w:t>63</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64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Properties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w w:val="90"/>
              </w:rPr>
              <w:t>64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3580" w:type="dxa"/>
            <w:vAlign w:val="bottom"/>
            <w:gridSpan w:val="17"/>
          </w:tcPr>
          <w:p>
            <w:pPr>
              <w:ind w:left="100"/>
              <w:spacing w:after="0"/>
              <w:rPr>
                <w:sz w:val="20"/>
                <w:szCs w:val="20"/>
                <w:color w:val="auto"/>
              </w:rPr>
            </w:pPr>
            <w:r>
              <w:rPr>
                <w:rFonts w:ascii="Times New Roman" w:cs="Times New Roman" w:eastAsia="Times New Roman" w:hAnsi="Times New Roman"/>
                <w:sz w:val="22"/>
                <w:szCs w:val="22"/>
                <w:color w:val="auto"/>
              </w:rPr>
              <w:t>Litigation and Environmental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64</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65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3580" w:type="dxa"/>
            <w:vAlign w:val="bottom"/>
            <w:gridSpan w:val="17"/>
          </w:tcPr>
          <w:p>
            <w:pPr>
              <w:ind w:left="100"/>
              <w:spacing w:after="0"/>
              <w:rPr>
                <w:sz w:val="20"/>
                <w:szCs w:val="20"/>
                <w:color w:val="auto"/>
              </w:rPr>
            </w:pPr>
            <w:r>
              <w:rPr>
                <w:rFonts w:ascii="Times New Roman" w:cs="Times New Roman" w:eastAsia="Times New Roman" w:hAnsi="Times New Roman"/>
                <w:sz w:val="22"/>
                <w:szCs w:val="22"/>
                <w:color w:val="auto"/>
                <w:w w:val="97"/>
              </w:rPr>
              <w:t>Compliance with Laws and Agreements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64</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65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2740" w:type="dxa"/>
            <w:vAlign w:val="bottom"/>
            <w:gridSpan w:val="14"/>
          </w:tcPr>
          <w:p>
            <w:pPr>
              <w:ind w:left="100"/>
              <w:spacing w:after="0"/>
              <w:rPr>
                <w:sz w:val="20"/>
                <w:szCs w:val="20"/>
                <w:color w:val="auto"/>
              </w:rPr>
            </w:pPr>
            <w:r>
              <w:rPr>
                <w:rFonts w:ascii="Times New Roman" w:cs="Times New Roman" w:eastAsia="Times New Roman" w:hAnsi="Times New Roman"/>
                <w:sz w:val="22"/>
                <w:szCs w:val="22"/>
                <w:color w:val="auto"/>
              </w:rPr>
              <w:t>Investment Company Status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65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ERISA</w:t>
            </w:r>
          </w:p>
        </w:tc>
        <w:tc>
          <w:tcPr>
            <w:tcW w:w="380" w:type="dxa"/>
            <w:vAlign w:val="bottom"/>
          </w:tcPr>
          <w:p>
            <w:pPr>
              <w:ind w:left="160"/>
              <w:spacing w:after="0"/>
              <w:rPr>
                <w:sz w:val="20"/>
                <w:szCs w:val="20"/>
                <w:color w:val="auto"/>
              </w:rPr>
            </w:pPr>
            <w:r>
              <w:rPr>
                <w:rFonts w:ascii="Times New Roman" w:cs="Times New Roman" w:eastAsia="Times New Roman" w:hAnsi="Times New Roman"/>
                <w:sz w:val="22"/>
                <w:szCs w:val="22"/>
                <w:color w:val="FF0000"/>
                <w:strike w:val="1"/>
                <w:w w:val="90"/>
              </w:rPr>
              <w:t>65</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81"/>
              </w:rPr>
              <w:t>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9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66</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67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20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Margin Regulations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66</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67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ectPr>
          <w:pgSz w:w="11920" w:h="16838" w:orient="portrait"/>
          <w:cols w:equalWidth="0" w:num="1">
            <w:col w:w="10138"/>
          </w:cols>
          <w:pgMar w:left="340" w:top="1440" w:right="1440" w:bottom="1440" w:gutter="0" w:footer="0" w:header="0"/>
        </w:sectPr>
      </w:pPr>
    </w:p>
    <w:bookmarkStart w:id="26" w:name="page27"/>
    <w:bookmarkEnd w:id="26"/>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3.16.</w:t>
            </w: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Solvency</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66</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w w:val="90"/>
              </w:rPr>
              <w:t>67</w:t>
            </w: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500" w:type="dxa"/>
            <w:vAlign w:val="bottom"/>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Subsidiaries</w:t>
            </w: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66</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3.18.</w:t>
            </w:r>
          </w:p>
        </w:tc>
        <w:tc>
          <w:tcPr>
            <w:tcW w:w="190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Employee Matters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66</w:t>
            </w:r>
          </w:p>
        </w:tc>
        <w:tc>
          <w:tcPr>
            <w:tcW w:w="260" w:type="dxa"/>
            <w:vAlign w:val="bottom"/>
            <w:gridSpan w:val="6"/>
          </w:tcPr>
          <w:p>
            <w:pPr>
              <w:spacing w:after="0"/>
              <w:rPr>
                <w:sz w:val="20"/>
                <w:szCs w:val="20"/>
                <w:color w:val="auto"/>
              </w:rPr>
            </w:pPr>
            <w:r>
              <w:rPr>
                <w:rFonts w:ascii="Times New Roman" w:cs="Times New Roman" w:eastAsia="Times New Roman" w:hAnsi="Times New Roman"/>
                <w:sz w:val="22"/>
                <w:szCs w:val="22"/>
                <w:color w:val="0000FF"/>
              </w:rPr>
              <w:t>67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 xml:space="preserve">ARTICLE IV </w:t>
            </w:r>
            <w:r>
              <w:rPr>
                <w:rFonts w:ascii="Times New Roman" w:cs="Times New Roman" w:eastAsia="Times New Roman" w:hAnsi="Times New Roman"/>
                <w:sz w:val="22"/>
                <w:szCs w:val="22"/>
                <w:b w:val="1"/>
                <w:bCs w:val="1"/>
                <w:color w:val="auto"/>
              </w:rPr>
              <w:t>CONDITIONS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FF0000"/>
                <w:strike w:val="1"/>
                <w:w w:val="81"/>
              </w:rPr>
              <w:t>67</w:t>
            </w:r>
          </w:p>
        </w:tc>
        <w:tc>
          <w:tcPr>
            <w:tcW w:w="2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158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Effective Date</w:t>
            </w:r>
          </w:p>
        </w:tc>
        <w:tc>
          <w:tcPr>
            <w:tcW w:w="2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81"/>
              </w:rPr>
              <w:t>67</w:t>
            </w:r>
          </w:p>
        </w:tc>
        <w:tc>
          <w:tcPr>
            <w:tcW w:w="2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68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190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Each Credit Event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68</w:t>
            </w:r>
          </w:p>
        </w:tc>
        <w:tc>
          <w:tcPr>
            <w:tcW w:w="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0"/>
              </w:rPr>
              <w:t>69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140" w:type="dxa"/>
            <w:vAlign w:val="bottom"/>
            <w:gridSpan w:val="33"/>
          </w:tcPr>
          <w:p>
            <w:pPr>
              <w:spacing w:after="0"/>
              <w:rPr>
                <w:sz w:val="20"/>
                <w:szCs w:val="20"/>
                <w:color w:val="auto"/>
              </w:rPr>
            </w:pPr>
            <w:r>
              <w:rPr>
                <w:rFonts w:ascii="Times New Roman" w:cs="Times New Roman" w:eastAsia="Times New Roman" w:hAnsi="Times New Roman"/>
                <w:sz w:val="22"/>
                <w:szCs w:val="22"/>
                <w:color w:val="auto"/>
                <w:w w:val="97"/>
              </w:rPr>
              <w:t xml:space="preserve">ARTICLE V </w:t>
            </w:r>
            <w:r>
              <w:rPr>
                <w:rFonts w:ascii="Times New Roman" w:cs="Times New Roman" w:eastAsia="Times New Roman" w:hAnsi="Times New Roman"/>
                <w:sz w:val="22"/>
                <w:szCs w:val="22"/>
                <w:b w:val="1"/>
                <w:bCs w:val="1"/>
                <w:color w:val="auto"/>
                <w:w w:val="97"/>
              </w:rPr>
              <w:t>AFFIRMATIVE COVENANTS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69</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70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5620" w:type="dxa"/>
            <w:vAlign w:val="bottom"/>
            <w:gridSpan w:val="47"/>
          </w:tcPr>
          <w:p>
            <w:pPr>
              <w:ind w:left="100"/>
              <w:spacing w:after="0"/>
              <w:rPr>
                <w:sz w:val="20"/>
                <w:szCs w:val="20"/>
                <w:color w:val="auto"/>
              </w:rPr>
            </w:pPr>
            <w:r>
              <w:rPr>
                <w:rFonts w:ascii="Times New Roman" w:cs="Times New Roman" w:eastAsia="Times New Roman" w:hAnsi="Times New Roman"/>
                <w:sz w:val="22"/>
                <w:szCs w:val="22"/>
                <w:color w:val="auto"/>
              </w:rPr>
              <w:t>Financial Statements; Ratings Change and Other Information</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81"/>
              </w:rPr>
              <w:t>69</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70</w:t>
            </w:r>
          </w:p>
        </w:tc>
        <w:tc>
          <w:tcPr>
            <w:tcW w:w="0" w:type="dxa"/>
            <w:vAlign w:val="bottom"/>
          </w:tcPr>
          <w:p>
            <w:pPr>
              <w:spacing w:after="0"/>
              <w:rPr>
                <w:sz w:val="1"/>
                <w:szCs w:val="1"/>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2640" w:type="dxa"/>
            <w:vAlign w:val="bottom"/>
            <w:gridSpan w:val="32"/>
          </w:tcPr>
          <w:p>
            <w:pPr>
              <w:ind w:left="100"/>
              <w:spacing w:after="0"/>
              <w:rPr>
                <w:sz w:val="20"/>
                <w:szCs w:val="20"/>
                <w:color w:val="auto"/>
              </w:rPr>
            </w:pPr>
            <w:r>
              <w:rPr>
                <w:rFonts w:ascii="Times New Roman" w:cs="Times New Roman" w:eastAsia="Times New Roman" w:hAnsi="Times New Roman"/>
                <w:sz w:val="22"/>
                <w:szCs w:val="22"/>
                <w:color w:val="auto"/>
              </w:rPr>
              <w:t>Notices of Material Events</w:t>
            </w:r>
          </w:p>
        </w:tc>
        <w:tc>
          <w:tcPr>
            <w:tcW w:w="2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72</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73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3060" w:type="dxa"/>
            <w:vAlign w:val="bottom"/>
            <w:gridSpan w:val="40"/>
          </w:tcPr>
          <w:p>
            <w:pPr>
              <w:ind w:left="100"/>
              <w:spacing w:after="0"/>
              <w:rPr>
                <w:sz w:val="20"/>
                <w:szCs w:val="20"/>
                <w:color w:val="auto"/>
              </w:rPr>
            </w:pPr>
            <w:r>
              <w:rPr>
                <w:rFonts w:ascii="Times New Roman" w:cs="Times New Roman" w:eastAsia="Times New Roman" w:hAnsi="Times New Roman"/>
                <w:sz w:val="22"/>
                <w:szCs w:val="22"/>
                <w:color w:val="auto"/>
              </w:rPr>
              <w:t>Existence; Conduct of Business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73</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74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2320" w:type="dxa"/>
            <w:vAlign w:val="bottom"/>
            <w:gridSpan w:val="24"/>
          </w:tcPr>
          <w:p>
            <w:pPr>
              <w:ind w:left="100"/>
              <w:spacing w:after="0"/>
              <w:rPr>
                <w:sz w:val="20"/>
                <w:szCs w:val="20"/>
                <w:color w:val="auto"/>
              </w:rPr>
            </w:pPr>
            <w:r>
              <w:rPr>
                <w:rFonts w:ascii="Times New Roman" w:cs="Times New Roman" w:eastAsia="Times New Roman" w:hAnsi="Times New Roman"/>
                <w:sz w:val="22"/>
                <w:szCs w:val="22"/>
                <w:color w:val="auto"/>
              </w:rPr>
              <w:t>Payment of Obligations</w:t>
            </w:r>
          </w:p>
        </w:tc>
        <w:tc>
          <w:tcPr>
            <w:tcW w:w="60" w:type="dxa"/>
            <w:vAlign w:val="bottom"/>
            <w:gridSpan w:val="3"/>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73</w:t>
            </w:r>
          </w:p>
        </w:tc>
        <w:tc>
          <w:tcPr>
            <w:tcW w:w="2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81"/>
              </w:rPr>
              <w:t>74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5.05.</w:t>
            </w:r>
          </w:p>
        </w:tc>
        <w:tc>
          <w:tcPr>
            <w:tcW w:w="3500" w:type="dxa"/>
            <w:vAlign w:val="bottom"/>
            <w:gridSpan w:val="44"/>
          </w:tcPr>
          <w:p>
            <w:pPr>
              <w:ind w:left="100"/>
              <w:spacing w:after="0"/>
              <w:rPr>
                <w:sz w:val="20"/>
                <w:szCs w:val="20"/>
                <w:color w:val="auto"/>
              </w:rPr>
            </w:pPr>
            <w:r>
              <w:rPr>
                <w:rFonts w:ascii="Times New Roman" w:cs="Times New Roman" w:eastAsia="Times New Roman" w:hAnsi="Times New Roman"/>
                <w:sz w:val="22"/>
                <w:szCs w:val="22"/>
                <w:color w:val="auto"/>
              </w:rPr>
              <w:t>Maintenance of Properties; Insurance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5.06.</w:t>
            </w:r>
          </w:p>
        </w:tc>
        <w:tc>
          <w:tcPr>
            <w:tcW w:w="3500" w:type="dxa"/>
            <w:vAlign w:val="bottom"/>
            <w:gridSpan w:val="44"/>
          </w:tcPr>
          <w:p>
            <w:pPr>
              <w:ind w:left="100"/>
              <w:spacing w:after="0"/>
              <w:rPr>
                <w:sz w:val="20"/>
                <w:szCs w:val="20"/>
                <w:color w:val="auto"/>
              </w:rPr>
            </w:pPr>
            <w:r>
              <w:rPr>
                <w:rFonts w:ascii="Times New Roman" w:cs="Times New Roman" w:eastAsia="Times New Roman" w:hAnsi="Times New Roman"/>
                <w:sz w:val="22"/>
                <w:szCs w:val="22"/>
                <w:color w:val="auto"/>
              </w:rPr>
              <w:t>Books and Records; Inspection Rights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rPr>
              <w:t>74</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75</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2320" w:type="dxa"/>
            <w:vAlign w:val="bottom"/>
            <w:gridSpan w:val="24"/>
          </w:tcPr>
          <w:p>
            <w:pPr>
              <w:ind w:left="100"/>
              <w:spacing w:after="0"/>
              <w:rPr>
                <w:sz w:val="20"/>
                <w:szCs w:val="20"/>
                <w:color w:val="auto"/>
              </w:rPr>
            </w:pPr>
            <w:r>
              <w:rPr>
                <w:rFonts w:ascii="Times New Roman" w:cs="Times New Roman" w:eastAsia="Times New Roman" w:hAnsi="Times New Roman"/>
                <w:sz w:val="22"/>
                <w:szCs w:val="22"/>
                <w:color w:val="auto"/>
              </w:rPr>
              <w:t>Compliance with Laws</w:t>
            </w:r>
          </w:p>
        </w:tc>
        <w:tc>
          <w:tcPr>
            <w:tcW w:w="2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74</w:t>
            </w:r>
          </w:p>
        </w:tc>
        <w:tc>
          <w:tcPr>
            <w:tcW w:w="24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color w:val="0000FF"/>
                <w:w w:val="90"/>
              </w:rPr>
              <w:t>75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158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Use of Proceeds</w:t>
            </w: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rPr>
              <w:t>74</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75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Guarantors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820" w:type="dxa"/>
            <w:vAlign w:val="bottom"/>
            <w:gridSpan w:val="25"/>
          </w:tcPr>
          <w:p>
            <w:pPr>
              <w:spacing w:after="0"/>
              <w:rPr>
                <w:sz w:val="20"/>
                <w:szCs w:val="20"/>
                <w:color w:val="auto"/>
              </w:rPr>
            </w:pPr>
            <w:r>
              <w:rPr>
                <w:rFonts w:ascii="Times New Roman" w:cs="Times New Roman" w:eastAsia="Times New Roman" w:hAnsi="Times New Roman"/>
                <w:sz w:val="22"/>
                <w:szCs w:val="22"/>
                <w:color w:val="auto"/>
                <w:w w:val="97"/>
              </w:rPr>
              <w:t xml:space="preserve">ARTICLE VI </w:t>
            </w:r>
            <w:r>
              <w:rPr>
                <w:rFonts w:ascii="Times New Roman" w:cs="Times New Roman" w:eastAsia="Times New Roman" w:hAnsi="Times New Roman"/>
                <w:sz w:val="22"/>
                <w:szCs w:val="22"/>
                <w:b w:val="1"/>
                <w:bCs w:val="1"/>
                <w:color w:val="auto"/>
                <w:w w:val="97"/>
              </w:rPr>
              <w:t>NEGATIVE COVENANTS</w:t>
            </w:r>
          </w:p>
        </w:tc>
        <w:tc>
          <w:tcPr>
            <w:tcW w:w="60" w:type="dxa"/>
            <w:vAlign w:val="bottom"/>
            <w:gridSpan w:val="3"/>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75</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76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9"/>
              </w:rPr>
              <w:t>Indebtedness</w:t>
            </w:r>
          </w:p>
        </w:tc>
        <w:tc>
          <w:tcPr>
            <w:tcW w:w="8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75</w:t>
            </w:r>
          </w:p>
        </w:tc>
        <w:tc>
          <w:tcPr>
            <w:tcW w:w="24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color w:val="0000FF"/>
                <w:w w:val="90"/>
              </w:rPr>
              <w:t>76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6.02.</w:t>
            </w:r>
          </w:p>
        </w:tc>
        <w:tc>
          <w:tcPr>
            <w:tcW w:w="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Liens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77</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2320" w:type="dxa"/>
            <w:vAlign w:val="bottom"/>
            <w:gridSpan w:val="24"/>
          </w:tcPr>
          <w:p>
            <w:pPr>
              <w:ind w:left="100"/>
              <w:spacing w:after="0"/>
              <w:rPr>
                <w:sz w:val="20"/>
                <w:szCs w:val="20"/>
                <w:color w:val="auto"/>
              </w:rPr>
            </w:pPr>
            <w:r>
              <w:rPr>
                <w:rFonts w:ascii="Times New Roman" w:cs="Times New Roman" w:eastAsia="Times New Roman" w:hAnsi="Times New Roman"/>
                <w:sz w:val="22"/>
                <w:szCs w:val="22"/>
                <w:color w:val="auto"/>
              </w:rPr>
              <w:t>Restrictive Agreements</w:t>
            </w:r>
          </w:p>
        </w:tc>
        <w:tc>
          <w:tcPr>
            <w:tcW w:w="40" w:type="dxa"/>
            <w:vAlign w:val="bottom"/>
            <w:gridSpan w:val="2"/>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81"/>
              </w:rPr>
              <w:t>80</w:t>
            </w:r>
          </w:p>
        </w:tc>
        <w:tc>
          <w:tcPr>
            <w:tcW w:w="24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color w:val="0000FF"/>
                <w:w w:val="90"/>
              </w:rPr>
              <w:t>81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Dispositions</w:t>
            </w:r>
          </w:p>
        </w:tc>
        <w:tc>
          <w:tcPr>
            <w:tcW w:w="8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81</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82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190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w w:val="98"/>
              </w:rPr>
              <w:t>Restricted Payments</w:t>
            </w:r>
          </w:p>
        </w:tc>
        <w:tc>
          <w:tcPr>
            <w:tcW w:w="100" w:type="dxa"/>
            <w:vAlign w:val="bottom"/>
            <w:gridSpan w:val="2"/>
          </w:tcPr>
          <w:p>
            <w:pPr>
              <w:spacing w:after="0"/>
              <w:rPr>
                <w:sz w:val="24"/>
                <w:szCs w:val="24"/>
                <w:color w:val="auto"/>
              </w:rPr>
            </w:pP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FF0000"/>
                <w:strike w:val="1"/>
                <w:w w:val="81"/>
              </w:rPr>
              <w:t>81</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ectPr>
          <w:pgSz w:w="11920" w:h="16838" w:orient="portrait"/>
          <w:cols w:equalWidth="0" w:num="1">
            <w:col w:w="10138"/>
          </w:cols>
          <w:pgMar w:left="340" w:top="1440" w:right="1440" w:bottom="1440" w:gutter="0" w:footer="0" w:header="0"/>
        </w:sectPr>
      </w:pPr>
    </w:p>
    <w:bookmarkStart w:id="27" w:name="page28"/>
    <w:bookmarkEnd w:id="27"/>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2560" w:type="dxa"/>
            <w:vAlign w:val="bottom"/>
            <w:gridSpan w:val="14"/>
          </w:tcPr>
          <w:p>
            <w:pPr>
              <w:ind w:left="140"/>
              <w:spacing w:after="0"/>
              <w:rPr>
                <w:sz w:val="20"/>
                <w:szCs w:val="20"/>
                <w:color w:val="auto"/>
              </w:rPr>
            </w:pPr>
            <w:r>
              <w:rPr>
                <w:rFonts w:ascii="Times New Roman" w:cs="Times New Roman" w:eastAsia="Times New Roman" w:hAnsi="Times New Roman"/>
                <w:sz w:val="22"/>
                <w:szCs w:val="22"/>
                <w:color w:val="auto"/>
                <w:w w:val="97"/>
              </w:rPr>
              <w:t>Transactions with Affiliates</w:t>
            </w:r>
          </w:p>
        </w:tc>
        <w:tc>
          <w:tcPr>
            <w:tcW w:w="460" w:type="dxa"/>
            <w:vAlign w:val="bottom"/>
            <w:gridSpan w:val="8"/>
          </w:tcPr>
          <w:p>
            <w:pPr>
              <w:jc w:val="right"/>
              <w:ind w:right="60"/>
              <w:spacing w:after="0"/>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p>
        </w:tc>
        <w:tc>
          <w:tcPr>
            <w:tcW w:w="2560" w:type="dxa"/>
            <w:vAlign w:val="bottom"/>
            <w:gridSpan w:val="14"/>
          </w:tcPr>
          <w:p>
            <w:pPr>
              <w:ind w:left="140"/>
              <w:spacing w:after="0"/>
              <w:rPr>
                <w:sz w:val="20"/>
                <w:szCs w:val="20"/>
                <w:color w:val="auto"/>
              </w:rPr>
            </w:pPr>
            <w:r>
              <w:rPr>
                <w:rFonts w:ascii="Times New Roman" w:cs="Times New Roman" w:eastAsia="Times New Roman" w:hAnsi="Times New Roman"/>
                <w:sz w:val="22"/>
                <w:szCs w:val="22"/>
                <w:color w:val="auto"/>
              </w:rPr>
              <w:t>Restricted Debt Payments</w:t>
            </w:r>
          </w:p>
        </w:tc>
        <w:tc>
          <w:tcPr>
            <w:tcW w:w="4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83</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84</w:t>
            </w:r>
          </w:p>
        </w:tc>
        <w:tc>
          <w:tcPr>
            <w:tcW w:w="20" w:type="dxa"/>
            <w:vAlign w:val="bottom"/>
            <w:tcBorders>
              <w:bottom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2140" w:type="dxa"/>
            <w:vAlign w:val="bottom"/>
            <w:gridSpan w:val="10"/>
          </w:tcPr>
          <w:p>
            <w:pPr>
              <w:ind w:left="140"/>
              <w:spacing w:after="0"/>
              <w:rPr>
                <w:sz w:val="20"/>
                <w:szCs w:val="20"/>
                <w:color w:val="auto"/>
              </w:rPr>
            </w:pPr>
            <w:r>
              <w:rPr>
                <w:rFonts w:ascii="Times New Roman" w:cs="Times New Roman" w:eastAsia="Times New Roman" w:hAnsi="Times New Roman"/>
                <w:sz w:val="22"/>
                <w:szCs w:val="22"/>
                <w:color w:val="auto"/>
              </w:rPr>
              <w:t>Financial Covenants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81"/>
              </w:rPr>
              <w:t>83</w:t>
            </w: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0"/>
              </w:rPr>
              <w:t>84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3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 xml:space="preserve">ARTICLE VII </w:t>
            </w:r>
            <w:r>
              <w:rPr>
                <w:rFonts w:ascii="Times New Roman" w:cs="Times New Roman" w:eastAsia="Times New Roman" w:hAnsi="Times New Roman"/>
                <w:sz w:val="22"/>
                <w:szCs w:val="22"/>
                <w:b w:val="1"/>
                <w:bCs w:val="1"/>
                <w:color w:val="auto"/>
              </w:rPr>
              <w:t>EVENTS OF DEFAULT</w:t>
            </w:r>
          </w:p>
        </w:tc>
        <w:tc>
          <w:tcPr>
            <w:tcW w:w="200" w:type="dxa"/>
            <w:vAlign w:val="bottom"/>
            <w:gridSpan w:val="2"/>
          </w:tcPr>
          <w:p>
            <w:pPr>
              <w:spacing w:after="0"/>
              <w:rPr>
                <w:sz w:val="20"/>
                <w:szCs w:val="20"/>
                <w:color w:val="auto"/>
              </w:rPr>
            </w:pPr>
            <w:r>
              <w:rPr>
                <w:rFonts w:ascii="Times New Roman" w:cs="Times New Roman" w:eastAsia="Times New Roman" w:hAnsi="Times New Roman"/>
                <w:sz w:val="22"/>
                <w:szCs w:val="22"/>
                <w:color w:val="FF0000"/>
                <w:strike w:val="1"/>
                <w:w w:val="81"/>
              </w:rPr>
              <w:t>84</w:t>
            </w:r>
          </w:p>
        </w:tc>
        <w:tc>
          <w:tcPr>
            <w:tcW w:w="260" w:type="dxa"/>
            <w:vAlign w:val="bottom"/>
            <w:gridSpan w:val="6"/>
          </w:tcPr>
          <w:p>
            <w:pPr>
              <w:jc w:val="right"/>
              <w:ind w:right="40"/>
              <w:spacing w:after="0"/>
              <w:rPr>
                <w:sz w:val="20"/>
                <w:szCs w:val="20"/>
                <w:color w:val="auto"/>
              </w:rPr>
            </w:pPr>
            <w:r>
              <w:rPr>
                <w:rFonts w:ascii="Times New Roman" w:cs="Times New Roman" w:eastAsia="Times New Roman" w:hAnsi="Times New Roman"/>
                <w:sz w:val="22"/>
                <w:szCs w:val="22"/>
                <w:color w:val="0000FF"/>
                <w:w w:val="90"/>
              </w:rPr>
              <w:t>85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9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188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Events of Default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84</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85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7.02.</w:t>
            </w:r>
          </w:p>
        </w:tc>
        <w:tc>
          <w:tcPr>
            <w:tcW w:w="3500" w:type="dxa"/>
            <w:vAlign w:val="bottom"/>
            <w:gridSpan w:val="29"/>
          </w:tcPr>
          <w:p>
            <w:pPr>
              <w:ind w:left="140"/>
              <w:spacing w:after="0"/>
              <w:rPr>
                <w:sz w:val="20"/>
                <w:szCs w:val="20"/>
                <w:color w:val="auto"/>
              </w:rPr>
            </w:pPr>
            <w:r>
              <w:rPr>
                <w:rFonts w:ascii="Times New Roman" w:cs="Times New Roman" w:eastAsia="Times New Roman" w:hAnsi="Times New Roman"/>
                <w:sz w:val="22"/>
                <w:szCs w:val="22"/>
                <w:color w:val="auto"/>
              </w:rPr>
              <w:t>Remedies Upon an Event of Default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86</w:t>
            </w:r>
          </w:p>
        </w:tc>
        <w:tc>
          <w:tcPr>
            <w:tcW w:w="42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87</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7.03.</w:t>
            </w:r>
          </w:p>
        </w:tc>
        <w:tc>
          <w:tcPr>
            <w:tcW w:w="232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w w:val="98"/>
              </w:rPr>
              <w:t>Application of Payments</w:t>
            </w:r>
          </w:p>
        </w:tc>
        <w:tc>
          <w:tcPr>
            <w:tcW w:w="2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87</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88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48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 xml:space="preserve">ARTICLE VIII </w:t>
            </w:r>
            <w:r>
              <w:rPr>
                <w:rFonts w:ascii="Times New Roman" w:cs="Times New Roman" w:eastAsia="Times New Roman" w:hAnsi="Times New Roman"/>
                <w:sz w:val="22"/>
                <w:szCs w:val="22"/>
                <w:b w:val="1"/>
                <w:bCs w:val="1"/>
                <w:color w:val="auto"/>
              </w:rPr>
              <w:t>THE ADMINISTRATIVE AGENT</w:t>
            </w:r>
          </w:p>
        </w:tc>
        <w:tc>
          <w:tcPr>
            <w:tcW w:w="220" w:type="dxa"/>
            <w:vAlign w:val="bottom"/>
            <w:gridSpan w:val="4"/>
          </w:tcPr>
          <w:p>
            <w:pPr>
              <w:spacing w:after="0"/>
              <w:rPr>
                <w:sz w:val="20"/>
                <w:szCs w:val="20"/>
                <w:color w:val="auto"/>
              </w:rPr>
            </w:pPr>
            <w:r>
              <w:rPr>
                <w:rFonts w:ascii="Times New Roman" w:cs="Times New Roman" w:eastAsia="Times New Roman" w:hAnsi="Times New Roman"/>
                <w:sz w:val="22"/>
                <w:szCs w:val="22"/>
                <w:color w:val="FF0000"/>
                <w:strike w:val="1"/>
                <w:w w:val="90"/>
              </w:rPr>
              <w:t>88</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2"/>
                <w:szCs w:val="22"/>
                <w:color w:val="0000FF"/>
                <w:w w:val="90"/>
              </w:rPr>
              <w:t>89</w:t>
            </w:r>
          </w:p>
        </w:tc>
        <w:tc>
          <w:tcPr>
            <w:tcW w:w="2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2320" w:type="dxa"/>
            <w:vAlign w:val="bottom"/>
            <w:gridSpan w:val="11"/>
          </w:tcPr>
          <w:p>
            <w:pPr>
              <w:ind w:left="80"/>
              <w:spacing w:after="0"/>
              <w:rPr>
                <w:sz w:val="20"/>
                <w:szCs w:val="20"/>
                <w:color w:val="auto"/>
              </w:rPr>
            </w:pPr>
            <w:r>
              <w:rPr>
                <w:rFonts w:ascii="Times New Roman" w:cs="Times New Roman" w:eastAsia="Times New Roman" w:hAnsi="Times New Roman"/>
                <w:sz w:val="22"/>
                <w:szCs w:val="22"/>
                <w:color w:val="auto"/>
                <w:w w:val="98"/>
              </w:rPr>
              <w:t>Authorization and Action</w:t>
            </w:r>
          </w:p>
        </w:tc>
        <w:tc>
          <w:tcPr>
            <w:tcW w:w="20" w:type="dxa"/>
            <w:vAlign w:val="bottom"/>
          </w:tcPr>
          <w:p>
            <w:pPr>
              <w:spacing w:after="0"/>
              <w:rPr>
                <w:sz w:val="24"/>
                <w:szCs w:val="24"/>
                <w:color w:val="auto"/>
              </w:rPr>
            </w:pPr>
          </w:p>
        </w:tc>
        <w:tc>
          <w:tcPr>
            <w:tcW w:w="480" w:type="dxa"/>
            <w:vAlign w:val="bottom"/>
            <w:gridSpan w:val="8"/>
          </w:tcPr>
          <w:p>
            <w:pPr>
              <w:jc w:val="right"/>
              <w:spacing w:after="0"/>
              <w:rPr>
                <w:sz w:val="20"/>
                <w:szCs w:val="20"/>
                <w:color w:val="auto"/>
              </w:rPr>
            </w:pPr>
            <w:r>
              <w:rPr>
                <w:rFonts w:ascii="Times New Roman" w:cs="Times New Roman" w:eastAsia="Times New Roman" w:hAnsi="Times New Roman"/>
                <w:sz w:val="22"/>
                <w:szCs w:val="22"/>
                <w:color w:val="FF0000"/>
                <w:strike w:val="1"/>
              </w:rPr>
              <w:t>888</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89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5580" w:type="dxa"/>
            <w:vAlign w:val="bottom"/>
            <w:gridSpan w:val="40"/>
          </w:tcPr>
          <w:p>
            <w:pPr>
              <w:ind w:left="140"/>
              <w:spacing w:after="0"/>
              <w:rPr>
                <w:sz w:val="20"/>
                <w:szCs w:val="20"/>
                <w:color w:val="auto"/>
              </w:rPr>
            </w:pPr>
            <w:r>
              <w:rPr>
                <w:rFonts w:ascii="Times New Roman" w:cs="Times New Roman" w:eastAsia="Times New Roman" w:hAnsi="Times New Roman"/>
                <w:sz w:val="22"/>
                <w:szCs w:val="22"/>
                <w:color w:val="auto"/>
              </w:rPr>
              <w:t>Administrative Agent’s Reliance, Limitation of Liability, Etc</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9"/>
              </w:rPr>
              <w:t>91</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92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2560" w:type="dxa"/>
            <w:vAlign w:val="bottom"/>
            <w:gridSpan w:val="14"/>
          </w:tcPr>
          <w:p>
            <w:pPr>
              <w:ind w:left="140"/>
              <w:spacing w:after="0"/>
              <w:rPr>
                <w:sz w:val="20"/>
                <w:szCs w:val="20"/>
                <w:color w:val="auto"/>
              </w:rPr>
            </w:pPr>
            <w:r>
              <w:rPr>
                <w:rFonts w:ascii="Times New Roman" w:cs="Times New Roman" w:eastAsia="Times New Roman" w:hAnsi="Times New Roman"/>
                <w:sz w:val="22"/>
                <w:szCs w:val="22"/>
                <w:color w:val="auto"/>
                <w:w w:val="97"/>
              </w:rPr>
              <w:t>Posting of Communications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FF0000"/>
                <w:strike w:val="1"/>
                <w:w w:val="90"/>
              </w:rPr>
              <w:t>92</w:t>
            </w:r>
          </w:p>
        </w:tc>
        <w:tc>
          <w:tcPr>
            <w:tcW w:w="24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0000FF"/>
                <w:w w:val="72"/>
              </w:rPr>
              <w:t>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p>
        </w:tc>
        <w:tc>
          <w:tcPr>
            <w:tcW w:w="3500" w:type="dxa"/>
            <w:vAlign w:val="bottom"/>
            <w:gridSpan w:val="29"/>
          </w:tcPr>
          <w:p>
            <w:pPr>
              <w:ind w:left="140"/>
              <w:spacing w:after="0"/>
              <w:rPr>
                <w:sz w:val="20"/>
                <w:szCs w:val="20"/>
                <w:color w:val="auto"/>
              </w:rPr>
            </w:pPr>
            <w:r>
              <w:rPr>
                <w:rFonts w:ascii="Times New Roman" w:cs="Times New Roman" w:eastAsia="Times New Roman" w:hAnsi="Times New Roman"/>
                <w:sz w:val="22"/>
                <w:szCs w:val="22"/>
                <w:color w:val="auto"/>
                <w:w w:val="97"/>
              </w:rPr>
              <w:t>The Administrative Agent Individually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FF0000"/>
                <w:strike w:val="1"/>
                <w:w w:val="81"/>
              </w:rPr>
              <w:t>94</w:t>
            </w:r>
          </w:p>
        </w:tc>
        <w:tc>
          <w:tcPr>
            <w:tcW w:w="700" w:type="dxa"/>
            <w:vAlign w:val="bottom"/>
            <w:gridSpan w:val="3"/>
          </w:tcPr>
          <w:p>
            <w:pPr>
              <w:jc w:val="right"/>
              <w:ind w:right="480"/>
              <w:spacing w:after="0"/>
              <w:rPr>
                <w:sz w:val="20"/>
                <w:szCs w:val="20"/>
                <w:color w:val="auto"/>
              </w:rPr>
            </w:pPr>
            <w:r>
              <w:rPr>
                <w:rFonts w:ascii="Times New Roman" w:cs="Times New Roman" w:eastAsia="Times New Roman" w:hAnsi="Times New Roman"/>
                <w:sz w:val="22"/>
                <w:szCs w:val="22"/>
                <w:color w:val="0000FF"/>
                <w:w w:val="90"/>
              </w:rPr>
              <w:t>95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9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p>
        </w:tc>
        <w:tc>
          <w:tcPr>
            <w:tcW w:w="3040" w:type="dxa"/>
            <w:vAlign w:val="bottom"/>
            <w:gridSpan w:val="23"/>
          </w:tcPr>
          <w:p>
            <w:pPr>
              <w:ind w:left="140"/>
              <w:spacing w:after="0"/>
              <w:rPr>
                <w:sz w:val="20"/>
                <w:szCs w:val="20"/>
                <w:color w:val="auto"/>
              </w:rPr>
            </w:pPr>
            <w:r>
              <w:rPr>
                <w:rFonts w:ascii="Times New Roman" w:cs="Times New Roman" w:eastAsia="Times New Roman" w:hAnsi="Times New Roman"/>
                <w:sz w:val="22"/>
                <w:szCs w:val="22"/>
                <w:color w:val="auto"/>
              </w:rPr>
              <w:t>Successor Administrative Agent</w:t>
            </w: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94</w:t>
            </w:r>
          </w:p>
        </w:tc>
        <w:tc>
          <w:tcPr>
            <w:tcW w:w="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81"/>
              </w:rPr>
              <w:t>95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3040" w:type="dxa"/>
            <w:vAlign w:val="bottom"/>
            <w:gridSpan w:val="23"/>
          </w:tcPr>
          <w:p>
            <w:pPr>
              <w:ind w:left="140"/>
              <w:spacing w:after="0"/>
              <w:rPr>
                <w:sz w:val="20"/>
                <w:szCs w:val="20"/>
                <w:color w:val="auto"/>
              </w:rPr>
            </w:pPr>
            <w:r>
              <w:rPr>
                <w:rFonts w:ascii="Times New Roman" w:cs="Times New Roman" w:eastAsia="Times New Roman" w:hAnsi="Times New Roman"/>
                <w:sz w:val="22"/>
                <w:szCs w:val="22"/>
                <w:color w:val="auto"/>
              </w:rPr>
              <w:t>Acknowledgements of Lenders</w:t>
            </w: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81"/>
              </w:rPr>
              <w:t>95</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97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232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rPr>
              <w:t>Certain ERISA Matters</w:t>
            </w:r>
          </w:p>
        </w:tc>
        <w:tc>
          <w:tcPr>
            <w:tcW w:w="20" w:type="dxa"/>
            <w:vAlign w:val="bottom"/>
          </w:tcPr>
          <w:p>
            <w:pPr>
              <w:spacing w:after="0"/>
              <w:rPr>
                <w:sz w:val="24"/>
                <w:szCs w:val="24"/>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FF0000"/>
                <w:strike w:val="1"/>
                <w:w w:val="90"/>
              </w:rPr>
              <w:t>96</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3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 xml:space="preserve">ARTICLE IX </w:t>
            </w:r>
            <w:r>
              <w:rPr>
                <w:rFonts w:ascii="Times New Roman" w:cs="Times New Roman" w:eastAsia="Times New Roman" w:hAnsi="Times New Roman"/>
                <w:sz w:val="22"/>
                <w:szCs w:val="22"/>
                <w:b w:val="1"/>
                <w:bCs w:val="1"/>
                <w:color w:val="auto"/>
              </w:rPr>
              <w:t>MISCELLANEOUS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98</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99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10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98</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99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232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rPr>
              <w:t>Waivers; Amendments</w:t>
            </w:r>
          </w:p>
        </w:tc>
        <w:tc>
          <w:tcPr>
            <w:tcW w:w="380" w:type="dxa"/>
            <w:vAlign w:val="bottom"/>
            <w:gridSpan w:val="5"/>
          </w:tcPr>
          <w:p>
            <w:pPr>
              <w:spacing w:after="0"/>
              <w:rPr>
                <w:sz w:val="20"/>
                <w:szCs w:val="20"/>
                <w:color w:val="auto"/>
              </w:rPr>
            </w:pPr>
            <w:r>
              <w:rPr>
                <w:rFonts w:ascii="Times New Roman" w:cs="Times New Roman" w:eastAsia="Times New Roman" w:hAnsi="Times New Roman"/>
                <w:sz w:val="22"/>
                <w:szCs w:val="22"/>
                <w:color w:val="FF0000"/>
                <w:strike w:val="1"/>
              </w:rPr>
              <w:t>999</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4620" w:type="dxa"/>
            <w:vAlign w:val="bottom"/>
            <w:gridSpan w:val="37"/>
          </w:tcPr>
          <w:p>
            <w:pPr>
              <w:ind w:left="140"/>
              <w:spacing w:after="0"/>
              <w:rPr>
                <w:sz w:val="20"/>
                <w:szCs w:val="20"/>
                <w:color w:val="auto"/>
              </w:rPr>
            </w:pPr>
            <w:r>
              <w:rPr>
                <w:rFonts w:ascii="Times New Roman" w:cs="Times New Roman" w:eastAsia="Times New Roman" w:hAnsi="Times New Roman"/>
                <w:sz w:val="22"/>
                <w:szCs w:val="22"/>
                <w:color w:val="auto"/>
              </w:rPr>
              <w:t>Expenses; Limitation of Liability; Indemnity,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100</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102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10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Survival</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106</w:t>
            </w:r>
          </w:p>
        </w:tc>
        <w:tc>
          <w:tcPr>
            <w:tcW w:w="34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0000FF"/>
                <w:w w:val="90"/>
              </w:rPr>
              <w:t>108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9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9.06.</w:t>
            </w:r>
          </w:p>
        </w:tc>
        <w:tc>
          <w:tcPr>
            <w:tcW w:w="5580" w:type="dxa"/>
            <w:vAlign w:val="bottom"/>
            <w:gridSpan w:val="40"/>
          </w:tcPr>
          <w:p>
            <w:pPr>
              <w:ind w:left="140"/>
              <w:spacing w:after="0"/>
              <w:rPr>
                <w:sz w:val="20"/>
                <w:szCs w:val="20"/>
                <w:color w:val="auto"/>
              </w:rPr>
            </w:pPr>
            <w:r>
              <w:rPr>
                <w:rFonts w:ascii="Times New Roman" w:cs="Times New Roman" w:eastAsia="Times New Roman" w:hAnsi="Times New Roman"/>
                <w:sz w:val="22"/>
                <w:szCs w:val="22"/>
                <w:color w:val="auto"/>
                <w:w w:val="98"/>
              </w:rPr>
              <w:t>Counterparts; Integration; Effectiveness; Electronic Execution</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107</w:t>
            </w:r>
          </w:p>
        </w:tc>
        <w:tc>
          <w:tcPr>
            <w:tcW w:w="3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6"/>
              </w:rPr>
              <w:t>108</w:t>
            </w:r>
          </w:p>
        </w:tc>
      </w:tr>
      <w:tr>
        <w:trPr>
          <w:trHeight w:val="47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9.07.</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Severability</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FF0000"/>
                <w:strike w:val="1"/>
                <w:w w:val="96"/>
              </w:rPr>
              <w:t>108</w:t>
            </w:r>
          </w:p>
        </w:tc>
        <w:tc>
          <w:tcPr>
            <w:tcW w:w="560" w:type="dxa"/>
            <w:vAlign w:val="bottom"/>
            <w:gridSpan w:val="5"/>
          </w:tcPr>
          <w:p>
            <w:pPr>
              <w:jc w:val="right"/>
              <w:ind w:right="172"/>
              <w:spacing w:after="0"/>
              <w:rPr>
                <w:sz w:val="20"/>
                <w:szCs w:val="20"/>
                <w:color w:val="auto"/>
              </w:rPr>
            </w:pPr>
            <w:r>
              <w:rPr>
                <w:rFonts w:ascii="Times New Roman" w:cs="Times New Roman" w:eastAsia="Times New Roman" w:hAnsi="Times New Roman"/>
                <w:sz w:val="22"/>
                <w:szCs w:val="22"/>
                <w:color w:val="0000FF"/>
                <w:w w:val="78"/>
              </w:rPr>
              <w:t>110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20" w:h="16838" w:orient="portrait"/>
          <w:cols w:equalWidth="0" w:num="1">
            <w:col w:w="10138"/>
          </w:cols>
          <w:pgMar w:left="340" w:top="1440" w:right="1440" w:bottom="1440" w:gutter="0" w:footer="0" w:header="0"/>
        </w:sectPr>
      </w:pPr>
    </w:p>
    <w:bookmarkStart w:id="28" w:name="page29"/>
    <w:bookmarkEnd w:id="28"/>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SECTION 9.08.</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108</w:t>
            </w:r>
          </w:p>
        </w:tc>
        <w:tc>
          <w:tcPr>
            <w:tcW w:w="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2"/>
                <w:szCs w:val="22"/>
                <w:color w:val="0000FF"/>
                <w:w w:val="84"/>
              </w:rPr>
              <w:t>110</w:t>
            </w:r>
          </w:p>
        </w:tc>
        <w:tc>
          <w:tcPr>
            <w:tcW w:w="16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50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20" w:type="dxa"/>
            <w:vAlign w:val="bottom"/>
            <w:tcBorders>
              <w:bottom w:val="single" w:sz="8" w:color="0000FF"/>
            </w:tcBorders>
            <w:gridSpan w:val="3"/>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9.09.</w:t>
            </w:r>
          </w:p>
        </w:tc>
        <w:tc>
          <w:tcPr>
            <w:tcW w:w="5500" w:type="dxa"/>
            <w:vAlign w:val="bottom"/>
            <w:gridSpan w:val="23"/>
          </w:tcPr>
          <w:p>
            <w:pPr>
              <w:ind w:left="10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108</w:t>
            </w: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22"/>
                <w:szCs w:val="22"/>
                <w:color w:val="0000FF"/>
                <w:w w:val="90"/>
              </w:rPr>
              <w:t>110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9.10.</w:t>
            </w:r>
          </w:p>
        </w:tc>
        <w:tc>
          <w:tcPr>
            <w:tcW w:w="2740" w:type="dxa"/>
            <w:vAlign w:val="bottom"/>
            <w:gridSpan w:val="14"/>
          </w:tcPr>
          <w:p>
            <w:pPr>
              <w:ind w:left="100"/>
              <w:spacing w:after="0"/>
              <w:rPr>
                <w:sz w:val="20"/>
                <w:szCs w:val="20"/>
                <w:color w:val="auto"/>
              </w:rPr>
            </w:pPr>
            <w:r>
              <w:rPr>
                <w:rFonts w:ascii="Times New Roman" w:cs="Times New Roman" w:eastAsia="Times New Roman" w:hAnsi="Times New Roman"/>
                <w:sz w:val="22"/>
                <w:szCs w:val="22"/>
                <w:color w:val="auto"/>
              </w:rPr>
              <w:t>WAIVER OF JURY TRIAL</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109</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9.11.</w:t>
            </w:r>
          </w:p>
        </w:tc>
        <w:tc>
          <w:tcPr>
            <w:tcW w:w="11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110</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112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9.12.</w:t>
            </w: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Confidentiality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110</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9.13.</w:t>
            </w:r>
          </w:p>
        </w:tc>
        <w:tc>
          <w:tcPr>
            <w:tcW w:w="3200" w:type="dxa"/>
            <w:vAlign w:val="bottom"/>
            <w:gridSpan w:val="19"/>
          </w:tcPr>
          <w:p>
            <w:pPr>
              <w:ind w:left="100"/>
              <w:spacing w:after="0"/>
              <w:rPr>
                <w:sz w:val="20"/>
                <w:szCs w:val="20"/>
                <w:color w:val="auto"/>
              </w:rPr>
            </w:pPr>
            <w:r>
              <w:rPr>
                <w:rFonts w:ascii="Times New Roman" w:cs="Times New Roman" w:eastAsia="Times New Roman" w:hAnsi="Times New Roman"/>
                <w:sz w:val="22"/>
                <w:szCs w:val="22"/>
                <w:color w:val="auto"/>
              </w:rPr>
              <w:t>Material Non-Public Information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111</w:t>
            </w:r>
          </w:p>
        </w:tc>
        <w:tc>
          <w:tcPr>
            <w:tcW w:w="2600" w:type="dxa"/>
            <w:vAlign w:val="bottom"/>
            <w:gridSpan w:val="4"/>
          </w:tcPr>
          <w:p>
            <w:pPr>
              <w:jc w:val="right"/>
              <w:ind w:right="2192"/>
              <w:spacing w:after="0"/>
              <w:rPr>
                <w:sz w:val="20"/>
                <w:szCs w:val="20"/>
                <w:color w:val="auto"/>
              </w:rPr>
            </w:pPr>
            <w:r>
              <w:rPr>
                <w:rFonts w:ascii="Times New Roman" w:cs="Times New Roman" w:eastAsia="Times New Roman" w:hAnsi="Times New Roman"/>
                <w:sz w:val="22"/>
                <w:szCs w:val="22"/>
                <w:color w:val="0000FF"/>
                <w:w w:val="84"/>
              </w:rPr>
              <w:t>113</w:t>
            </w:r>
          </w:p>
        </w:tc>
        <w:tc>
          <w:tcPr>
            <w:tcW w:w="3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9.14.</w:t>
            </w:r>
          </w:p>
        </w:tc>
        <w:tc>
          <w:tcPr>
            <w:tcW w:w="226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Interest Rate Limitation</w:t>
            </w:r>
          </w:p>
        </w:tc>
        <w:tc>
          <w:tcPr>
            <w:tcW w:w="8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111</w:t>
            </w: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84"/>
              </w:rPr>
              <w:t>113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9.15.</w:t>
            </w:r>
          </w:p>
        </w:tc>
        <w:tc>
          <w:tcPr>
            <w:tcW w:w="226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No Fiduciary Duty, Etc</w:t>
            </w:r>
          </w:p>
        </w:tc>
        <w:tc>
          <w:tcPr>
            <w:tcW w:w="8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22"/>
                <w:szCs w:val="22"/>
                <w:color w:val="FF0000"/>
                <w:strike w:val="1"/>
                <w:w w:val="90"/>
              </w:rPr>
              <w:t>112</w:t>
            </w: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84"/>
              </w:rPr>
              <w:t>114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9.16.</w:t>
            </w:r>
          </w:p>
        </w:tc>
        <w:tc>
          <w:tcPr>
            <w:tcW w:w="194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USA PATRIOT Act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FF0000"/>
                <w:strike w:val="1"/>
                <w:w w:val="90"/>
              </w:rPr>
              <w:t>113</w:t>
            </w: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84"/>
              </w:rPr>
              <w:t>115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9.17.</w:t>
            </w:r>
          </w:p>
        </w:tc>
        <w:tc>
          <w:tcPr>
            <w:tcW w:w="6100" w:type="dxa"/>
            <w:vAlign w:val="bottom"/>
            <w:gridSpan w:val="25"/>
          </w:tcPr>
          <w:p>
            <w:pPr>
              <w:ind w:left="100"/>
              <w:spacing w:after="0"/>
              <w:rPr>
                <w:sz w:val="20"/>
                <w:szCs w:val="20"/>
                <w:color w:val="auto"/>
              </w:rPr>
            </w:pPr>
            <w:r>
              <w:rPr>
                <w:rFonts w:ascii="Times New Roman" w:cs="Times New Roman" w:eastAsia="Times New Roman" w:hAnsi="Times New Roman"/>
                <w:sz w:val="22"/>
                <w:szCs w:val="22"/>
                <w:color w:val="auto"/>
                <w:w w:val="89"/>
              </w:rPr>
              <w:t>Acknowledgement and Consent to Bail-In of Affected Financial Institutions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113</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115</w:t>
            </w:r>
          </w:p>
        </w:tc>
        <w:tc>
          <w:tcPr>
            <w:tcW w:w="0" w:type="dxa"/>
            <w:vAlign w:val="bottom"/>
          </w:tcPr>
          <w:p>
            <w:pPr>
              <w:spacing w:after="0"/>
              <w:rPr>
                <w:sz w:val="1"/>
                <w:szCs w:val="1"/>
                <w:color w:val="auto"/>
              </w:rPr>
            </w:pPr>
          </w:p>
        </w:tc>
      </w:tr>
      <w:tr>
        <w:trPr>
          <w:trHeight w:val="480"/>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9.18.</w:t>
            </w:r>
          </w:p>
        </w:tc>
        <w:tc>
          <w:tcPr>
            <w:tcW w:w="194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Erroneous Payment</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FF0000"/>
                <w:strike w:val="1"/>
                <w:w w:val="90"/>
              </w:rPr>
              <w:t>1114</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116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44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9"/>
              </w:rPr>
              <w:t>Schedule 1.01 – Specified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Schedule 2.01A – Commitments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Schedule 3.06 – Disclosed Matters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 3.17</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Subsidiaries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 5.09</w:t>
            </w:r>
          </w:p>
        </w:tc>
        <w:tc>
          <w:tcPr>
            <w:tcW w:w="22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 Excluded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 6.02</w:t>
            </w:r>
          </w:p>
        </w:tc>
        <w:tc>
          <w:tcPr>
            <w:tcW w:w="22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 Existing Liens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 6.08</w:t>
            </w:r>
          </w:p>
        </w:tc>
        <w:tc>
          <w:tcPr>
            <w:tcW w:w="6980" w:type="dxa"/>
            <w:vAlign w:val="bottom"/>
            <w:gridSpan w:val="29"/>
          </w:tcPr>
          <w:p>
            <w:pPr>
              <w:ind w:left="40"/>
              <w:spacing w:after="0"/>
              <w:rPr>
                <w:sz w:val="20"/>
                <w:szCs w:val="20"/>
                <w:color w:val="auto"/>
              </w:rPr>
            </w:pPr>
            <w:r>
              <w:rPr>
                <w:rFonts w:ascii="Times New Roman" w:cs="Times New Roman" w:eastAsia="Times New Roman" w:hAnsi="Times New Roman"/>
                <w:sz w:val="22"/>
                <w:szCs w:val="22"/>
                <w:color w:val="auto"/>
              </w:rPr>
              <w:t>– Existing Transactions with Affiliates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ectPr>
          <w:pgSz w:w="11920" w:h="16838" w:orient="portrait"/>
          <w:cols w:equalWidth="0" w:num="1">
            <w:col w:w="10138"/>
          </w:cols>
          <w:pgMar w:left="340" w:top="144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Form of Assignment and Assumption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Form of Borrowing Request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Form of Interest Election Request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 Form of Guaranty</w:t>
      </w:r>
    </w:p>
    <w:p>
      <w:pPr>
        <w:spacing w:after="0" w:line="220" w:lineRule="exact"/>
        <w:rPr>
          <w:sz w:val="20"/>
          <w:szCs w:val="20"/>
          <w:color w:val="auto"/>
        </w:rPr>
      </w:pPr>
    </w:p>
    <w:p>
      <w:pPr>
        <w:ind w:left="1200" w:right="32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E-1 – U.S. Tax Compliance Certificate (For Non-U.S. Lenders that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Partnerships for U.S. Federal Income Tax Purposes)</w:t>
      </w:r>
    </w:p>
    <w:p>
      <w:pPr>
        <w:spacing w:after="0" w:line="132" w:lineRule="exact"/>
        <w:rPr>
          <w:sz w:val="20"/>
          <w:szCs w:val="20"/>
          <w:color w:val="auto"/>
        </w:rPr>
      </w:pPr>
    </w:p>
    <w:p>
      <w:pPr>
        <w:ind w:left="120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E-2 – U.S. Tax Compliance Certificate (For Non-U.S. Participants that </w:t>
      </w:r>
      <w:r>
        <w:rPr>
          <w:rFonts w:ascii="Times New Roman" w:cs="Times New Roman" w:eastAsia="Times New Roman" w:hAnsi="Times New Roman"/>
          <w:sz w:val="22"/>
          <w:szCs w:val="22"/>
          <w:u w:val="single" w:color="auto"/>
          <w:color w:val="auto"/>
        </w:rPr>
        <w:t>are</w:t>
      </w:r>
      <w:r>
        <w:rPr>
          <w:rFonts w:ascii="Times New Roman" w:cs="Times New Roman" w:eastAsia="Times New Roman" w:hAnsi="Times New Roman"/>
          <w:sz w:val="22"/>
          <w:szCs w:val="22"/>
          <w:color w:val="auto"/>
        </w:rPr>
        <w:t xml:space="preserve"> not Partnerships for U.S. Federal Income Tax Purposes)</w:t>
      </w:r>
    </w:p>
    <w:p>
      <w:pPr>
        <w:spacing w:after="0" w:line="132" w:lineRule="exact"/>
        <w:rPr>
          <w:sz w:val="20"/>
          <w:szCs w:val="20"/>
          <w:color w:val="auto"/>
        </w:rPr>
      </w:pPr>
    </w:p>
    <w:p>
      <w:pPr>
        <w:ind w:left="1200" w:right="340" w:hanging="1214"/>
        <w:spacing w:after="0" w:line="296" w:lineRule="auto"/>
        <w:rPr>
          <w:sz w:val="20"/>
          <w:szCs w:val="20"/>
          <w:color w:val="auto"/>
        </w:rPr>
      </w:pPr>
      <w:r>
        <w:rPr>
          <w:rFonts w:ascii="Times New Roman" w:cs="Times New Roman" w:eastAsia="Times New Roman" w:hAnsi="Times New Roman"/>
          <w:sz w:val="22"/>
          <w:szCs w:val="22"/>
          <w:color w:val="auto"/>
        </w:rPr>
        <w:t>Exhibit E-3 – U.S. Tax Compliance Certificate (For Non-U.S. Participants that are Partnerships for U.S. Federal Income Tax Purposes)</w:t>
      </w:r>
    </w:p>
    <w:p>
      <w:pPr>
        <w:spacing w:after="0" w:line="118" w:lineRule="exact"/>
        <w:rPr>
          <w:sz w:val="20"/>
          <w:szCs w:val="20"/>
          <w:color w:val="auto"/>
        </w:rPr>
      </w:pPr>
    </w:p>
    <w:p>
      <w:pPr>
        <w:ind w:left="1200" w:right="660" w:hanging="1214"/>
        <w:spacing w:after="0" w:line="309" w:lineRule="auto"/>
        <w:rPr>
          <w:sz w:val="20"/>
          <w:szCs w:val="20"/>
          <w:color w:val="auto"/>
        </w:rPr>
      </w:pPr>
      <w:r>
        <w:rPr>
          <w:rFonts w:ascii="Times New Roman" w:cs="Times New Roman" w:eastAsia="Times New Roman" w:hAnsi="Times New Roman"/>
          <w:sz w:val="22"/>
          <w:szCs w:val="22"/>
          <w:color w:val="auto"/>
        </w:rPr>
        <w:t xml:space="preserve">Exhibit E-4 – U.S. Tax Compliance Certificate (For Non-U.S. Lenders that </w:t>
      </w:r>
      <w:r>
        <w:rPr>
          <w:rFonts w:ascii="Times New Roman" w:cs="Times New Roman" w:eastAsia="Times New Roman" w:hAnsi="Times New Roman"/>
          <w:sz w:val="22"/>
          <w:szCs w:val="22"/>
          <w:u w:val="single" w:color="auto"/>
          <w:color w:val="auto"/>
        </w:rPr>
        <w:t>are</w:t>
      </w:r>
      <w:r>
        <w:rPr>
          <w:rFonts w:ascii="Times New Roman" w:cs="Times New Roman" w:eastAsia="Times New Roman" w:hAnsi="Times New Roman"/>
          <w:sz w:val="22"/>
          <w:szCs w:val="22"/>
          <w:color w:val="auto"/>
        </w:rPr>
        <w:t xml:space="preserve"> Partnerships for U.S. Federal Income Tax Purposes)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 – Monthly Receivables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 – Quarterly Receivables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 Compliance Certificate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Prepayment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vi</w:t>
      </w:r>
    </w:p>
    <w:p>
      <w:pPr>
        <w:sectPr>
          <w:pgSz w:w="11920" w:h="16838" w:orient="portrait"/>
          <w:cols w:equalWidth="0" w:num="1">
            <w:col w:w="11080"/>
          </w:cols>
          <w:pgMar w:left="340" w:top="1430" w:right="498" w:bottom="1440" w:gutter="0" w:footer="0" w:header="0"/>
        </w:sectPr>
      </w:pPr>
    </w:p>
    <w:bookmarkStart w:id="30" w:name="page31"/>
    <w:bookmarkEnd w:id="30"/>
    <w:p>
      <w:pPr>
        <w:ind w:right="100" w:firstLine="1296"/>
        <w:spacing w:after="0" w:line="289" w:lineRule="auto"/>
        <w:rPr>
          <w:sz w:val="20"/>
          <w:szCs w:val="20"/>
          <w:color w:val="auto"/>
        </w:rPr>
      </w:pPr>
      <w:r>
        <w:rPr>
          <w:rFonts w:ascii="Times New Roman" w:cs="Times New Roman" w:eastAsia="Times New Roman" w:hAnsi="Times New Roman"/>
          <w:sz w:val="22"/>
          <w:szCs w:val="22"/>
          <w:color w:val="auto"/>
        </w:rPr>
        <w:t>REVOLVING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dated as of February 4, 2022, among AFFIRM, INC., a Delaware corporation, AFFIRM HOLDINGS, INC., a </w:t>
      </w:r>
      <w:r>
        <w:rPr>
          <w:rFonts w:ascii="Times New Roman" w:cs="Times New Roman" w:eastAsia="Times New Roman" w:hAnsi="Times New Roman"/>
          <w:sz w:val="22"/>
          <w:szCs w:val="22"/>
          <w:color w:val="EE2724"/>
          <w:strike w:val="1"/>
        </w:rPr>
        <w:t>Delaware</w:t>
      </w:r>
      <w:r>
        <w:rPr>
          <w:rFonts w:ascii="Times New Roman" w:cs="Times New Roman" w:eastAsia="Times New Roman" w:hAnsi="Times New Roman"/>
          <w:sz w:val="22"/>
          <w:szCs w:val="22"/>
          <w:u w:val="single" w:color="auto"/>
          <w:color w:val="0E32E1"/>
        </w:rPr>
        <w:t>Nevada</w:t>
      </w:r>
      <w:r>
        <w:rPr>
          <w:rFonts w:ascii="Times New Roman" w:cs="Times New Roman" w:eastAsia="Times New Roman" w:hAnsi="Times New Roman"/>
          <w:sz w:val="22"/>
          <w:szCs w:val="22"/>
          <w:color w:val="auto"/>
        </w:rPr>
        <w:t xml:space="preserve"> corporation, the LENDERS party hereto, and BARCLAYS BANK PLC, as Administrative Agent.</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7"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specified below:</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3-Month Rolling Average Delinquent Receivable Ratio</w:t>
      </w:r>
      <w:r>
        <w:rPr>
          <w:rFonts w:ascii="Times New Roman" w:cs="Times New Roman" w:eastAsia="Times New Roman" w:hAnsi="Times New Roman"/>
          <w:sz w:val="22"/>
          <w:szCs w:val="22"/>
          <w:color w:val="auto"/>
        </w:rPr>
        <w:t>” means, with respect to any Due Period, the percentage equivalent of a fraction, (x) the numerator of which is the sum of the Delinquent Receivable Ratio for such Due Period and the Delinquent Receivable Ratios for the preceding two Due Periods, and (y) the denominator of which is three (3).</w:t>
      </w:r>
    </w:p>
    <w:p>
      <w:pPr>
        <w:spacing w:after="0" w:line="17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determined by reference to the Alternate Base Rate.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Borrowing</w:t>
      </w:r>
      <w:r>
        <w:rPr>
          <w:rFonts w:ascii="Times New Roman" w:cs="Times New Roman" w:eastAsia="Times New Roman" w:hAnsi="Times New Roman"/>
          <w:sz w:val="22"/>
          <w:szCs w:val="22"/>
          <w:color w:val="auto"/>
        </w:rPr>
        <w:t>” means, as to any Borrowing, the ABR Loans comprising such Borrowing.</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Loan</w:t>
      </w:r>
      <w:r>
        <w:rPr>
          <w:rFonts w:ascii="Times New Roman" w:cs="Times New Roman" w:eastAsia="Times New Roman" w:hAnsi="Times New Roman"/>
          <w:sz w:val="22"/>
          <w:szCs w:val="22"/>
          <w:color w:val="auto"/>
        </w:rPr>
        <w:t>” means a Loan that bears interest based on the ABR.</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or Persons that are an obligor in respect of any loan or other financial accommodation.</w:t>
      </w:r>
    </w:p>
    <w:p>
      <w:pPr>
        <w:spacing w:after="0" w:line="15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 Interest Rate</w:t>
      </w:r>
      <w:r>
        <w:rPr>
          <w:rFonts w:ascii="Times New Roman" w:cs="Times New Roman" w:eastAsia="Times New Roman" w:hAnsi="Times New Roman"/>
          <w:sz w:val="22"/>
          <w:szCs w:val="22"/>
          <w:color w:val="auto"/>
        </w:rPr>
        <w:t>” means, with respect to any Receivable, the contractual interest rate per annum payable by the Account Debtor under the terms of such Receivable.</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Debt</w:t>
      </w:r>
      <w:r>
        <w:rPr>
          <w:rFonts w:ascii="Times New Roman" w:cs="Times New Roman" w:eastAsia="Times New Roman" w:hAnsi="Times New Roman"/>
          <w:sz w:val="22"/>
          <w:szCs w:val="22"/>
          <w:color w:val="auto"/>
        </w:rPr>
        <w:t>” means, in connection with an acquisition, Indebtedness of a Person operating a Permitted Business existing at the time the Person becomes a Subsidiary and not incurred in connection with, or in contemplation of, the Person becoming a Subsidiary.</w:t>
      </w:r>
    </w:p>
    <w:p>
      <w:pPr>
        <w:sectPr>
          <w:pgSz w:w="11920" w:h="16838" w:orient="portrait"/>
          <w:cols w:equalWidth="0" w:num="1">
            <w:col w:w="11260"/>
          </w:cols>
          <w:pgMar w:left="340" w:top="1430" w:right="318"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Barclays Bank PLC in its capacity as administrative agent for the Lenders hereunder.</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has the meaning assigned to it in Section 9.03(d).</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means, for any day, a rate per annum equal to the greatest of (a) the Prime Rate in effect on such day, (b) the NYFRB Rate in effect on such day plus ½ of 1% and (c) the Term SOFR for a one-month Interest Period on such day plus 1%. Any change in the Alternate Base Rate due to a change in the Prime Rate, the NYFRB Rate or the Term SOFR shall be effective from and including the effective date of such change in the Prime Rate, the NYFRB Rate or the Term SOFR, respectively. If the Alternate Base Rate is being used as an alternate rate of interest pursuant to Section 2.14,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has the meaning assigned to it in Section 9.06(b).</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Holdings or any of its Subsidiaries from time to time concerning or relating to bribery or corruption.</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any and all federal, state, local and applicable foreign law, statutes, ordinances, rules, regulations, court orders and decrees, administrative orders and decrees, and other legal requirements applicable to the Loans, the Loan Documents, the Borrower or Originator.</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Party</w:t>
      </w:r>
      <w:r>
        <w:rPr>
          <w:rFonts w:ascii="Times New Roman" w:cs="Times New Roman" w:eastAsia="Times New Roman" w:hAnsi="Times New Roman"/>
          <w:sz w:val="22"/>
          <w:szCs w:val="22"/>
          <w:color w:val="auto"/>
        </w:rPr>
        <w:t>” has the meaning assigned to it in Section 8.03(c).</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total Commitments represented by such Lender’s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Section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20" w:h="16838" w:orient="portrait"/>
          <w:cols w:equalWidth="0" w:num="1">
            <w:col w:w="11260"/>
          </w:cols>
          <w:pgMar w:left="340" w:top="1430" w:right="318"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22"/>
          <w:szCs w:val="22"/>
          <w:color w:val="auto"/>
        </w:rPr>
        <w:t>2.20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means, for any day, with respect to any ABR Loan, </w:t>
      </w:r>
      <w:r>
        <w:rPr>
          <w:rFonts w:ascii="Times New Roman" w:cs="Times New Roman" w:eastAsia="Times New Roman" w:hAnsi="Times New Roman"/>
          <w:sz w:val="22"/>
          <w:szCs w:val="22"/>
          <w:color w:val="EE2724"/>
          <w:strike w:val="1"/>
        </w:rPr>
        <w:t>0.75</w:t>
      </w:r>
      <w:r>
        <w:rPr>
          <w:rFonts w:ascii="Times New Roman" w:cs="Times New Roman" w:eastAsia="Times New Roman" w:hAnsi="Times New Roman"/>
          <w:sz w:val="22"/>
          <w:szCs w:val="22"/>
          <w:u w:val="single" w:color="auto"/>
          <w:color w:val="0E32E1"/>
        </w:rPr>
        <w:t>0.50</w:t>
      </w:r>
      <w:r>
        <w:rPr>
          <w:rFonts w:ascii="Times New Roman" w:cs="Times New Roman" w:eastAsia="Times New Roman" w:hAnsi="Times New Roman"/>
          <w:sz w:val="22"/>
          <w:szCs w:val="22"/>
          <w:color w:val="auto"/>
        </w:rPr>
        <w:t xml:space="preserve">% per annum, and with respect to any SOFR Loan, </w:t>
      </w:r>
      <w:r>
        <w:rPr>
          <w:rFonts w:ascii="Times New Roman" w:cs="Times New Roman" w:eastAsia="Times New Roman" w:hAnsi="Times New Roman"/>
          <w:sz w:val="22"/>
          <w:szCs w:val="22"/>
          <w:color w:val="EE2724"/>
          <w:strike w:val="1"/>
        </w:rPr>
        <w:t>1.75</w:t>
      </w:r>
      <w:r>
        <w:rPr>
          <w:rFonts w:ascii="Times New Roman" w:cs="Times New Roman" w:eastAsia="Times New Roman" w:hAnsi="Times New Roman"/>
          <w:sz w:val="22"/>
          <w:szCs w:val="22"/>
          <w:u w:val="single" w:color="auto"/>
          <w:color w:val="0E32E1"/>
        </w:rPr>
        <w:t>1.50</w:t>
      </w:r>
      <w:r>
        <w:rPr>
          <w:rFonts w:ascii="Times New Roman" w:cs="Times New Roman" w:eastAsia="Times New Roman" w:hAnsi="Times New Roman"/>
          <w:sz w:val="22"/>
          <w:szCs w:val="22"/>
          <w:color w:val="auto"/>
        </w:rPr>
        <w:t>% per annum.</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has the meaning assigned to it in Section 8.03(a).</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any Receivable, the annual percentage rate required to be disclosed on the truth-in-lending statement delivered to the Account Debtor with respect to such Receivable.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individually or collectively, Barclays Bank PLC, in its capacity as lead arranger hereunder.</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Maturity Date and the date of termination of the Commitments.</w:t>
      </w:r>
    </w:p>
    <w:p>
      <w:pPr>
        <w:spacing w:after="0" w:line="145" w:lineRule="exact"/>
        <w:rPr>
          <w:sz w:val="20"/>
          <w:szCs w:val="20"/>
          <w:color w:val="auto"/>
        </w:rPr>
      </w:pPr>
    </w:p>
    <w:p>
      <w:pPr>
        <w:jc w:val="both"/>
        <w:ind w:right="240"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any tenor for such Benchmark or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(e) of Section 2.14.</w:t>
      </w:r>
    </w:p>
    <w:p>
      <w:pPr>
        <w:spacing w:after="0" w:line="19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20" w:h="16838" w:orient="portrait"/>
          <w:cols w:equalWidth="0" w:num="1">
            <w:col w:w="11260"/>
          </w:cols>
          <w:pgMar w:left="340" w:top="1430" w:right="318"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22"/>
          <w:szCs w:val="22"/>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7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 Bankruptcy Event shall not result solely by virtue of any ownership interest, or the acquisition of any ownership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Benchmark Replacement Date with respect thereto have occurred with respect to Term SOFR or the then-current Benchmark, then “Benchmark” means the applicable Benchmark Replacement to the extent that such Benchmark Replacement has replaced such prior benchmark rate pursuant to clause (b) or (c) of Section 2.14.</w:t>
      </w:r>
    </w:p>
    <w:p>
      <w:pPr>
        <w:spacing w:after="0" w:line="19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1100" w:hanging="351"/>
        <w:spacing w:after="0"/>
        <w:tabs>
          <w:tab w:leader="none" w:pos="11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Daily Simple SOFR;</w:t>
      </w:r>
    </w:p>
    <w:p>
      <w:pPr>
        <w:spacing w:after="0" w:line="260" w:lineRule="exact"/>
        <w:rPr>
          <w:rFonts w:ascii="Times New Roman" w:cs="Times New Roman" w:eastAsia="Times New Roman" w:hAnsi="Times New Roman"/>
          <w:sz w:val="20"/>
          <w:szCs w:val="20"/>
          <w:color w:val="auto"/>
        </w:rPr>
      </w:pPr>
    </w:p>
    <w:p>
      <w:pPr>
        <w:jc w:val="both"/>
        <w:ind w:left="1100" w:right="360" w:hanging="352"/>
        <w:spacing w:after="0" w:line="282" w:lineRule="auto"/>
        <w:tabs>
          <w:tab w:leader="none" w:pos="11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sum of: (a) the alternate benchmark rate that has been selected by the Administrative Agent and the Borrower as the replacement for the then-current Benchmark for the applicable Corresponding Tenor giving due consideration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20" w:h="16838" w:orient="portrait"/>
          <w:cols w:equalWidth="0" w:num="1">
            <w:col w:w="11260"/>
          </w:cols>
          <w:pgMar w:left="340" w:top="1430" w:right="318" w:bottom="1440" w:gutter="0" w:footer="0" w:header="0"/>
        </w:sectPr>
      </w:pPr>
    </w:p>
    <w:bookmarkStart w:id="34" w:name="page35"/>
    <w:bookmarkEnd w:id="34"/>
    <w:p>
      <w:pPr>
        <w:spacing w:after="0" w:line="139" w:lineRule="exact"/>
        <w:rPr>
          <w:sz w:val="20"/>
          <w:szCs w:val="20"/>
          <w:color w:val="auto"/>
        </w:rPr>
      </w:pPr>
    </w:p>
    <w:p>
      <w:pPr>
        <w:jc w:val="both"/>
        <w:ind w:left="1100" w:right="360" w:firstLine="4"/>
        <w:spacing w:after="0" w:line="282" w:lineRule="auto"/>
        <w:tabs>
          <w:tab w:leader="none" w:pos="13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 or (2) above of this definition would be less than the Floor, the Benchmark Replacement will be deemed to be the Floor for the purposes of this Agreement and the other Loan Documents.</w:t>
      </w:r>
    </w:p>
    <w:p>
      <w:pPr>
        <w:spacing w:after="0" w:line="159" w:lineRule="exact"/>
        <w:rPr>
          <w:sz w:val="20"/>
          <w:szCs w:val="20"/>
          <w:color w:val="auto"/>
        </w:rPr>
      </w:pPr>
    </w:p>
    <w:p>
      <w:pPr>
        <w:jc w:val="both"/>
        <w:ind w:firstLine="634"/>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97" w:lineRule="exact"/>
        <w:rPr>
          <w:sz w:val="20"/>
          <w:szCs w:val="20"/>
          <w:color w:val="auto"/>
        </w:rPr>
      </w:pPr>
    </w:p>
    <w:p>
      <w:pPr>
        <w:jc w:val="both"/>
        <w:ind w:firstLine="701"/>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20" w:h="16838" w:orient="portrait"/>
          <w:cols w:equalWidth="0" w:num="1">
            <w:col w:w="11260"/>
          </w:cols>
          <w:pgMar w:left="340" w:top="1440" w:right="318" w:bottom="1440" w:gutter="0" w:footer="0" w:header="0"/>
        </w:sectPr>
      </w:pPr>
    </w:p>
    <w:bookmarkStart w:id="35" w:name="page36"/>
    <w:bookmarkEnd w:id="35"/>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Benchmark:</w:t>
      </w:r>
    </w:p>
    <w:p>
      <w:pPr>
        <w:spacing w:after="0" w:line="247" w:lineRule="exact"/>
        <w:rPr>
          <w:sz w:val="20"/>
          <w:szCs w:val="20"/>
          <w:color w:val="auto"/>
        </w:rPr>
      </w:pPr>
    </w:p>
    <w:p>
      <w:pPr>
        <w:jc w:val="both"/>
        <w:ind w:left="640" w:right="80" w:firstLine="1"/>
        <w:spacing w:after="0" w:line="282" w:lineRule="auto"/>
        <w:tabs>
          <w:tab w:leader="none" w:pos="11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1" w:lineRule="exact"/>
        <w:rPr>
          <w:rFonts w:ascii="Times New Roman" w:cs="Times New Roman" w:eastAsia="Times New Roman" w:hAnsi="Times New Roman"/>
          <w:sz w:val="22"/>
          <w:szCs w:val="22"/>
          <w:color w:val="auto"/>
        </w:rPr>
      </w:pPr>
    </w:p>
    <w:p>
      <w:pPr>
        <w:jc w:val="both"/>
        <w:ind w:left="640" w:right="80" w:firstLine="1"/>
        <w:spacing w:after="0" w:line="276" w:lineRule="auto"/>
        <w:tabs>
          <w:tab w:leader="none" w:pos="112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3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5" w:lineRule="exact"/>
        <w:rPr>
          <w:sz w:val="20"/>
          <w:szCs w:val="20"/>
          <w:color w:val="auto"/>
        </w:rPr>
      </w:pPr>
    </w:p>
    <w:p>
      <w:pPr>
        <w:ind w:left="100" w:right="400" w:firstLine="647"/>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45" w:lineRule="exact"/>
        <w:rPr>
          <w:sz w:val="20"/>
          <w:szCs w:val="20"/>
          <w:color w:val="auto"/>
        </w:rPr>
      </w:pPr>
    </w:p>
    <w:p>
      <w:pPr>
        <w:jc w:val="both"/>
        <w:ind w:left="640" w:right="80" w:firstLine="1"/>
        <w:spacing w:after="0" w:line="279" w:lineRule="auto"/>
        <w:tabs>
          <w:tab w:leader="none" w:pos="119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20" w:h="16838" w:orient="portrait"/>
          <w:cols w:equalWidth="0" w:num="1">
            <w:col w:w="11260"/>
          </w:cols>
          <w:pgMar w:left="340" w:top="1440" w:right="318" w:bottom="1440" w:gutter="0" w:footer="0" w:header="0"/>
        </w:sectPr>
      </w:pPr>
    </w:p>
    <w:bookmarkStart w:id="36" w:name="page37"/>
    <w:bookmarkEnd w:id="36"/>
    <w:p>
      <w:pPr>
        <w:jc w:val="both"/>
        <w:ind w:left="640" w:right="80" w:firstLine="1"/>
        <w:spacing w:after="0" w:line="276" w:lineRule="auto"/>
        <w:tabs>
          <w:tab w:leader="none" w:pos="130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9" w:lineRule="exact"/>
        <w:rPr>
          <w:rFonts w:ascii="Times New Roman" w:cs="Times New Roman" w:eastAsia="Times New Roman" w:hAnsi="Times New Roman"/>
          <w:sz w:val="22"/>
          <w:szCs w:val="22"/>
          <w:color w:val="auto"/>
        </w:rPr>
      </w:pPr>
    </w:p>
    <w:p>
      <w:pPr>
        <w:jc w:val="both"/>
        <w:ind w:left="640" w:right="80" w:firstLine="1"/>
        <w:spacing w:after="0" w:line="279" w:lineRule="auto"/>
        <w:tabs>
          <w:tab w:leader="none" w:pos="130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3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6" w:lineRule="exact"/>
        <w:rPr>
          <w:sz w:val="20"/>
          <w:szCs w:val="20"/>
          <w:color w:val="auto"/>
        </w:rPr>
      </w:pPr>
    </w:p>
    <w:p>
      <w:pPr>
        <w:jc w:val="both"/>
        <w:ind w:firstLine="467"/>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the period (if any) (x) beginning at the time that a Benchmark Replacement Date has occurred if, at such time, no Benchmark Replacement has replaced the then-current Benchmark for all purposes hereunder and under any Loan Document in accordance with Section 2.14 and (y) ending at the time that a Benchmark Replacement has replaced the then-current Benchmark for all purposes hereunder and under any Loan Document in accordance with Section 2.14.</w:t>
      </w:r>
    </w:p>
    <w:p>
      <w:pPr>
        <w:spacing w:after="0" w:line="1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20" w:h="16838" w:orient="portrait"/>
          <w:cols w:equalWidth="0" w:num="1">
            <w:col w:w="11260"/>
          </w:cols>
          <w:pgMar w:left="340" w:top="1430" w:right="318" w:bottom="1440" w:gutter="0" w:footer="0" w:header="0"/>
        </w:sectPr>
      </w:pPr>
    </w:p>
    <w:bookmarkStart w:id="37" w:name="page38"/>
    <w:bookmarkEnd w:id="37"/>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Bookrunners</w:t>
      </w:r>
      <w:r>
        <w:rPr>
          <w:rFonts w:ascii="Times New Roman" w:cs="Times New Roman" w:eastAsia="Times New Roman" w:hAnsi="Times New Roman"/>
          <w:sz w:val="22"/>
          <w:szCs w:val="22"/>
          <w:color w:val="auto"/>
        </w:rPr>
        <w:t>” means Barclays Bank PLC, in its capacity as bookrunner hereunder.</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Affirm, Inc., a Delaware corporation.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Borrowing.</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the Borrower for a Revolving Borrowing in accordance with Section 2.03, which shall be substantially in the form of Exhibit B or any other form approved by the Administrative Agent.</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when used in connection with a SOFR Loan, the term “Business Day” shall also exclude any day </w:t>
      </w:r>
      <w:r>
        <w:rPr>
          <w:rFonts w:ascii="Times New Roman" w:cs="Times New Roman" w:eastAsia="Times New Roman" w:hAnsi="Times New Roman"/>
          <w:sz w:val="22"/>
          <w:szCs w:val="22"/>
          <w:color w:val="EE2724"/>
          <w:strike w:val="1"/>
        </w:rPr>
        <w:t>on which banks are not open for dealings in dollar deposits in the London interbank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market</w:t>
      </w:r>
      <w:r>
        <w:rPr>
          <w:rFonts w:ascii="Times New Roman" w:cs="Times New Roman" w:eastAsia="Times New Roman" w:hAnsi="Times New Roman"/>
          <w:sz w:val="22"/>
          <w:szCs w:val="22"/>
          <w:u w:val="single" w:color="auto"/>
          <w:color w:val="3051F2"/>
        </w:rPr>
        <w:t>that is not a U.S. Government Securities Business Day</w:t>
      </w:r>
      <w:r>
        <w:rPr>
          <w:rFonts w:ascii="Times New Roman" w:cs="Times New Roman" w:eastAsia="Times New Roman" w:hAnsi="Times New Roman"/>
          <w:sz w:val="22"/>
          <w:szCs w:val="22"/>
          <w:color w:val="000000"/>
        </w:rPr>
        <w:t>.</w:t>
      </w:r>
    </w:p>
    <w:p>
      <w:pPr>
        <w:spacing w:after="0" w:line="1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61"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means any of the following: (a) marketable direct obligations issued by, or unconditionally guaranteed or insured by, the United States Government or issued by any agency thereof, in each case maturing within ninety (90) days or less after the date of the applicable financial statement reporting such amounts, (b) certificates of deposit, time deposits or eurodollar or SOFR time deposits having maturities of ninety (90) days or less after the date of the applicable financial statement reporting such amounts, or overnight bank deposits, issued by any well-capitalized commercial bank organized under the laws of the United States or any state thereof having combined capital and surplus of not less than $500,000,000, (c) repurchase obligations of any commercial bank satisfying the requirements of clause (b) of this definition, having a term of not more than seven (7) days with respect to securities issued or fully guaranteed or insured by the United States Government, (d) commercial paper of a domestic issuer rated at least A-1 or the equivalent thereof by S&amp;P or P-1 or the equivalent thereof by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20" w:h="16838" w:orient="portrait"/>
          <w:cols w:equalWidth="0" w:num="1">
            <w:col w:w="11260"/>
          </w:cols>
          <w:pgMar w:left="340" w:top="1430" w:right="318" w:bottom="1440" w:gutter="0" w:footer="0" w:header="0"/>
        </w:sectPr>
      </w:pPr>
    </w:p>
    <w:bookmarkStart w:id="38" w:name="page39"/>
    <w:bookmarkEnd w:id="38"/>
    <w:p>
      <w:pPr>
        <w:ind w:left="7"/>
        <w:spacing w:after="0"/>
        <w:rPr>
          <w:sz w:val="20"/>
          <w:szCs w:val="20"/>
          <w:color w:val="auto"/>
        </w:rPr>
      </w:pPr>
      <w:r>
        <w:rPr>
          <w:rFonts w:ascii="Times New Roman" w:cs="Times New Roman" w:eastAsia="Times New Roman" w:hAnsi="Times New Roman"/>
          <w:sz w:val="22"/>
          <w:szCs w:val="22"/>
          <w:color w:val="auto"/>
        </w:rPr>
        <w:t>Moody’s and in either case maturing within ninety (90) days after the day of acquisition, (e) securities with maturities of ninety</w:t>
      </w:r>
    </w:p>
    <w:p>
      <w:pPr>
        <w:spacing w:after="0" w:line="31" w:lineRule="exact"/>
        <w:rPr>
          <w:sz w:val="20"/>
          <w:szCs w:val="20"/>
          <w:color w:val="auto"/>
        </w:rPr>
      </w:pPr>
    </w:p>
    <w:p>
      <w:pPr>
        <w:jc w:val="both"/>
        <w:ind w:left="7" w:hanging="7"/>
        <w:spacing w:after="0" w:line="277" w:lineRule="auto"/>
        <w:tabs>
          <w:tab w:leader="none" w:pos="4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ninety (90) days or less from the date of acquisition backed by standby letters of credit issued by any commercial bank satisfying the requirements of clause (b) of this definition, (g) shares of money market mutual or similar funds or (h) 70% of the unencumbered marketable securities in the Borrower or its Subsidiaries’ accounts.</w:t>
      </w:r>
    </w:p>
    <w:p>
      <w:pPr>
        <w:spacing w:after="0" w:line="184" w:lineRule="exact"/>
        <w:rPr>
          <w:sz w:val="20"/>
          <w:szCs w:val="20"/>
          <w:color w:val="auto"/>
        </w:rPr>
      </w:pPr>
    </w:p>
    <w:p>
      <w:pPr>
        <w:jc w:val="both"/>
        <w:ind w:left="7" w:firstLine="648"/>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the sale, lease or transfer, in one or a series of related transactions, of all or substantially all the assets of Holdings and its Subsidiaries, taken as a whole, to a person other than any of the Permitted Holders, (b) Holdings ceases to own directly or indirectly 100% of the issued and outstanding equity interests of the Borrower or (c) the acquisition of ownership, directly or indirectly, beneficially or of record, by any Person or group (within the meaning of the Exchange Act and the rules of the SEC thereunder as in effect on the date hereof) other than any of the Permitted Holders, of Equity Interests representing more than 45% of the aggregate ordinary voting power represented by the issued and outstanding Equity Interests of Holdings, unless the Permitted Holders have, at such time, the right or the ability by voting power, contract or otherwise to elect or designate for election at least a majority of the members of the board of directors or equivalent governing body of Holdings. For purposes of determining Equity Interests of Holdings owned by the Permitted Holders under the preceding clause (b), all amounts indirectly or beneficially owned by the Permitted Holders shall be included in the determination thereof.</w:t>
      </w:r>
    </w:p>
    <w:p>
      <w:pPr>
        <w:spacing w:after="0" w:line="174" w:lineRule="exact"/>
        <w:rPr>
          <w:sz w:val="20"/>
          <w:szCs w:val="20"/>
          <w:color w:val="auto"/>
        </w:rPr>
      </w:pPr>
    </w:p>
    <w:p>
      <w:pPr>
        <w:jc w:val="both"/>
        <w:ind w:left="7" w:firstLine="648"/>
        <w:spacing w:after="0" w:line="282" w:lineRule="auto"/>
        <w:rPr>
          <w:sz w:val="20"/>
          <w:szCs w:val="20"/>
          <w:color w:val="auto"/>
        </w:rPr>
      </w:pPr>
      <w:r>
        <w:rPr>
          <w:rFonts w:ascii="Times New Roman" w:cs="Times New Roman" w:eastAsia="Times New Roman" w:hAnsi="Times New Roman"/>
          <w:sz w:val="22"/>
          <w:szCs w:val="22"/>
          <w:color w:val="auto"/>
        </w:rPr>
        <w:t>Notwithstanding the foregoing: (i) the transfer of assets between or among Holdings and its Subsidiaries shall not itself constitute a Change in Control and (ii) a Person or group shall not be deemed to have beneficial ownership of securities subject to a stock purchase agreement, merger agreement or similar agreement (or voting or option agreement related thereto) prior to the consummation of the transactions contemplated by such agreement.</w:t>
      </w:r>
    </w:p>
    <w:p>
      <w:pPr>
        <w:spacing w:after="0" w:line="175" w:lineRule="exact"/>
        <w:rPr>
          <w:sz w:val="20"/>
          <w:szCs w:val="20"/>
          <w:color w:val="auto"/>
        </w:rPr>
      </w:pPr>
    </w:p>
    <w:p>
      <w:pPr>
        <w:jc w:val="both"/>
        <w:ind w:left="7" w:firstLine="648"/>
        <w:spacing w:after="0" w:line="279" w:lineRule="auto"/>
        <w:rPr>
          <w:sz w:val="20"/>
          <w:szCs w:val="20"/>
          <w:color w:val="auto"/>
        </w:rPr>
      </w:pPr>
      <w:r>
        <w:rPr>
          <w:rFonts w:ascii="Times New Roman" w:cs="Times New Roman" w:eastAsia="Times New Roman" w:hAnsi="Times New Roman"/>
          <w:sz w:val="22"/>
          <w:szCs w:val="22"/>
          <w:color w:val="auto"/>
        </w:rPr>
        <w:t>In addition, notwithstanding the foregoing, a transaction in which Holdings or a parent entity of Holdings becomes a Subsidiary of another Person (such Person, the “</w:t>
      </w:r>
      <w:r>
        <w:rPr>
          <w:rFonts w:ascii="Times New Roman" w:cs="Times New Roman" w:eastAsia="Times New Roman" w:hAnsi="Times New Roman"/>
          <w:sz w:val="22"/>
          <w:szCs w:val="22"/>
          <w:u w:val="single" w:color="auto"/>
          <w:color w:val="auto"/>
        </w:rPr>
        <w:t>New Parent</w:t>
      </w:r>
      <w:r>
        <w:rPr>
          <w:rFonts w:ascii="Times New Roman" w:cs="Times New Roman" w:eastAsia="Times New Roman" w:hAnsi="Times New Roman"/>
          <w:sz w:val="22"/>
          <w:szCs w:val="22"/>
          <w:color w:val="auto"/>
        </w:rPr>
        <w:t>”) shall not constitute a Change in Control if the equityholders of Holdings or such parent entity immediately prior to such transaction beneficially own, directly or indirectly through one or more intermediaries, at least a majority of the total voting power of the equity interests of Holdings or such New Parent immediately following the consummation of such transaction.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9</w:t>
      </w:r>
    </w:p>
    <w:p>
      <w:pPr>
        <w:sectPr>
          <w:pgSz w:w="11920" w:h="16838" w:orient="portrait"/>
          <w:cols w:equalWidth="0" w:num="1">
            <w:col w:w="11267"/>
          </w:cols>
          <w:pgMar w:left="333" w:top="1430" w:right="318" w:bottom="1440" w:gutter="0" w:footer="0" w:header="0"/>
        </w:sectPr>
      </w:pPr>
    </w:p>
    <w:bookmarkStart w:id="39" w:name="page40"/>
    <w:bookmarkEnd w:id="39"/>
    <w:p>
      <w:pPr>
        <w:jc w:val="both"/>
        <w:ind w:left="7"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anything herein to the contrary, (x) the Dodd-Frank Wall Street Reform and Consumer Protection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jc w:val="both"/>
        <w:ind w:left="7"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 Receivable that has been (a) specifically and separately reserved against by the Borrower or any of its Subsidiaries (other than Specified Subsidiaries) or (b) deemed charged-off or non-collectible by the Borrower or any of its Subsidiaries (other than Specified Subsidiaries) or that should have been charged off consistent with the Underwriting/Servicing Policies.</w:t>
      </w:r>
    </w:p>
    <w:p>
      <w:pPr>
        <w:spacing w:after="0" w:line="175"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assigned to it in Section 9.14.</w:t>
      </w:r>
    </w:p>
    <w:p>
      <w:pPr>
        <w:spacing w:after="0" w:line="260"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47" w:lineRule="exact"/>
        <w:rPr>
          <w:sz w:val="20"/>
          <w:szCs w:val="20"/>
          <w:color w:val="auto"/>
        </w:rPr>
      </w:pPr>
    </w:p>
    <w:p>
      <w:pPr>
        <w:jc w:val="both"/>
        <w:ind w:left="7" w:firstLine="648"/>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with respect to each Lender, the amount set forth on Schedule 2.01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w:t>
      </w:r>
    </w:p>
    <w:p>
      <w:pPr>
        <w:jc w:val="both"/>
        <w:ind w:left="7" w:hanging="7"/>
        <w:spacing w:after="0" w:line="282" w:lineRule="auto"/>
        <w:tabs>
          <w:tab w:leader="none" w:pos="32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increases from time to time pursuant to an Increased Commitment Supplement and (c) any reduction or increase in such amount from time to time pursuant to assignments by or to such Lender pursuant to Section 9.04;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no time shall the Revolving Credit Exposure of any Lender exceed its Commitment. The initial aggregate amount of the Lenders’ Commitments as of June </w:t>
      </w:r>
      <w:r>
        <w:rPr>
          <w:rFonts w:ascii="Times New Roman" w:cs="Times New Roman" w:eastAsia="Times New Roman" w:hAnsi="Times New Roman"/>
          <w:sz w:val="22"/>
          <w:szCs w:val="22"/>
          <w:color w:val="EE2724"/>
          <w:strike w:val="1"/>
        </w:rPr>
        <w:t>26</w:t>
      </w:r>
      <w:r>
        <w:rPr>
          <w:rFonts w:ascii="Times New Roman" w:cs="Times New Roman" w:eastAsia="Times New Roman" w:hAnsi="Times New Roman"/>
          <w:sz w:val="22"/>
          <w:szCs w:val="22"/>
          <w:u w:val="single" w:color="auto"/>
          <w:color w:val="0E32E1"/>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2024</w:t>
      </w:r>
      <w:r>
        <w:rPr>
          <w:rFonts w:ascii="Times New Roman" w:cs="Times New Roman" w:eastAsia="Times New Roman" w:hAnsi="Times New Roman"/>
          <w:sz w:val="22"/>
          <w:szCs w:val="22"/>
          <w:u w:val="single" w:color="auto"/>
          <w:color w:val="0E32E1"/>
        </w:rPr>
        <w:t>2026</w:t>
      </w:r>
      <w:r>
        <w:rPr>
          <w:rFonts w:ascii="Times New Roman" w:cs="Times New Roman" w:eastAsia="Times New Roman" w:hAnsi="Times New Roman"/>
          <w:sz w:val="22"/>
          <w:szCs w:val="22"/>
          <w:color w:val="auto"/>
        </w:rPr>
        <w:t xml:space="preserve"> is $</w:t>
      </w:r>
      <w:r>
        <w:rPr>
          <w:rFonts w:ascii="Times New Roman" w:cs="Times New Roman" w:eastAsia="Times New Roman" w:hAnsi="Times New Roman"/>
          <w:sz w:val="22"/>
          <w:szCs w:val="22"/>
          <w:color w:val="EE2724"/>
          <w:strike w:val="1"/>
        </w:rPr>
        <w:t>330,000,000</w:t>
      </w:r>
      <w:r>
        <w:rPr>
          <w:rFonts w:ascii="Times New Roman" w:cs="Times New Roman" w:eastAsia="Times New Roman" w:hAnsi="Times New Roman"/>
          <w:sz w:val="22"/>
          <w:szCs w:val="22"/>
          <w:u w:val="single" w:color="auto"/>
          <w:color w:val="0E32E1"/>
        </w:rPr>
        <w:t>675,000,000</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assigned to it in Section 8.03(c).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10</w:t>
      </w:r>
    </w:p>
    <w:p>
      <w:pPr>
        <w:sectPr>
          <w:pgSz w:w="11920" w:h="16838" w:orient="portrait"/>
          <w:cols w:equalWidth="0" w:num="1">
            <w:col w:w="11267"/>
          </w:cols>
          <w:pgMar w:left="333" w:top="1430" w:right="318" w:bottom="1440" w:gutter="0" w:footer="0" w:header="0"/>
        </w:sectPr>
      </w:pPr>
    </w:p>
    <w:bookmarkStart w:id="40" w:name="page41"/>
    <w:bookmarkEnd w:id="40"/>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Assets</w:t>
      </w:r>
      <w:r>
        <w:rPr>
          <w:rFonts w:ascii="Times New Roman" w:cs="Times New Roman" w:eastAsia="Times New Roman" w:hAnsi="Times New Roman"/>
          <w:sz w:val="22"/>
          <w:szCs w:val="22"/>
          <w:color w:val="auto"/>
        </w:rPr>
        <w:t>” means the total assets of Holdings and its Subsidiaries, determined on a consolidated basis in accordance with GAAP, as shown on the balance sheet as of the end of the most recent fiscal quarter for which financial statements have been delivered, adjusted on a pro forma basis to reflect any acquisition or dispositions of assets.</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61"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Corresponding Tenor</w:t>
      </w:r>
      <w:r>
        <w:rPr>
          <w:rFonts w:ascii="Times New Roman" w:cs="Times New Roman" w:eastAsia="Times New Roman" w:hAnsi="Times New Roman"/>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or any Lender.</w:t>
      </w:r>
    </w:p>
    <w:p>
      <w:pPr>
        <w:spacing w:after="0" w:line="260"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Cumulative Default Amount</w:t>
      </w:r>
      <w:r>
        <w:rPr>
          <w:rFonts w:ascii="Times New Roman" w:cs="Times New Roman" w:eastAsia="Times New Roman" w:hAnsi="Times New Roman"/>
          <w:sz w:val="21"/>
          <w:szCs w:val="21"/>
          <w:color w:val="auto"/>
        </w:rPr>
        <w:t>” means, for any Quarterly Vintage, the aggregate of the Default Amounts of all Past/Present Financed Receivables in such Quarterly Vintage that became Defaulted Receivables at any time after the Effective Date.</w:t>
      </w:r>
    </w:p>
    <w:p>
      <w:pPr>
        <w:spacing w:after="0" w:line="13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Default Ratio</w:t>
      </w:r>
      <w:r>
        <w:rPr>
          <w:rFonts w:ascii="Times New Roman" w:cs="Times New Roman" w:eastAsia="Times New Roman" w:hAnsi="Times New Roman"/>
          <w:sz w:val="22"/>
          <w:szCs w:val="22"/>
          <w:color w:val="auto"/>
        </w:rPr>
        <w:t>” means, for any Quarterly Vintage, the ratio expressed as a percentage of (i) the Cumulative Default Amount for such Quarterly Vintage to (ii) the sum of the initial Receivable Balances of all Past/Present Financed Receivables in such Quarterly Vintage. The Cumulative Default Ratio for each Quarterly Vintage shall be calculated as of the last day of the most recently ended calendar quarter and shall be reported on each quarterly report delivered pursuant to Section 5.01(e)(ii).</w:t>
      </w:r>
    </w:p>
    <w:p>
      <w:pPr>
        <w:spacing w:after="0" w:line="19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w:t>
      </w:r>
      <w:r>
        <w:rPr>
          <w:rFonts w:ascii="Times New Roman" w:cs="Times New Roman" w:eastAsia="Times New Roman" w:hAnsi="Times New Roman"/>
          <w:sz w:val="22"/>
          <w:szCs w:val="22"/>
          <w:color w:val="auto"/>
        </w:rPr>
        <w:t>” means that in the good faith judgment of the Borrower’s senior management, (a) the terms are customary in the market or (b) such terms are not customary but are not materially worse for the Lenders than customary terms.</w:t>
      </w:r>
    </w:p>
    <w:p>
      <w:pPr>
        <w:spacing w:after="0" w:line="15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the greater of (a) SOFR for the day (such day “i”)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20" w:h="16838" w:orient="portrait"/>
          <w:cols w:equalWidth="0" w:num="1">
            <w:col w:w="11260"/>
          </w:cols>
          <w:pgMar w:left="340" w:top="1430" w:right="318" w:bottom="1440" w:gutter="0" w:footer="0" w:header="0"/>
        </w:sectPr>
      </w:pPr>
    </w:p>
    <w:bookmarkStart w:id="41" w:name="page42"/>
    <w:bookmarkEnd w:id="41"/>
    <w:p>
      <w:pPr>
        <w:jc w:val="both"/>
        <w:spacing w:after="0" w:line="276" w:lineRule="auto"/>
        <w:rPr>
          <w:sz w:val="20"/>
          <w:szCs w:val="20"/>
          <w:color w:val="auto"/>
        </w:rPr>
      </w:pPr>
      <w:r>
        <w:rPr>
          <w:rFonts w:ascii="Times New Roman" w:cs="Times New Roman" w:eastAsia="Times New Roman" w:hAnsi="Times New Roman"/>
          <w:sz w:val="22"/>
          <w:szCs w:val="22"/>
          <w:color w:val="auto"/>
        </w:rPr>
        <w:t>Administrator’s Website, and (b) the Floor. If by 5:00 pm (New York City time) on the second (2nd)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8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w:t>
      </w:r>
      <w:r>
        <w:rPr>
          <w:rFonts w:ascii="Times New Roman" w:cs="Times New Roman" w:eastAsia="Times New Roman" w:hAnsi="Times New Roman"/>
          <w:sz w:val="22"/>
          <w:szCs w:val="22"/>
          <w:color w:val="auto"/>
        </w:rPr>
        <w:t>” means, collectively, the Bankruptcy Code and all other United States federal, State or foreign applicable liquidation, conservatorship, bankruptcy, moratorium, rearrangement, receivership, insolvency, reorganization or similar debtor relief laws from time to time in effect affecting the rights of creditors generally, as amended from time to time.</w:t>
      </w:r>
    </w:p>
    <w:p>
      <w:pPr>
        <w:spacing w:after="0" w:line="16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means, for any Defaulted Receivable, the outstanding Receivable Balance of such Receivable at the time such Receivable became a Defaulted Receivable.</w:t>
      </w:r>
    </w:p>
    <w:p>
      <w:pPr>
        <w:spacing w:after="0" w:line="15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as of any date of determination, a Receivable (i) for which the related Account Debtor is more than 120 calendar days past due on all or any portion of any payment required to be made thereunder in an amount greater than $1.00, (ii) for which the related Account Debtor is the subject of a proceeding under a Debtor Relief Law and the Borrower or any of its Subsidiaries has knowledge of such proceeding, or (iii) which constitutes a Charged-Off Receivable and has an outstanding principal balance of more than $1.00.</w:t>
      </w:r>
    </w:p>
    <w:p>
      <w:pPr>
        <w:spacing w:after="0" w:line="19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20" w:h="16838" w:orient="portrait"/>
          <w:cols w:equalWidth="0" w:num="1">
            <w:col w:w="11260"/>
          </w:cols>
          <w:pgMar w:left="340" w:top="1430" w:right="318" w:bottom="1440" w:gutter="0" w:footer="0" w:header="0"/>
        </w:sectPr>
      </w:pPr>
    </w:p>
    <w:bookmarkStart w:id="42" w:name="page43"/>
    <w:bookmarkEnd w:id="42"/>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8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as of any date of determination, a Receivable (other than any Defaulted Receivable, any Fraudulent Receivable that has been repurchased or substituted for by the Borrower and any Designated Receivable that has been sold to a Designated Receivable Purchaser pursuant to the related Designated Receivable Sale Agreement) for which the related Account Debtor is more than 30 calendar days past due on all or any portion of any payment required to be made thereunder in an amount greater than $1.00.</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 Ratio</w:t>
      </w:r>
      <w:r>
        <w:rPr>
          <w:rFonts w:ascii="Times New Roman" w:cs="Times New Roman" w:eastAsia="Times New Roman" w:hAnsi="Times New Roman"/>
          <w:sz w:val="22"/>
          <w:szCs w:val="22"/>
          <w:color w:val="auto"/>
        </w:rPr>
        <w:t>” means, for any Due Period, the percentage equivalent of a fraction, (x) the numerator of which is equal to the sum of the Receivable Balances of each Past/Present Financed Receivable that is a Delinquent Receivable, and (y) the denominator of which is the sum of the Receivable Balances of each Past/Present Financed Receivable, in each case determined as of the end of such Due Period.</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w:t>
      </w:r>
      <w:r>
        <w:rPr>
          <w:rFonts w:ascii="Times New Roman" w:cs="Times New Roman" w:eastAsia="Times New Roman" w:hAnsi="Times New Roman"/>
          <w:sz w:val="22"/>
          <w:szCs w:val="22"/>
          <w:color w:val="auto"/>
        </w:rPr>
        <w:t>” means any Receivable (a) where if the Account Debtor of such Receivable was a resident of the State of New York, Vermont or Connecticut as of the related Origination Date, such Receivable’s APR exceeds the applicable maximum rate of interest prescribed in the usury statute(s) of such State for consumer loans, including any rate that solely gives rise to civil remedies, notwithstanding the fact that (i) such Receivable may not have been subject to the Applicable Law of such State on the applicable Origination Date or (ii) the Applicable Law of such State did not, or does not, apply to Originator or the Borrower, and (b) which Receivable’s APR or Account Debtor Interest Rate, as applicable, exceeds the then applicable maximum rate of interest prescribed for consumer loans in the usury statute(s) of the State in which the Account Debtor was a resident as of the related Origination Date, excluding any rate that solely gives rise to civil remedies.</w:t>
      </w:r>
    </w:p>
    <w:p>
      <w:pPr>
        <w:spacing w:after="0" w:line="17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 Purchaser</w:t>
      </w:r>
      <w:r>
        <w:rPr>
          <w:rFonts w:ascii="Times New Roman" w:cs="Times New Roman" w:eastAsia="Times New Roman" w:hAnsi="Times New Roman"/>
          <w:sz w:val="22"/>
          <w:szCs w:val="22"/>
          <w:color w:val="auto"/>
        </w:rPr>
        <w:t>” means an entity designated by the Borrower in writing to the Administrative Agent and the Lenders and for which the Borrower has provided the Administrative Agent and the Lenders reasonable comfort (including, if requested, an opinion of outside counsel) that neither the Borrower nor any of its Subsidiaries would be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20" w:h="16838" w:orient="portrait"/>
          <w:cols w:equalWidth="0" w:num="1">
            <w:col w:w="11260"/>
          </w:cols>
          <w:pgMar w:left="340" w:top="1430" w:right="318" w:bottom="1440" w:gutter="0" w:footer="0" w:header="0"/>
        </w:sectPr>
      </w:pPr>
    </w:p>
    <w:bookmarkStart w:id="43" w:name="page44"/>
    <w:bookmarkEnd w:id="43"/>
    <w:p>
      <w:pPr>
        <w:jc w:val="both"/>
        <w:spacing w:after="0" w:line="296" w:lineRule="auto"/>
        <w:rPr>
          <w:sz w:val="20"/>
          <w:szCs w:val="20"/>
          <w:color w:val="auto"/>
        </w:rPr>
      </w:pPr>
      <w:r>
        <w:rPr>
          <w:rFonts w:ascii="Times New Roman" w:cs="Times New Roman" w:eastAsia="Times New Roman" w:hAnsi="Times New Roman"/>
          <w:sz w:val="22"/>
          <w:szCs w:val="22"/>
          <w:color w:val="auto"/>
        </w:rPr>
        <w:t>substantively consolidated into such entity in the event of a bankruptcy or other insolvency proceeding where such entity is the debtor.</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 Sale Agreement</w:t>
      </w:r>
      <w:r>
        <w:rPr>
          <w:rFonts w:ascii="Times New Roman" w:cs="Times New Roman" w:eastAsia="Times New Roman" w:hAnsi="Times New Roman"/>
          <w:sz w:val="22"/>
          <w:szCs w:val="22"/>
          <w:color w:val="auto"/>
        </w:rPr>
        <w:t>” means, with respect to a Designated Receivable Purchaser, a transfer agreement to be entered into among the Borrower, such Designated Receivable Purchaser and others pursuant to which the Borrower may sell, from time to time, Designated Receivables to such Designated Receivable Purchaser, in form and substance reasonably satisfactory to the Administrative Agent (including as it relates to matters of true sale), as such agreement may be amended, restated, supplemented or otherwise modified from time to time.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has the meaning assigned to it in Section 3.06(a).</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6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Interests</w:t>
      </w:r>
      <w:r>
        <w:rPr>
          <w:rFonts w:ascii="Times New Roman" w:cs="Times New Roman" w:eastAsia="Times New Roman" w:hAnsi="Times New Roman"/>
          <w:sz w:val="21"/>
          <w:szCs w:val="21"/>
          <w:color w:val="auto"/>
        </w:rPr>
        <w:t xml:space="preserve">” means Equity Interests that by their terms or upon the happening of any event are (a) required to be redeemed or redeemable at the option of the holder prior to the Maturity Date for consideration other than Qualified Equity Interests or (b) convertible at the option of the holder into Disqualified Equity Interests or exchangeable for Indebtedness;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Equity Interests will not constitute Disqualified Equity Interests solely because of provisions giving holders thereof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right to require repurchase or redemption upon an “asset sale” or “change in control” occurring prior to the Maturity Date if those provisions (i) are no more favorable to the holders thereof than to the Lenders under this Agreement and (ii) specifically state that repurchase or redemption pursuant thereto will not be required prior to any required prepayments under this Agreement.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 States, excluding (x) any such Subsidiary substantially all of the assets of which consist of Equity Interests in one or more Subsidiaries that are “controlled foreign corporations” within the meaning of Section 957 of the Code and (y) any such Subsidiary that is owned (directly or indirectly) by a Subsidiary that is a “controlled foreign corporation” within the meaning of Section 957 of the Code.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20" w:h="16838" w:orient="portrait"/>
          <w:cols w:equalWidth="0" w:num="1">
            <w:col w:w="11260"/>
          </w:cols>
          <w:pgMar w:left="340" w:top="1430" w:right="318" w:bottom="1440" w:gutter="0" w:footer="0" w:header="0"/>
        </w:sectPr>
      </w:pPr>
    </w:p>
    <w:bookmarkStart w:id="44" w:name="page45"/>
    <w:bookmarkEnd w:id="44"/>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Period</w:t>
      </w:r>
      <w:r>
        <w:rPr>
          <w:rFonts w:ascii="Times New Roman" w:cs="Times New Roman" w:eastAsia="Times New Roman" w:hAnsi="Times New Roman"/>
          <w:sz w:val="22"/>
          <w:szCs w:val="22"/>
          <w:color w:val="auto"/>
        </w:rPr>
        <w:t>” means (i) the period from and including the Effective Date to and including the last day of the first calendar month ending after the Effective Date and (ii) each subsequent calendar month.</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9.02).</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32"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as they relate to exposure to Hazardous Materials.</w:t>
      </w:r>
    </w:p>
    <w:p>
      <w:pPr>
        <w:spacing w:after="0" w:line="16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20" w:h="16838" w:orient="portrait"/>
          <w:cols w:equalWidth="0" w:num="1">
            <w:col w:w="11260"/>
          </w:cols>
          <w:pgMar w:left="340" w:top="1430" w:right="318"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5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endangered or critical status, within the meaning of Title IV of ERISA.</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Recipient</w:t>
      </w:r>
      <w:r>
        <w:rPr>
          <w:rFonts w:ascii="Times New Roman" w:cs="Times New Roman" w:eastAsia="Times New Roman" w:hAnsi="Times New Roman"/>
          <w:sz w:val="22"/>
          <w:szCs w:val="22"/>
          <w:color w:val="auto"/>
        </w:rPr>
        <w:t>” has the meaning assigned to it in Section 9.18.</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Section 7.01.</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20" w:h="16838" w:orient="portrait"/>
          <w:cols w:equalWidth="0" w:num="1">
            <w:col w:w="11260"/>
          </w:cols>
          <w:pgMar w:left="340" w:top="1430" w:right="318" w:bottom="1440" w:gutter="0" w:footer="0" w:header="0"/>
        </w:sectPr>
      </w:pPr>
    </w:p>
    <w:bookmarkStart w:id="46" w:name="page47"/>
    <w:bookmarkEnd w:id="46"/>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xml:space="preserve">” means (a) any Subsidiary that is prohibited by applicable law, rule or regulation (including in respect of any self-regulatory organization) or by any contractual obligation to which such Subsidiary is a party or by which it or any of its property or assets is bound from guaranteeing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agreement, instrument or other undertaking (i) is in existence on the Effective Date (or, with respect to a Subsidiary acquired after the Effective Date, as of the date such acquisition) and (ii) in the case of a Subsidiary acquired after the Effective Date, was not entered into in connection with, or in contemplation of, such acquisition, (b) any Subsidiary with respect to which guaranteeing the Obligations would require consent, approval, license or authorization from any Governmental Authority or self-regulatory organization, unless such consent, approval, license or authorization has been obtained, (c) any other Subsidiary with respect to which the Administrative Agent, in consultation with the Borrower, consents to the exclusion thereof either because the burden or cost or other consequences is excessive in view of the benefits to be obtained by the Lenders or otherwise, (d) any Subsidiary that is a broker-dealer, (e) an Immaterial Subsidiary, (f) a Securitization Subsidiary and (g) a Specified Subsidiary. Excluded Subsidiaries as of the Effective Date are set forth on Schedule 5.09.</w:t>
      </w:r>
    </w:p>
    <w:p>
      <w:pPr>
        <w:spacing w:after="0" w:line="17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Experimental or Exploratory Receivable</w:t>
      </w:r>
      <w:r>
        <w:rPr>
          <w:rFonts w:ascii="Times New Roman" w:cs="Times New Roman" w:eastAsia="Times New Roman" w:hAnsi="Times New Roman"/>
          <w:sz w:val="22"/>
          <w:szCs w:val="22"/>
          <w:color w:val="auto"/>
        </w:rPr>
        <w:t xml:space="preserve">” means any Receivable designated as such by Borrower at the time of origination of such Receivable;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Receivable may be designated as an Experimental or Exploratory Receivable if after giving effect thereto, the aggregate Receivable Balance of all Experimental or Exploratory Receivables would exceed 2% of the Receivable Balance of all Receivables.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20" w:h="16838" w:orient="portrait"/>
          <w:cols w:equalWidth="0" w:num="1">
            <w:col w:w="11260"/>
          </w:cols>
          <w:pgMar w:left="340" w:top="1430" w:right="318" w:bottom="1440" w:gutter="0" w:footer="0" w:header="0"/>
        </w:sectPr>
      </w:pPr>
    </w:p>
    <w:bookmarkStart w:id="47" w:name="page48"/>
    <w:bookmarkEnd w:id="47"/>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Federal Funds Effective Rate as so determined would be less than zero, such rate shall be deemed to be zero for the purposes of this Agreement.</w:t>
      </w:r>
    </w:p>
    <w:p>
      <w:pPr>
        <w:spacing w:after="0" w:line="16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Financeable Assets</w:t>
      </w:r>
      <w:r>
        <w:rPr>
          <w:rFonts w:ascii="Times New Roman" w:cs="Times New Roman" w:eastAsia="Times New Roman" w:hAnsi="Times New Roman"/>
          <w:sz w:val="22"/>
          <w:szCs w:val="22"/>
          <w:color w:val="auto"/>
        </w:rPr>
        <w:t>” means (a) Receivables, (b) Residual Interests and (c) any assets related to the foregoing that are of the type transferred in connection with securitization transactions involving assets such as, or similar to, such Receivables or Residual Interests, as the case may be or other similar assets, interests in any of the foregoing and any collections or proceeds of any of the foregoing.</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has the meaning assigned to it in Section 6.10.</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Compliance</w:t>
      </w:r>
      <w:r>
        <w:rPr>
          <w:rFonts w:ascii="Times New Roman" w:cs="Times New Roman" w:eastAsia="Times New Roman" w:hAnsi="Times New Roman"/>
          <w:sz w:val="22"/>
          <w:szCs w:val="22"/>
          <w:color w:val="auto"/>
        </w:rPr>
        <w:t xml:space="preserve">” means compliance with the Financial Covenants levels set forth in Section 6.10 as of the last day of the most recent fiscal quarter for which financial statements have been delivered, whether or not any such Financial Covenant is required to be tested on such date, and on the proposed Borrowing date or on a Transaction Date, as applicable, if such compliance were determined on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 proposed Borrowing or a Restricted Payment, Tangible Net Worth may be calculated as of the last day of the most recent fiscal quarter for which financial statements have been delivered (or as of the last day of the most recent fiscal month for which financial statements are internally available) but adjusted on a pro forma basis to reflect any Restricted Payments made after such quarter end or month end and the Borrower’s good faith estimate of net income after such quarter end or month end.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20" w:h="16838" w:orient="portrait"/>
          <w:cols w:equalWidth="0" w:num="1">
            <w:col w:w="11260"/>
          </w:cols>
          <w:pgMar w:left="340" w:top="1430" w:right="318" w:bottom="1440" w:gutter="0" w:footer="0" w:header="0"/>
        </w:sectPr>
      </w:pPr>
    </w:p>
    <w:bookmarkStart w:id="48" w:name="page49"/>
    <w:bookmarkEnd w:id="48"/>
    <w:p>
      <w:pPr>
        <w:ind w:left="647"/>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means the chief financial officer, principal accounting officer, treasurer or controller of the Borrower.</w:t>
      </w:r>
    </w:p>
    <w:p>
      <w:pPr>
        <w:spacing w:after="0" w:line="245"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successor thereto).</w:t>
      </w:r>
    </w:p>
    <w:p>
      <w:pPr>
        <w:spacing w:after="0" w:line="233"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0.00%.</w:t>
      </w:r>
    </w:p>
    <w:p>
      <w:pPr>
        <w:spacing w:after="0" w:line="233" w:lineRule="exact"/>
        <w:rPr>
          <w:sz w:val="20"/>
          <w:szCs w:val="20"/>
          <w:color w:val="auto"/>
        </w:rPr>
      </w:pPr>
    </w:p>
    <w:p>
      <w:pPr>
        <w:jc w:val="both"/>
        <w:ind w:left="7"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61"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Fraudulent Receivable</w:t>
      </w:r>
      <w:r>
        <w:rPr>
          <w:rFonts w:ascii="Times New Roman" w:cs="Times New Roman" w:eastAsia="Times New Roman" w:hAnsi="Times New Roman"/>
          <w:sz w:val="22"/>
          <w:szCs w:val="22"/>
          <w:color w:val="auto"/>
        </w:rPr>
        <w:t>” means any Receivable that was fraudulently obtained by the related Account Debtor.</w:t>
      </w:r>
    </w:p>
    <w:p>
      <w:pPr>
        <w:spacing w:after="0" w:line="233"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 as in effect from time to time.</w:t>
      </w:r>
    </w:p>
    <w:p>
      <w:pPr>
        <w:spacing w:after="0" w:line="260" w:lineRule="exact"/>
        <w:rPr>
          <w:sz w:val="20"/>
          <w:szCs w:val="20"/>
          <w:color w:val="auto"/>
        </w:rPr>
      </w:pPr>
    </w:p>
    <w:p>
      <w:pPr>
        <w:jc w:val="both"/>
        <w:ind w:left="7"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91" w:lineRule="exact"/>
        <w:rPr>
          <w:sz w:val="20"/>
          <w:szCs w:val="20"/>
          <w:color w:val="auto"/>
        </w:rPr>
      </w:pPr>
    </w:p>
    <w:p>
      <w:pPr>
        <w:jc w:val="both"/>
        <w:ind w:left="7"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w:t>
      </w:r>
    </w:p>
    <w:p>
      <w:pPr>
        <w:spacing w:after="0" w:line="1" w:lineRule="exact"/>
        <w:rPr>
          <w:sz w:val="20"/>
          <w:szCs w:val="20"/>
          <w:color w:val="auto"/>
        </w:rPr>
      </w:pPr>
    </w:p>
    <w:p>
      <w:pPr>
        <w:jc w:val="both"/>
        <w:ind w:left="7" w:hanging="7"/>
        <w:spacing w:after="0" w:line="275" w:lineRule="auto"/>
        <w:tabs>
          <w:tab w:leader="none" w:pos="3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185" w:lineRule="exact"/>
        <w:rPr>
          <w:sz w:val="20"/>
          <w:szCs w:val="20"/>
          <w:color w:val="auto"/>
        </w:rPr>
      </w:pPr>
    </w:p>
    <w:p>
      <w:pPr>
        <w:ind w:left="7"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Holdings and any Domestic Subsidiary of Holdings (other than the Borrower) that has delivered a Guaranty or a joinder agreement to a Guaranty pursuant to Section 4.01(a)(ii) or 5.09 hereof.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19</w:t>
      </w:r>
    </w:p>
    <w:p>
      <w:pPr>
        <w:sectPr>
          <w:pgSz w:w="11920" w:h="16838" w:orient="portrait"/>
          <w:cols w:equalWidth="0" w:num="1">
            <w:col w:w="11267"/>
          </w:cols>
          <w:pgMar w:left="333" w:top="1430" w:right="318"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a guaranty agreement in substantially the form of Exhibit D hereto.</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7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(i) any interest rate swap agreement, interest rate cap agreement or other agreement designed to protect against fluctuations in interest rates or (ii) any foreign exchange forward contract, currency swap agreement or other agreement designed to protect against fluctuations in foreign exchange rates.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xml:space="preserve">” means Affirm Holdings, Inc., a </w:t>
      </w:r>
      <w:r>
        <w:rPr>
          <w:rFonts w:ascii="Times New Roman" w:cs="Times New Roman" w:eastAsia="Times New Roman" w:hAnsi="Times New Roman"/>
          <w:sz w:val="22"/>
          <w:szCs w:val="22"/>
          <w:color w:val="EE2724"/>
          <w:strike w:val="1"/>
        </w:rPr>
        <w:t>Delaware</w:t>
      </w:r>
      <w:r>
        <w:rPr>
          <w:rFonts w:ascii="Times New Roman" w:cs="Times New Roman" w:eastAsia="Times New Roman" w:hAnsi="Times New Roman"/>
          <w:sz w:val="22"/>
          <w:szCs w:val="22"/>
          <w:u w:val="single" w:color="auto"/>
          <w:color w:val="0E32E1"/>
        </w:rPr>
        <w:t>Nevada</w:t>
      </w:r>
      <w:r>
        <w:rPr>
          <w:rFonts w:ascii="Times New Roman" w:cs="Times New Roman" w:eastAsia="Times New Roman" w:hAnsi="Times New Roman"/>
          <w:sz w:val="22"/>
          <w:szCs w:val="22"/>
          <w:color w:val="auto"/>
        </w:rPr>
        <w:t xml:space="preserve"> corporation.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means ICE Benchmark Administration together with any successor thereto.</w:t>
      </w:r>
    </w:p>
    <w:p>
      <w:pPr>
        <w:spacing w:after="0" w:line="2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means, at any date of determination, any Subsidiary of the Borrower (a) whose Consolidated Total Assets as of the most recent available quarterly or year-end financial statements do not exceed 2.5% of the Consolidated Total Assets of Holdings and its Subsidiaries at such date and (b) whose revenues for the most recently ended four-quarter period for which financial statements are available do not exceed 2.5% of the consolidated revenues of Holdings and its Subsidiaries for such period, in each case determined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Consolidated Total Assets of all such Subsidiaries as of the most recent available quarterly or year-end financial statements shall not exceed 5.0% of the Consolidated Total Assets of Holdings and its Subsidiaries at such date and (ii) the total revenues of all such Subsidiaries for the most recently ended four-quarter period for which financial statements are available shall not exceed 5.0% of the consolidated revenues of Holdings and its Subsidiaries for such period, in each case determined in accordance with GAAP. For any determination made as of or prior to the time any Person becomes an indirect or direct Subsidiary of the Borrower, such determination and designation shall be made based on financial statements provided by or on behalf of such Person in connection with the acquisition of such Person or such Person’s assets.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Increased Commitment Supplement</w:t>
      </w:r>
      <w:r>
        <w:rPr>
          <w:rFonts w:ascii="Times New Roman" w:cs="Times New Roman" w:eastAsia="Times New Roman" w:hAnsi="Times New Roman"/>
          <w:sz w:val="22"/>
          <w:szCs w:val="22"/>
          <w:color w:val="auto"/>
        </w:rPr>
        <w:t>” means a supplement to this Agreement executed pursuant to the terms of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has the meaning assigned to such term in Section 2.21(a).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20" w:h="16838" w:orient="portrait"/>
          <w:cols w:equalWidth="0" w:num="1">
            <w:col w:w="11260"/>
          </w:cols>
          <w:pgMar w:left="340" w:top="1430" w:right="318"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Facility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with respect to any Person, without duplication,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within 90 days of the date the related goods are delivered or services are rendered, arising in the ordinary course of business, and other than to pay accrued expenses incurred in the ordinary course of business, (c) indebtedness of others secured by a lien on the property of such Person, whether or not the respective indebtedness so secured has been assumed by such Person, (d) obligations (contingent or otherwise) of such Person in respect of letters of credit or similar instruments issued or accepted by banks and other financial institutions for account of such Person, (e) Capital Lease Obligations of such Person, (f) obligations of such Person under repurchase agreements, sale/buy-back agreements or like arrangements, (g) indebtedness of others Guaranteed by such Person, (h) all obligations of such Person incurred in connection with the acquisition or carrying of fixed assets by such Person, (i) indebtedness of general partnerships of which such Person is a general partner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any other indebtedness of such Person evidenced by a note, bond, debenture or similar instrument.</w:t>
      </w:r>
    </w:p>
    <w:p>
      <w:pPr>
        <w:spacing w:after="0" w:line="2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assigned to it in Section 9.03(c).</w:t>
      </w:r>
    </w:p>
    <w:p>
      <w:pPr>
        <w:spacing w:after="0" w:line="24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means (a) a natural person, (b) a Defaulting Lender or its Lender Parent, (c) a holding company, investment vehicle or trust for, or owned and operated for the primary benefit of, a natural person or relative(s) thereof or (d) the Borrower or any of its Affiliates; provided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20" w:h="16838" w:orient="portrait"/>
          <w:cols w:equalWidth="0" w:num="1">
            <w:col w:w="11260"/>
          </w:cols>
          <w:pgMar w:left="340" w:top="1430" w:right="318" w:bottom="1440" w:gutter="0" w:footer="0" w:header="0"/>
        </w:sectPr>
      </w:pPr>
    </w:p>
    <w:bookmarkStart w:id="51" w:name="page52"/>
    <w:bookmarkEnd w:id="51"/>
    <w:p>
      <w:pPr>
        <w:jc w:val="both"/>
        <w:spacing w:after="0" w:line="296" w:lineRule="auto"/>
        <w:rPr>
          <w:sz w:val="20"/>
          <w:szCs w:val="20"/>
          <w:color w:val="auto"/>
        </w:rPr>
      </w:pPr>
      <w:r>
        <w:rPr>
          <w:rFonts w:ascii="Times New Roman" w:cs="Times New Roman" w:eastAsia="Times New Roman" w:hAnsi="Times New Roman"/>
          <w:sz w:val="22"/>
          <w:szCs w:val="22"/>
          <w:color w:val="auto"/>
        </w:rPr>
        <w:t>significant part of its activities consist of making or purchasing commercial loans and similar extensions of credit in the ordinary course of its business.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has the meaning assigned to it in Section 9.12.</w:t>
      </w:r>
    </w:p>
    <w:p>
      <w:pPr>
        <w:spacing w:after="0" w:line="247"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Election Request</w:t>
      </w:r>
      <w:r>
        <w:rPr>
          <w:rFonts w:ascii="Times New Roman" w:cs="Times New Roman" w:eastAsia="Times New Roman" w:hAnsi="Times New Roman"/>
          <w:sz w:val="21"/>
          <w:szCs w:val="21"/>
          <w:color w:val="auto"/>
        </w:rPr>
        <w:t>” means a request by the Borrower to convert or continue a Revolving Borrowing in accordance with Section 2.08, which shall be substantially in the form of Exhibit C or any other form approved by the Administrative Agent.</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or Daily Simple SOFR Loan, the last day of each March, June, September and December and the Maturity Date and (b) with respect to any SOFR Loan, the last day of each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 with respect to any SOFR Borrowing, the period commencing on the date of such Borrowing and ending on the numerically corresponding day in the calendar month that is one, three or six months thereafter, as the Borrower may elect;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any loan, advance, extension of credit (by way of Guarantee or otherwise) or capital contributions by Holdings or any of its Subsidiaries to any other Person. For the avoidance of doubt, notwithstanding anything to the contrary herein, the value of any Investment shall be deemed to be the original cost of such Investment plus the cost of all additions thereto, without any adjustments for increases or decreases in value, or write-ups, write-downs or write-offs with respect to such Investment;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value of such Investment shall be net of cash return received after the Effective Date as a result of any sale for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20" w:h="16838" w:orient="portrait"/>
          <w:cols w:equalWidth="0" w:num="1">
            <w:col w:w="11260"/>
          </w:cols>
          <w:pgMar w:left="340" w:top="1430" w:right="318"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cash, repayment, redemption, liquidation, distribution or other cash realization, not to exceed the original cost of such Investment.</w:t>
      </w:r>
    </w:p>
    <w:p>
      <w:pPr>
        <w:spacing w:after="0" w:line="2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60"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as to which such Lender is, directly or indirectly, a Subsidiary.</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has the meaning assigned to it in Section 9.03(b).</w:t>
      </w:r>
    </w:p>
    <w:p>
      <w:pPr>
        <w:spacing w:after="0" w:line="2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2.01A and any other Person that shall have become a party hereto pursuant to an Assignment and Assumption or otherwise, other than any such Person that ceases to be a party hereto pursuant to an Assignment and Assumption or otherwise.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xml:space="preserve">” means the ratio of (i) the Total Liabilities of Holdings and its consolidated Subsidiaries, less the amount of any Non-Recourse Indebtedness of Holdings and its consolidated Subsidiaries, to (ii) the Tangible Net Worth of Holdings and its consolidated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Permitted Securitization Indebtedness shall be excluded for the purpose of calculating such ratio.</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 operating lease be deemed to constitute a Lien.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at any time means the sum of (a) the aggregate Unfunded Commitments at such time and (b) the aggregate amount of all (i) cash and Cash Equivalents and (ii) without duplication of the foregoing, Investments classified as “securities available for sale at fair value” within Holdings’ public filings on Form 10-K or Form 10-Q, in each case, of Holdings and its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20" w:h="16838" w:orient="portrait"/>
          <w:cols w:equalWidth="0" w:num="1">
            <w:col w:w="11260"/>
          </w:cols>
          <w:pgMar w:left="340" w:top="1430" w:right="318" w:bottom="1440" w:gutter="0" w:footer="0" w:header="0"/>
        </w:sectPr>
      </w:pPr>
    </w:p>
    <w:bookmarkStart w:id="53" w:name="page54"/>
    <w:bookmarkEnd w:id="53"/>
    <w:p>
      <w:pPr>
        <w:jc w:val="both"/>
        <w:spacing w:after="0" w:line="296" w:lineRule="auto"/>
        <w:rPr>
          <w:sz w:val="20"/>
          <w:szCs w:val="20"/>
          <w:color w:val="auto"/>
        </w:rPr>
      </w:pPr>
      <w:r>
        <w:rPr>
          <w:rFonts w:ascii="Times New Roman" w:cs="Times New Roman" w:eastAsia="Times New Roman" w:hAnsi="Times New Roman"/>
          <w:sz w:val="22"/>
          <w:szCs w:val="22"/>
          <w:color w:val="auto"/>
        </w:rPr>
        <w:t>Subsidiaries (other than Specified Subsidiaries) on the consolidated balance sheet of Holdings that are not “restricted” for purposes of GAAP nor otherwise subject to a Lien (other than Liens in favor of the Administrative Agent) at such time.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w:t>
      </w:r>
      <w:r>
        <w:rPr>
          <w:rFonts w:ascii="Times New Roman" w:cs="Times New Roman" w:eastAsia="Times New Roman" w:hAnsi="Times New Roman"/>
          <w:sz w:val="22"/>
          <w:szCs w:val="22"/>
          <w:color w:val="auto"/>
        </w:rPr>
        <w:t>” means any Person that is a limited liability company under the laws of its jurisdiction of formation.</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including schedules and exhibits hereto</w:t>
      </w:r>
      <w:r>
        <w:rPr>
          <w:rFonts w:ascii="Times New Roman" w:cs="Times New Roman" w:eastAsia="Times New Roman" w:hAnsi="Times New Roman"/>
          <w:sz w:val="22"/>
          <w:szCs w:val="22"/>
          <w:u w:val="single" w:color="auto"/>
          <w:color w:val="0E32E1"/>
        </w:rPr>
        <w:t>, the Guaranty,</w:t>
      </w:r>
      <w:r>
        <w:rPr>
          <w:rFonts w:ascii="Times New Roman" w:cs="Times New Roman" w:eastAsia="Times New Roman" w:hAnsi="Times New Roman"/>
          <w:sz w:val="22"/>
          <w:szCs w:val="22"/>
          <w:color w:val="auto"/>
        </w:rPr>
        <w:t xml:space="preserve"> the promissory notes executed under this Agreement and any agreements entered into in connection herewith by the Borrower with or in favor of the Administrative Agent and/or the Lenders.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 and the Guarantors.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 as applicable.</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means any event, development or circumstances that has had or would reasonably be expected to have a Material Adverse Effect.</w:t>
      </w:r>
    </w:p>
    <w:p>
      <w:pPr>
        <w:spacing w:after="0" w:line="15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property or condition (financial or otherwise) of the Borrower and its Subsidiaries taken as a whole, (b) the ability of the Borrower and the Guarantors, taken as a whole, to perform their respective payment obligations under this Agreement or any of the other Loan Documents or (c) the validity or enforceability of this Agreement or any other Loan Document or the rights or remedies of the Administrative Agent and the Lenders hereunder or thereunder.</w:t>
      </w:r>
    </w:p>
    <w:p>
      <w:pPr>
        <w:spacing w:after="0" w:line="18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June </w:t>
      </w:r>
      <w:r>
        <w:rPr>
          <w:rFonts w:ascii="Times New Roman" w:cs="Times New Roman" w:eastAsia="Times New Roman" w:hAnsi="Times New Roman"/>
          <w:sz w:val="22"/>
          <w:szCs w:val="22"/>
          <w:color w:val="EE2724"/>
          <w:strike w:val="1"/>
        </w:rPr>
        <w:t>26</w:t>
      </w:r>
      <w:r>
        <w:rPr>
          <w:rFonts w:ascii="Times New Roman" w:cs="Times New Roman" w:eastAsia="Times New Roman" w:hAnsi="Times New Roman"/>
          <w:sz w:val="22"/>
          <w:szCs w:val="22"/>
          <w:u w:val="single" w:color="auto"/>
          <w:color w:val="0E32E1"/>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2027</w:t>
      </w:r>
      <w:r>
        <w:rPr>
          <w:rFonts w:ascii="Times New Roman" w:cs="Times New Roman" w:eastAsia="Times New Roman" w:hAnsi="Times New Roman"/>
          <w:sz w:val="22"/>
          <w:szCs w:val="22"/>
          <w:u w:val="single" w:color="auto"/>
          <w:color w:val="0E32E1"/>
        </w:rPr>
        <w:t>2029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(a) if such date is not a Business Day, the Maturity Date shall be the next preceding Business Day and (b) if at any time on any day occurring on or after the 91st day before the maturity of the Specified Convertible Notes described in clause (a) of the definition of “Specified Convertible Notes”, the aggregate outstanding principal amount of such Specified Convertible Notes shall be equal to or shall exceed the greater of (i) $150,000,000 or (ii) Liquidity, Maturity Date thenceforth shall mean such day.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Domestic Subsidiary</w:t>
      </w:r>
      <w:r>
        <w:rPr>
          <w:rFonts w:ascii="Times New Roman" w:cs="Times New Roman" w:eastAsia="Times New Roman" w:hAnsi="Times New Roman"/>
          <w:sz w:val="22"/>
          <w:szCs w:val="22"/>
          <w:color w:val="auto"/>
        </w:rPr>
        <w:t>” means a wholly-owned Domestic Subsidiary that is not an Excluded Subsidiary.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20" w:h="16838" w:orient="portrait"/>
          <w:cols w:equalWidth="0" w:num="1">
            <w:col w:w="11260"/>
          </w:cols>
          <w:pgMar w:left="340" w:top="1430" w:right="318"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Obligation</w:t>
      </w:r>
      <w:r>
        <w:rPr>
          <w:rFonts w:ascii="Times New Roman" w:cs="Times New Roman" w:eastAsia="Times New Roman" w:hAnsi="Times New Roman"/>
          <w:sz w:val="22"/>
          <w:szCs w:val="22"/>
          <w:color w:val="auto"/>
        </w:rPr>
        <w:t>” means (i) Indebtedness of any Loan Party or its Subsidiaries which individually, or taken together with any other such Indebtedness, exceeds $15,000,000 or (ii) without duplication, any other obligation of any Loan Party or of any of its Subsidiaries in respect of any agreement involving aggregate payment or consideration in excess of $15,000,000, in each case other than Non-Recourse Indebtedness.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has the meaning assigned to it in Section 9.14.</w:t>
      </w:r>
    </w:p>
    <w:p>
      <w:pPr>
        <w:spacing w:after="0" w:line="24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Receivables Report</w:t>
      </w:r>
      <w:r>
        <w:rPr>
          <w:rFonts w:ascii="Times New Roman" w:cs="Times New Roman" w:eastAsia="Times New Roman" w:hAnsi="Times New Roman"/>
          <w:sz w:val="22"/>
          <w:szCs w:val="22"/>
          <w:color w:val="auto"/>
        </w:rPr>
        <w:t>” means the report substantially in the form of Exhibit F hereto or in such other form as may be approved by the Administrative Agent in its sole discretion.</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has the meaning assigned to such term in Section 2.21(c).</w:t>
      </w:r>
    </w:p>
    <w:p>
      <w:pPr>
        <w:spacing w:after="0" w:line="2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Indebtedness</w:t>
      </w:r>
      <w:r>
        <w:rPr>
          <w:rFonts w:ascii="Times New Roman" w:cs="Times New Roman" w:eastAsia="Times New Roman" w:hAnsi="Times New Roman"/>
          <w:sz w:val="22"/>
          <w:szCs w:val="22"/>
          <w:color w:val="auto"/>
        </w:rPr>
        <w:t xml:space="preserve">” means (i) any Indebtedness of any Subsidiary that is a special-purpose, bankruptcy remote vehicle established in connection with a securitization or structured financing (including any warehouse or term credit agreement) and which is non-recourse to any Loan Party (other than with respect to Standard Securitization Undertakings), and (ii) any Indebtedness resulting from a transaction in which all or substantially all of the economic value of loans have been sold, transferred or assigned, directly or indirectly through a series of related transactions, by Borrower or a Subsidiary of Borrower to a Person that is not an Affiliate of Borrower, which Indebtedness is non-recourse to any Loan Party (other than with respect to Standard Securitization Undertakings);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at no time shall Residual Funding Facilities be Non-Recourse Indebtedness.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4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any of the aforesaid rates as so determined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20" w:h="16838" w:orient="portrait"/>
          <w:cols w:equalWidth="0" w:num="1">
            <w:col w:w="11260"/>
          </w:cols>
          <w:pgMar w:left="340" w:top="1430" w:right="318" w:bottom="1440" w:gutter="0" w:footer="0" w:header="0"/>
        </w:sectPr>
      </w:pPr>
    </w:p>
    <w:bookmarkStart w:id="55" w:name="page56"/>
    <w:bookmarkEnd w:id="55"/>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the Borrower arising under any Loan Document or otherwise with respect to any Loan, whether direct or indirect,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19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Principal Balance</w:t>
      </w:r>
      <w:r>
        <w:rPr>
          <w:rFonts w:ascii="Times New Roman" w:cs="Times New Roman" w:eastAsia="Times New Roman" w:hAnsi="Times New Roman"/>
          <w:sz w:val="22"/>
          <w:szCs w:val="22"/>
          <w:color w:val="auto"/>
        </w:rPr>
        <w:t>” means, for any Receivable and as of any date of determination, the outstanding principal amount (excluding any capitalized interest) required to be paid by the related Account Debtor in respect thereof, as such amount may have been reduced from time to time in accordance with the Underwriting/Servicing Policies, including without limitation by refunded amounts in respect thereof.</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Originating Bank</w:t>
      </w:r>
      <w:r>
        <w:rPr>
          <w:rFonts w:ascii="Times New Roman" w:cs="Times New Roman" w:eastAsia="Times New Roman" w:hAnsi="Times New Roman"/>
          <w:sz w:val="22"/>
          <w:szCs w:val="22"/>
          <w:color w:val="auto"/>
        </w:rPr>
        <w:t>” means (i) Cross River Bank, a New Jersey state-chartered commercial bank, (ii) Celtic Bank Corporation, a Utah industrial bank, (iii) Affirm Loan Services LLC, and (iv) such other bank or financial institution that originates and sells Receivables to Borrower.</w:t>
      </w:r>
    </w:p>
    <w:p>
      <w:pPr>
        <w:spacing w:after="0" w:line="18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Origination Date</w:t>
      </w:r>
      <w:r>
        <w:rPr>
          <w:rFonts w:ascii="Times New Roman" w:cs="Times New Roman" w:eastAsia="Times New Roman" w:hAnsi="Times New Roman"/>
          <w:sz w:val="22"/>
          <w:szCs w:val="22"/>
          <w:color w:val="auto"/>
        </w:rPr>
        <w:t>” means the date of the closing and funding of the applicable Receivable between an Originator and the applicable Account Debtor.</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with respect to any Receivable, (i) the Borrower or any of its Subsidiaries (other than Specified Subsidiaries), (ii) Cross River Bank, a New Jersey state chartered bank, (iii) Celtic Bank, a Utah state-chartered industrial bank or (iv) any other banking institution approved by the Required Lenders in writing in their sole discretion.</w:t>
      </w:r>
    </w:p>
    <w:p>
      <w:pPr>
        <w:spacing w:after="0" w:line="16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20" w:h="16838" w:orient="portrait"/>
          <w:cols w:equalWidth="0" w:num="1">
            <w:col w:w="11260"/>
          </w:cols>
          <w:pgMar w:left="340" w:top="1430" w:right="318" w:bottom="1440" w:gutter="0" w:footer="0" w:header="0"/>
        </w:sectPr>
      </w:pPr>
    </w:p>
    <w:bookmarkStart w:id="56" w:name="page57"/>
    <w:bookmarkEnd w:id="56"/>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or SOFR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Past/Present Financed Receivable</w:t>
      </w:r>
      <w:r>
        <w:rPr>
          <w:rFonts w:ascii="Times New Roman" w:cs="Times New Roman" w:eastAsia="Times New Roman" w:hAnsi="Times New Roman"/>
          <w:sz w:val="22"/>
          <w:szCs w:val="22"/>
          <w:color w:val="auto"/>
        </w:rPr>
        <w:t>” means, on any date of determination, any Receivable that is or was, at any time from and after the Effective Date, acquired by the Borrower from any Originating Bank in the ordinary course of business consistent with past practices, but excluding (i) any Fraudulent Receivable, (ii) any Designated Receivable that has been sold to a Designated Receivable Purchaser pursuant to the related Designated Receivable Sale Agreement and (iii) any Experimental or Exploratory Receivable.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Section 9.04(c).</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assigned to such term in Section 9.04(c).</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has the meaning assigned to it in Section 9.16.</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assigned to it in Section 9.18.</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means, with respect to any Receivable, the date a payment is due in accordance with the Receivables Agreement with respect to such Receivable as in effect as of the date of determination.</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has the meaning assigned to it in Section 9.18.</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20" w:h="16838" w:orient="portrait"/>
          <w:cols w:equalWidth="0" w:num="1">
            <w:col w:w="11260"/>
          </w:cols>
          <w:pgMar w:left="340" w:top="1430" w:right="318" w:bottom="1440" w:gutter="0" w:footer="0" w:header="0"/>
        </w:sectPr>
      </w:pPr>
    </w:p>
    <w:bookmarkStart w:id="57" w:name="page58"/>
    <w:bookmarkEnd w:id="57"/>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any of the businesses in which the Borrower and its Subsidiaries are engaged on the Effective Date, and any business reasonably related, incidental, complementary or ancillary thereto or any business deemed strategically desirable by the Borrower in good faith in connection therewith.</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47" w:lineRule="exact"/>
        <w:rPr>
          <w:sz w:val="20"/>
          <w:szCs w:val="20"/>
          <w:color w:val="auto"/>
        </w:rPr>
      </w:pPr>
    </w:p>
    <w:p>
      <w:pPr>
        <w:ind w:left="1580" w:hanging="291"/>
        <w:spacing w:after="0"/>
        <w:tabs>
          <w:tab w:leader="none" w:pos="15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that are not yet due or are being contested in compliance with Section 5.04;</w:t>
      </w:r>
    </w:p>
    <w:p>
      <w:pPr>
        <w:spacing w:after="0" w:line="233" w:lineRule="exact"/>
        <w:rPr>
          <w:rFonts w:ascii="Times New Roman" w:cs="Times New Roman" w:eastAsia="Times New Roman" w:hAnsi="Times New Roman"/>
          <w:sz w:val="22"/>
          <w:szCs w:val="22"/>
          <w:color w:val="auto"/>
        </w:rPr>
      </w:pPr>
    </w:p>
    <w:p>
      <w:pPr>
        <w:jc w:val="both"/>
        <w:ind w:left="640" w:firstLine="649"/>
        <w:spacing w:after="0" w:line="289" w:lineRule="auto"/>
        <w:tabs>
          <w:tab w:leader="none" w:pos="164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52" w:lineRule="exact"/>
        <w:rPr>
          <w:rFonts w:ascii="Times New Roman" w:cs="Times New Roman" w:eastAsia="Times New Roman" w:hAnsi="Times New Roman"/>
          <w:sz w:val="22"/>
          <w:szCs w:val="22"/>
          <w:color w:val="auto"/>
        </w:rPr>
      </w:pPr>
    </w:p>
    <w:p>
      <w:pPr>
        <w:jc w:val="both"/>
        <w:ind w:left="640" w:firstLine="649"/>
        <w:spacing w:after="0" w:line="282" w:lineRule="auto"/>
        <w:tabs>
          <w:tab w:leader="none" w:pos="162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161" w:lineRule="exact"/>
        <w:rPr>
          <w:rFonts w:ascii="Times New Roman" w:cs="Times New Roman" w:eastAsia="Times New Roman" w:hAnsi="Times New Roman"/>
          <w:sz w:val="22"/>
          <w:szCs w:val="22"/>
          <w:color w:val="auto"/>
        </w:rPr>
      </w:pPr>
    </w:p>
    <w:p>
      <w:pPr>
        <w:ind w:left="640" w:firstLine="649"/>
        <w:spacing w:after="0" w:line="296" w:lineRule="auto"/>
        <w:tabs>
          <w:tab w:leader="none" w:pos="162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5" w:lineRule="exact"/>
        <w:rPr>
          <w:rFonts w:ascii="Times New Roman" w:cs="Times New Roman" w:eastAsia="Times New Roman" w:hAnsi="Times New Roman"/>
          <w:sz w:val="22"/>
          <w:szCs w:val="22"/>
          <w:color w:val="auto"/>
        </w:rPr>
      </w:pPr>
    </w:p>
    <w:p>
      <w:pPr>
        <w:ind w:left="1580" w:hanging="291"/>
        <w:spacing w:after="0"/>
        <w:tabs>
          <w:tab w:leader="none" w:pos="15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Section 7.01(k);</w:t>
      </w:r>
    </w:p>
    <w:p>
      <w:pPr>
        <w:spacing w:after="0" w:line="233" w:lineRule="exact"/>
        <w:rPr>
          <w:rFonts w:ascii="Times New Roman" w:cs="Times New Roman" w:eastAsia="Times New Roman" w:hAnsi="Times New Roman"/>
          <w:sz w:val="22"/>
          <w:szCs w:val="22"/>
          <w:color w:val="auto"/>
        </w:rPr>
      </w:pPr>
    </w:p>
    <w:p>
      <w:pPr>
        <w:jc w:val="both"/>
        <w:ind w:left="640" w:firstLine="649"/>
        <w:spacing w:after="0" w:line="282" w:lineRule="auto"/>
        <w:tabs>
          <w:tab w:leader="none" w:pos="15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survey exceptions, title exceptions, encumbrances, easements or reservations of, or rights of others for, licenses, rights of way, sewers, electric lines, telegraph and telephone lines and other similar purposes, or zoning or other restrictions as to the use of real property, not interfering in any material respect with the conduct of the business of the Borrower and its Subsidiaries;</w:t>
      </w:r>
    </w:p>
    <w:p>
      <w:pPr>
        <w:spacing w:after="0" w:line="161" w:lineRule="exact"/>
        <w:rPr>
          <w:rFonts w:ascii="Times New Roman" w:cs="Times New Roman" w:eastAsia="Times New Roman" w:hAnsi="Times New Roman"/>
          <w:sz w:val="22"/>
          <w:szCs w:val="22"/>
          <w:color w:val="auto"/>
        </w:rPr>
      </w:pPr>
    </w:p>
    <w:p>
      <w:pPr>
        <w:ind w:left="640" w:firstLine="649"/>
        <w:spacing w:after="0" w:line="296" w:lineRule="auto"/>
        <w:tabs>
          <w:tab w:leader="none" w:pos="15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or sublicenses granted to third parties in the ordinary course of business, including of intellectual property;</w:t>
      </w:r>
    </w:p>
    <w:p>
      <w:pPr>
        <w:spacing w:after="0" w:line="145" w:lineRule="exact"/>
        <w:rPr>
          <w:rFonts w:ascii="Times New Roman" w:cs="Times New Roman" w:eastAsia="Times New Roman" w:hAnsi="Times New Roman"/>
          <w:sz w:val="22"/>
          <w:szCs w:val="22"/>
          <w:color w:val="auto"/>
        </w:rPr>
      </w:pPr>
    </w:p>
    <w:p>
      <w:pPr>
        <w:jc w:val="both"/>
        <w:ind w:left="640" w:firstLine="649"/>
        <w:spacing w:after="0" w:line="289" w:lineRule="auto"/>
        <w:tabs>
          <w:tab w:leader="none" w:pos="163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Liens in favor of trustees and escrow agents, Liens to secure cash management services or to implement pooling arrangements and netting and setoff rights, banker’s liens and the like in favor of financial institutions, depositories, securities intermediaries and counterparties to financial obligations and instruments;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20" w:h="16838" w:orient="portrait"/>
          <w:cols w:equalWidth="0" w:num="1">
            <w:col w:w="11260"/>
          </w:cols>
          <w:pgMar w:left="340" w:top="1430" w:right="318" w:bottom="1440" w:gutter="0" w:footer="0" w:header="0"/>
        </w:sectPr>
      </w:pPr>
    </w:p>
    <w:bookmarkStart w:id="58" w:name="page59"/>
    <w:bookmarkEnd w:id="58"/>
    <w:p>
      <w:pPr>
        <w:ind w:left="640" w:firstLine="649"/>
        <w:spacing w:after="0" w:line="296" w:lineRule="auto"/>
        <w:tabs>
          <w:tab w:leader="none" w:pos="156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proceeds thereof;</w:t>
      </w:r>
    </w:p>
    <w:p>
      <w:pPr>
        <w:spacing w:after="0" w:line="145" w:lineRule="exact"/>
        <w:rPr>
          <w:rFonts w:ascii="Times New Roman" w:cs="Times New Roman" w:eastAsia="Times New Roman" w:hAnsi="Times New Roman"/>
          <w:sz w:val="22"/>
          <w:szCs w:val="22"/>
          <w:color w:val="auto"/>
        </w:rPr>
      </w:pPr>
    </w:p>
    <w:p>
      <w:pPr>
        <w:jc w:val="both"/>
        <w:ind w:left="640" w:firstLine="649"/>
        <w:spacing w:after="0" w:line="289" w:lineRule="auto"/>
        <w:tabs>
          <w:tab w:leader="none" w:pos="154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 so long as such Liens only cover the related goods; and</w:t>
      </w:r>
    </w:p>
    <w:p>
      <w:pPr>
        <w:spacing w:after="0" w:line="152" w:lineRule="exact"/>
        <w:rPr>
          <w:rFonts w:ascii="Times New Roman" w:cs="Times New Roman" w:eastAsia="Times New Roman" w:hAnsi="Times New Roman"/>
          <w:sz w:val="22"/>
          <w:szCs w:val="22"/>
          <w:color w:val="auto"/>
        </w:rPr>
      </w:pPr>
    </w:p>
    <w:p>
      <w:pPr>
        <w:jc w:val="both"/>
        <w:ind w:left="640" w:firstLine="649"/>
        <w:spacing w:after="0" w:line="282" w:lineRule="auto"/>
        <w:tabs>
          <w:tab w:leader="none" w:pos="161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term “Permitted Encumbrances” shall not include any Lien securing Indebtedness.</w:t>
      </w:r>
    </w:p>
    <w:p>
      <w:pPr>
        <w:spacing w:after="0" w:line="23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means the holders of Equity Interests in Holdings immediately prior to the consummation of Holdings’ initial public offering of its equity securities on Nasdaq on January 15, 2021.</w:t>
      </w:r>
    </w:p>
    <w:p>
      <w:pPr>
        <w:spacing w:after="0" w:line="1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 Indebtedness</w:t>
      </w:r>
      <w:r>
        <w:rPr>
          <w:rFonts w:ascii="Times New Roman" w:cs="Times New Roman" w:eastAsia="Times New Roman" w:hAnsi="Times New Roman"/>
          <w:sz w:val="22"/>
          <w:szCs w:val="22"/>
          <w:color w:val="auto"/>
        </w:rPr>
        <w:t>” means an extension or renewal of, replacement of, or substitution for, or issued in exchange for, or the net proceeds of which are used to repay, prepay, defease, retire, redeem, repurchase, refinance or refund, including by way of defeasance (all of the above, for purposes of this clause, “</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xml:space="preserve">”) in whole or in part then outstanding Indebtedness in an amount (after deduction of any original issue discount) not to exceed the principal amount of the Indebtedness so refinanced, plus premiums, accrued interest, fees and expenses;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in case the Indebtedness to be refinanced is Subordinated Debt, the new Indebtedness, by its terms or by the terms of any agreement or instrument pursuant to which it is outstanding, is expressly made subordinate in right of payment to the Revolving Facility at least to the extent that the Indebtedness to be refinanced is subordinated to the Revolving Facility and (B) the new Indebtedness does not have a stated maturity prior to the earlier of (x) the stated maturity of the Indebtedness to be refinanced and (y) 91 days following the final scheduled maturity of the Revolving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subclause (B) will not apply to any refunding or refinancing of any secured Indebtedness).</w:t>
      </w:r>
    </w:p>
    <w:p>
      <w:pPr>
        <w:spacing w:after="0" w:line="17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Securitization Indebtedness</w:t>
      </w:r>
      <w:r>
        <w:rPr>
          <w:rFonts w:ascii="Times New Roman" w:cs="Times New Roman" w:eastAsia="Times New Roman" w:hAnsi="Times New Roman"/>
          <w:sz w:val="22"/>
          <w:szCs w:val="22"/>
          <w:color w:val="auto"/>
        </w:rPr>
        <w:t>” means Indebtedness of any Securitization Subsidiary of the Borrower where no portion of such Indebtedness is guaranteed by the Borrower or any of its Subsidiaries other than pursuant to Standard Securitization Undertakings, is recourse to or obligates the Borrower or any of its Subsidiaries (other than such Securitization Subsidiary) in any way other than pursuant to Standard Securitization Undertakings or subjects any property or asset of the Borrower or any of its other Subsidiaries (other than such Securitization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20" w:h="16838" w:orient="portrait"/>
          <w:cols w:equalWidth="0" w:num="1">
            <w:col w:w="11260"/>
          </w:cols>
          <w:pgMar w:left="340" w:top="1430" w:right="318" w:bottom="1440" w:gutter="0" w:footer="0" w:header="0"/>
        </w:sectPr>
      </w:pPr>
    </w:p>
    <w:bookmarkStart w:id="59" w:name="page60"/>
    <w:bookmarkEnd w:id="59"/>
    <w:p>
      <w:pPr>
        <w:jc w:val="both"/>
        <w:spacing w:after="0" w:line="296" w:lineRule="auto"/>
        <w:rPr>
          <w:sz w:val="20"/>
          <w:szCs w:val="20"/>
          <w:color w:val="auto"/>
        </w:rPr>
      </w:pPr>
      <w:r>
        <w:rPr>
          <w:rFonts w:ascii="Times New Roman" w:cs="Times New Roman" w:eastAsia="Times New Roman" w:hAnsi="Times New Roman"/>
          <w:sz w:val="22"/>
          <w:szCs w:val="22"/>
          <w:color w:val="auto"/>
        </w:rPr>
        <w:t>Subsidiary), directly or indirectly, contingently or otherwise, to the satisfaction thereof, other than pursuant to Standard Securitization Undertakings.</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xml:space="preserve">” means 29 CFR § 2510.3-101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means, with respect to any Person, any and all Equity Interests which is preferred as to the payment of dividends or distributions, upon liquidation or otherwise, over another class of Equity Interests of such Person.</w:t>
      </w:r>
    </w:p>
    <w:p>
      <w:pPr>
        <w:spacing w:after="0" w:line="13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Company Compliance</w:t>
      </w:r>
      <w:r>
        <w:rPr>
          <w:rFonts w:ascii="Times New Roman" w:cs="Times New Roman" w:eastAsia="Times New Roman" w:hAnsi="Times New Roman"/>
          <w:sz w:val="22"/>
          <w:szCs w:val="22"/>
          <w:color w:val="auto"/>
        </w:rPr>
        <w:t>” means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20" w:h="16838" w:orient="portrait"/>
          <w:cols w:equalWidth="0" w:num="1">
            <w:col w:w="11260"/>
          </w:cols>
          <w:pgMar w:left="340" w:top="1430" w:right="318" w:bottom="1440" w:gutter="0" w:footer="0" w:header="0"/>
        </w:sectPr>
      </w:pPr>
    </w:p>
    <w:bookmarkStart w:id="60" w:name="page61"/>
    <w:bookmarkEnd w:id="60"/>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Principal Balance</w:t>
      </w:r>
      <w:r>
        <w:rPr>
          <w:rFonts w:ascii="Times New Roman" w:cs="Times New Roman" w:eastAsia="Times New Roman" w:hAnsi="Times New Roman"/>
          <w:sz w:val="22"/>
          <w:szCs w:val="22"/>
          <w:color w:val="auto"/>
        </w:rPr>
        <w:t>” means, for any Receivable, an amount equal to (a) in the case of any Zero Interest Receivable, the related Risk-Based Price for such Receivable, as measured on the date the Borrower or any of its Subsidiaries acquired such Receivable, and (b) in the case of any other Receivable, the Obligor Principal Balance of such Receivable, as measured as of the end of the day immediately preceding the date on which the Borrower or its Subsidiaries acquired such Receivable.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all Equity Interests of a Person other than Disqualified Equity Interests.</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Receivables Report</w:t>
      </w:r>
      <w:r>
        <w:rPr>
          <w:rFonts w:ascii="Times New Roman" w:cs="Times New Roman" w:eastAsia="Times New Roman" w:hAnsi="Times New Roman"/>
          <w:sz w:val="22"/>
          <w:szCs w:val="22"/>
          <w:color w:val="auto"/>
        </w:rPr>
        <w:t>” means the report substantially in the form of Exhibit F hereto or in such other form as may be approved by the Administrative Agent in its sole discretion.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Vintage</w:t>
      </w:r>
      <w:r>
        <w:rPr>
          <w:rFonts w:ascii="Times New Roman" w:cs="Times New Roman" w:eastAsia="Times New Roman" w:hAnsi="Times New Roman"/>
          <w:sz w:val="22"/>
          <w:szCs w:val="22"/>
          <w:color w:val="auto"/>
        </w:rPr>
        <w:t>” means, for any calendar quarter, all Receivables that were originated during such calendar quarter.</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all rights to payment of indebtedness and other obligations (including without limitation, unpaid principal, accrued interest, costs, fees, expenses and indemnity obligations) owing by an Account Debtor in respect of a loan or loans or other financial accommodations made or extended by an Originator to or for the benefit of such Account Debtor and if such Originator is not the Borrower or any of its Subsidiaries (other than a Specified Subsidiary), subsequently sold to the Borrower or a Subsidiary (other than a Specified Subsidiary) of the Borrower.</w:t>
      </w:r>
    </w:p>
    <w:p>
      <w:pPr>
        <w:spacing w:after="0" w:line="16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Balance</w:t>
      </w:r>
      <w:r>
        <w:rPr>
          <w:rFonts w:ascii="Times New Roman" w:cs="Times New Roman" w:eastAsia="Times New Roman" w:hAnsi="Times New Roman"/>
          <w:sz w:val="22"/>
          <w:szCs w:val="22"/>
          <w:color w:val="auto"/>
        </w:rPr>
        <w:t xml:space="preserve">” means, for any Receivable and as of any date of determination, the positive difference, if any, of (i) the Purchase Principal Balance of such Receivable,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if any, by which the principal balance of such Receivable has been reduced in accordance with the Underwriting/Servicing Policies of the Borrower and its applicable Subsidiaries with respect to the Receivables, including without limitation by refunded amounts in respect thereof, after the date as of which such Purchase Principal Balance was determined;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Receivable Balance of any Defaulted Receivable (other than for purposes of determining its Release Price) shall be equal to $0.</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Lender, as applicable.</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assigned to such term in Section 9.04(b).</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Federal Reserve Board, as in effect from time to time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20" w:h="16838" w:orient="portrait"/>
          <w:cols w:equalWidth="0" w:num="1">
            <w:col w:w="11260"/>
          </w:cols>
          <w:pgMar w:left="340" w:top="1430" w:right="318" w:bottom="1440" w:gutter="0" w:footer="0" w:header="0"/>
        </w:sectPr>
      </w:pPr>
    </w:p>
    <w:bookmarkStart w:id="61" w:name="page62"/>
    <w:bookmarkEnd w:id="61"/>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T</w:t>
      </w:r>
      <w:r>
        <w:rPr>
          <w:rFonts w:ascii="Times New Roman" w:cs="Times New Roman" w:eastAsia="Times New Roman" w:hAnsi="Times New Roman"/>
          <w:sz w:val="22"/>
          <w:szCs w:val="22"/>
          <w:color w:val="auto"/>
        </w:rPr>
        <w:t>” means Regulation T of the Federal Reserve Board, as in effect from time to time and all official rulings and interpretations thereunder or thereof.</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Federal Reserve Board, as in effect from time to time and all official rulings and interpretations thereunder or thereof.</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means Regulation X of the Federal Reserve Board, as in effect from time to time and all official rulings and interpretations thereunder or thereof.</w:t>
      </w:r>
    </w:p>
    <w:p>
      <w:pPr>
        <w:spacing w:after="0" w:line="13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Entity</w:t>
      </w:r>
      <w:r>
        <w:rPr>
          <w:rFonts w:ascii="Times New Roman" w:cs="Times New Roman" w:eastAsia="Times New Roman" w:hAnsi="Times New Roman"/>
          <w:sz w:val="22"/>
          <w:szCs w:val="22"/>
          <w:color w:val="auto"/>
        </w:rPr>
        <w:t>” has the meaning assigned to such term in Section 5.01.</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subject to Section 2.20, (a) at any time prior to the earlier of the Loans becoming due and payable pursuant to Section 7.01 or the Commitments terminating or expiring, at least two Lenders (that are not Affiliates of each other) having Revolving Credit Exposures and Unfunded Commitments representing more than 50.0% of the sum of the Total Revolving Credit Exposure and Unfunded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at least two Lenders (that are not Affiliates of each other) having Revolving Credit Exposures representing more than 50.0% of the Total Revolving Credit Exposure at such time. </w:t>
      </w:r>
      <w:r>
        <w:rPr>
          <w:rFonts w:ascii="Times New Roman" w:cs="Times New Roman" w:eastAsia="Times New Roman" w:hAnsi="Times New Roman"/>
          <w:sz w:val="22"/>
          <w:szCs w:val="22"/>
          <w:color w:val="EE2724"/>
          <w:strike w:val="1"/>
        </w:rPr>
        <w:t>Notwithstanding the foregoing, Required Lenders shall include each Lender party to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Agreement as of the Effective Date so long as such Lender maintains a Commitment not less than the Commitment of such Lenders as of the Effective Date (or such lesser Commitment equal to such Lender’s ratable amount of the aggregate Commitments to the extent reduced or terminated by the Borrower in accordance with Section 2.09).</w:t>
      </w:r>
    </w:p>
    <w:p>
      <w:pPr>
        <w:spacing w:after="0" w:line="17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Residual Funding Facility</w:t>
      </w:r>
      <w:r>
        <w:rPr>
          <w:rFonts w:ascii="Times New Roman" w:cs="Times New Roman" w:eastAsia="Times New Roman" w:hAnsi="Times New Roman"/>
          <w:sz w:val="22"/>
          <w:szCs w:val="22"/>
          <w:color w:val="auto"/>
        </w:rPr>
        <w:t>” means any funding arrangement with a financial institution or institutions or other lenders or purchasers under which advances are made to the Borrower or any Subsidiary secured solely by Residual Interests.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20" w:h="16838" w:orient="portrait"/>
          <w:cols w:equalWidth="0" w:num="1">
            <w:col w:w="11260"/>
          </w:cols>
          <w:pgMar w:left="340" w:top="1430" w:right="318" w:bottom="1440" w:gutter="0" w:footer="0" w:header="0"/>
        </w:sectPr>
      </w:pPr>
    </w:p>
    <w:bookmarkStart w:id="62" w:name="page63"/>
    <w:bookmarkEnd w:id="62"/>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Residual Interest</w:t>
      </w:r>
      <w:r>
        <w:rPr>
          <w:rFonts w:ascii="Times New Roman" w:cs="Times New Roman" w:eastAsia="Times New Roman" w:hAnsi="Times New Roman"/>
          <w:sz w:val="22"/>
          <w:szCs w:val="22"/>
          <w:color w:val="auto"/>
        </w:rPr>
        <w:t>” means (i) any residual and subordinated (after giving effect to the incurrence of Permitted Securitization Indebtedness or Non-Recourse Indebtedness) reserve accounts and ownership (including equity) or participation interest held by the Borrower or a Subsidiary in Securitization Subsidiaries or their assets, regardless of whether required to appear on the face of the consolidated financial statements in accordance with GAAP or (ii) with respect to any Securitization Subsidiary, the residual right (which may be represented by an equity interest or a subordinated debt obligation of such entity) owned or held by the Borrower or a Subsidiary (other than a Securitization Subsidiary) to receive cash flows from the Financeable Assets sold to such Securitization Subsidiary in excess of amounts needed to pay principal of, interest on and other amounts in respect of Securitization Indebtedness of such entity, servicing expenses of such entity, costs in respect of hedging obligations of such entity (if any) and other fees and obligations in respect of the third-party securities issued by such entity and secured by such Financeable Assets.</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the chief financial officer, the president or the treasurer of the Borrower.</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(other than any debt securities convertible into such Equity Interests).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as applicable, Thomson Reuters Corp., Refinitiv, or any successor thereto.</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means Revolving Loans of the same Type, made, converted or continued on the same date and, in the case of SOFR Loans, as to which a single Interest Period is in effect.</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with respect to any Lender at any time, the outstanding principal amount of such Lender’s Revolving Loans at such time.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means the Commitments and the Revolving Loans made thereunder.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20" w:h="16838" w:orient="portrait"/>
          <w:cols w:equalWidth="0" w:num="1">
            <w:col w:w="11260"/>
          </w:cols>
          <w:pgMar w:left="340" w:top="1430" w:right="318"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Section 2.03 and any Incremental Revolving Loan.</w:t>
      </w:r>
    </w:p>
    <w:p>
      <w:pPr>
        <w:spacing w:after="0" w:line="23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Risk-Based Discount Rate</w:t>
      </w:r>
      <w:r>
        <w:rPr>
          <w:rFonts w:ascii="Times New Roman" w:cs="Times New Roman" w:eastAsia="Times New Roman" w:hAnsi="Times New Roman"/>
          <w:sz w:val="22"/>
          <w:szCs w:val="22"/>
          <w:color w:val="auto"/>
        </w:rPr>
        <w:t>” means for any Zero Interest Receivable, a rate per annum equal to, if such Receivable was assigned a credit grade by the Borrower as of the related Origination Date of: (1) “A”, 7.10%, (2) “B”, 10.70%, (3) “C”, 16.93%, or (4) “D”, 29.65%; or such other per annum rates as may be consented to by the Required Lenders from time to time.</w:t>
      </w:r>
    </w:p>
    <w:p>
      <w:pPr>
        <w:spacing w:after="0" w:line="13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Risk-Based Price</w:t>
      </w:r>
      <w:r>
        <w:rPr>
          <w:rFonts w:ascii="Times New Roman" w:cs="Times New Roman" w:eastAsia="Times New Roman" w:hAnsi="Times New Roman"/>
          <w:sz w:val="22"/>
          <w:szCs w:val="22"/>
          <w:color w:val="auto"/>
        </w:rPr>
        <w:t>” means, with respect to any Zero Interest Receivable and as of any date of determination, the result of the following formula (in Microsoft Excel):</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PV ( D / 12, T, PMT ( 0, T, 1 ) ) x B</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where “D” is the Risk-Based Discount Rate for such Receivable, “T” is the original term to maturity (in months) of such Receivable and “B” is the Obligor Principal Balance of such Receivable as of the end of the day immediately preceding such date of determination. For the avoidance of the doubt, the Risk-Based Price cannot exceed the value of B.</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 Services, a Standard &amp; Poor’s Financial Services LLC business (or any successor thereto).</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the target of comprehensive Sanctions (at the time of this Agreement, Crimea, Cuba, Iran, North Korea, Syria, Donetsk, Luhansk, Zaporizhzhia, and Kherson).</w:t>
      </w:r>
    </w:p>
    <w:p>
      <w:pPr>
        <w:spacing w:after="0" w:line="13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His Majesty’s Treasury of the United Kingdom, (b) any Person located, organized or resident in a Sanctioned Country, (c) any Person owned 50% or more by, or controlled by, any such Person or Persons described in the foregoing clauses (a) or (b), or (d) any Person otherwise the target of Sanctions.</w:t>
      </w:r>
    </w:p>
    <w:p>
      <w:pPr>
        <w:spacing w:after="0" w:line="1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of the United State of America.</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20" w:h="16838" w:orient="portrait"/>
          <w:cols w:equalWidth="0" w:num="1">
            <w:col w:w="11260"/>
          </w:cols>
          <w:pgMar w:left="340" w:top="1430" w:right="318"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Subsidiary</w:t>
      </w:r>
      <w:r>
        <w:rPr>
          <w:rFonts w:ascii="Times New Roman" w:cs="Times New Roman" w:eastAsia="Times New Roman" w:hAnsi="Times New Roman"/>
          <w:sz w:val="22"/>
          <w:szCs w:val="22"/>
          <w:color w:val="auto"/>
        </w:rPr>
        <w:t>” means a direct or indirect wholly-owned, special purpose bankruptcy remote Subsidiary or other Affiliate of Borrower formed for the purpose of directly or indirectly purchasing Receivables or other Financeable Assets from the Borrower or any of its Subsidiaries in connection with any Permitted Securitization Indebtedness or Non-Recourse Indebtedness (other than Standard Securitization Undertakings).</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Subsidiary that would be a “Significant Subsidiary” of the Borrower within the meaning of Rule 1-02 under Regulation S-X promulgated by the SEC (or any successor provision).</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with respect to any U.S. Government Securities Business Day, a rate per annum equal to the secured overnight financing rate for such U.S. Government Securities Business Day published by the SOFR Administrator on the website of the SOFR Administrator, currently at http://www.newyorkfed.org (or any successor source for the secured overnight financing rate identified as such by the SOFR Administrator from time to time) on the immediately succeeding U.S. Government Securities Business Day.</w:t>
      </w:r>
    </w:p>
    <w:p>
      <w:pPr>
        <w:spacing w:after="0" w:line="16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 Loan that bears interest at a rate based on Term SOFR, other than pursuant to clause (c) of the definition of “Alternate Base Rate”.</w:t>
      </w:r>
    </w:p>
    <w:p>
      <w:pPr>
        <w:spacing w:after="0" w:line="11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6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Convertible Notes</w:t>
      </w:r>
      <w:r>
        <w:rPr>
          <w:rFonts w:ascii="Times New Roman" w:cs="Times New Roman" w:eastAsia="Times New Roman" w:hAnsi="Times New Roman"/>
          <w:sz w:val="22"/>
          <w:szCs w:val="22"/>
          <w:color w:val="auto"/>
        </w:rPr>
        <w:t>” means collectively, (a) the 0% convertible notes due 2026 in the aggregate principal amount of $1.725 billion issued by Holdings pursuant to the Indenture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20" w:h="16838" w:orient="portrait"/>
          <w:cols w:equalWidth="0" w:num="1">
            <w:col w:w="11260"/>
          </w:cols>
          <w:pgMar w:left="340" w:top="1430" w:right="318" w:bottom="1440" w:gutter="0" w:footer="0" w:header="0"/>
        </w:sectPr>
      </w:pPr>
    </w:p>
    <w:bookmarkStart w:id="65" w:name="page66"/>
    <w:bookmarkEnd w:id="65"/>
    <w:p>
      <w:pPr>
        <w:jc w:val="both"/>
        <w:spacing w:after="0" w:line="308" w:lineRule="auto"/>
        <w:rPr>
          <w:sz w:val="20"/>
          <w:szCs w:val="20"/>
          <w:color w:val="auto"/>
        </w:rPr>
      </w:pPr>
      <w:r>
        <w:rPr>
          <w:rFonts w:ascii="Times New Roman" w:cs="Times New Roman" w:eastAsia="Times New Roman" w:hAnsi="Times New Roman"/>
          <w:sz w:val="21"/>
          <w:szCs w:val="21"/>
          <w:color w:val="auto"/>
        </w:rPr>
        <w:t xml:space="preserve">dated as of November 23, 2021 between Holdings and Wilmington Trust, National Association, as trustee and (b) the convertible notes due 2029 in the aggregate principal amount of </w:t>
      </w:r>
      <w:r>
        <w:rPr>
          <w:rFonts w:ascii="Times New Roman" w:cs="Times New Roman" w:eastAsia="Times New Roman" w:hAnsi="Times New Roman"/>
          <w:sz w:val="21"/>
          <w:szCs w:val="21"/>
          <w:color w:val="EE2724"/>
          <w:strike w:val="1"/>
        </w:rPr>
        <w:t>up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1.15</w:t>
      </w:r>
      <w:r>
        <w:rPr>
          <w:rFonts w:ascii="Times New Roman" w:cs="Times New Roman" w:eastAsia="Times New Roman" w:hAnsi="Times New Roman"/>
          <w:sz w:val="21"/>
          <w:szCs w:val="21"/>
          <w:u w:val="single" w:color="auto"/>
          <w:color w:val="0E32E1"/>
        </w:rPr>
        <w:t>920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billion</w:t>
      </w:r>
      <w:r>
        <w:rPr>
          <w:rFonts w:ascii="Times New Roman" w:cs="Times New Roman" w:eastAsia="Times New Roman" w:hAnsi="Times New Roman"/>
          <w:sz w:val="21"/>
          <w:szCs w:val="21"/>
          <w:u w:val="single" w:color="auto"/>
          <w:color w:val="0E32E1"/>
        </w:rPr>
        <w:t>million</w:t>
      </w:r>
      <w:r>
        <w:rPr>
          <w:rFonts w:ascii="Times New Roman" w:cs="Times New Roman" w:eastAsia="Times New Roman" w:hAnsi="Times New Roman"/>
          <w:sz w:val="21"/>
          <w:szCs w:val="21"/>
          <w:color w:val="auto"/>
        </w:rPr>
        <w:t xml:space="preserve"> issued by Holdings </w:t>
      </w:r>
      <w:r>
        <w:rPr>
          <w:rFonts w:ascii="Times New Roman" w:cs="Times New Roman" w:eastAsia="Times New Roman" w:hAnsi="Times New Roman"/>
          <w:sz w:val="21"/>
          <w:szCs w:val="21"/>
          <w:color w:val="EE2724"/>
          <w:strike w:val="1"/>
        </w:rPr>
        <w:t>on or prior to</w:t>
      </w:r>
      <w:r>
        <w:rPr>
          <w:rFonts w:ascii="Times New Roman" w:cs="Times New Roman" w:eastAsia="Times New Roman" w:hAnsi="Times New Roman"/>
          <w:sz w:val="21"/>
          <w:szCs w:val="21"/>
          <w:u w:val="single" w:color="auto"/>
          <w:color w:val="0E32E1"/>
        </w:rPr>
        <w:t>pursuant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the Indenture dated as of</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December</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EE2724"/>
          <w:strike w:val="1"/>
        </w:rPr>
        <w:t>31</w:t>
      </w:r>
      <w:r>
        <w:rPr>
          <w:rFonts w:ascii="Times New Roman" w:cs="Times New Roman" w:eastAsia="Times New Roman" w:hAnsi="Times New Roman"/>
          <w:sz w:val="21"/>
          <w:szCs w:val="21"/>
          <w:u w:val="single" w:color="auto"/>
          <w:color w:val="0E32E1"/>
        </w:rPr>
        <w:t>20</w:t>
      </w:r>
      <w:r>
        <w:rPr>
          <w:rFonts w:ascii="Times New Roman" w:cs="Times New Roman" w:eastAsia="Times New Roman" w:hAnsi="Times New Roman"/>
          <w:sz w:val="21"/>
          <w:szCs w:val="21"/>
          <w:color w:val="000000"/>
        </w:rPr>
        <w:t>, 2024</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between Holdings and Wilmington Trust, National Association, as trustee</w:t>
      </w:r>
      <w:r>
        <w:rPr>
          <w:rFonts w:ascii="Times New Roman" w:cs="Times New Roman" w:eastAsia="Times New Roman" w:hAnsi="Times New Roman"/>
          <w:sz w:val="21"/>
          <w:szCs w:val="21"/>
          <w:color w:val="000000"/>
        </w:rPr>
        <w:t>.</w:t>
      </w:r>
    </w:p>
    <w:p>
      <w:pPr>
        <w:spacing w:after="0" w:line="13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Subsidiary</w:t>
      </w:r>
      <w:r>
        <w:rPr>
          <w:rFonts w:ascii="Times New Roman" w:cs="Times New Roman" w:eastAsia="Times New Roman" w:hAnsi="Times New Roman"/>
          <w:sz w:val="22"/>
          <w:szCs w:val="22"/>
          <w:color w:val="auto"/>
        </w:rPr>
        <w:t>” means each Subsidiary that is not organized under the laws of any political subdivision of the United States and is either (a) listed on Schedule 1.01 or (b) designated as a Specified Subsidiary by the Borrower after the Effective Date. The board of directors of the Borrower may designate after the Effective Date any Subsidiary of the Borrower, including a newly acquired or created Subsidiary, to be a Specified Subsidiary if it meets the following qualifications:</w:t>
      </w:r>
    </w:p>
    <w:p>
      <w:pPr>
        <w:spacing w:after="0" w:line="164" w:lineRule="exact"/>
        <w:rPr>
          <w:sz w:val="20"/>
          <w:szCs w:val="20"/>
          <w:color w:val="auto"/>
        </w:rPr>
      </w:pPr>
    </w:p>
    <w:p>
      <w:pPr>
        <w:ind w:left="900" w:hanging="259"/>
        <w:spacing w:after="0"/>
        <w:tabs>
          <w:tab w:leader="none" w:pos="9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Subsidiary does not own any Equity Interest of the Borrower or any Subsidiary that is not a Specified Subsidiary;</w:t>
      </w:r>
    </w:p>
    <w:p>
      <w:pPr>
        <w:spacing w:after="0" w:line="244" w:lineRule="exact"/>
        <w:rPr>
          <w:rFonts w:ascii="Times New Roman" w:cs="Times New Roman" w:eastAsia="Times New Roman" w:hAnsi="Times New Roman"/>
          <w:sz w:val="21"/>
          <w:szCs w:val="21"/>
          <w:color w:val="auto"/>
        </w:rPr>
      </w:pPr>
    </w:p>
    <w:p>
      <w:pPr>
        <w:jc w:val="both"/>
        <w:ind w:firstLine="641"/>
        <w:spacing w:after="0" w:line="289" w:lineRule="auto"/>
        <w:tabs>
          <w:tab w:leader="none" w:pos="99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would be permitted to make an Investment at the time of the designation in an amount equal to the aggregate fair market value of all Investments in such Subsidiary by the Borrower or its Subsidiaries that are not Specified Subsidiaries;</w:t>
      </w:r>
    </w:p>
    <w:p>
      <w:pPr>
        <w:spacing w:after="0" w:line="152" w:lineRule="exact"/>
        <w:rPr>
          <w:rFonts w:ascii="Times New Roman" w:cs="Times New Roman" w:eastAsia="Times New Roman" w:hAnsi="Times New Roman"/>
          <w:sz w:val="22"/>
          <w:szCs w:val="22"/>
          <w:color w:val="auto"/>
        </w:rPr>
      </w:pPr>
    </w:p>
    <w:p>
      <w:pPr>
        <w:ind w:firstLine="641"/>
        <w:spacing w:after="0" w:line="296" w:lineRule="auto"/>
        <w:tabs>
          <w:tab w:leader="none" w:pos="103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or other credit support thereof by the Borrower or any Subsidiary that is not a Specified Subsidiary is permitted under Sections 6.01 and 6.04;</w:t>
      </w:r>
    </w:p>
    <w:p>
      <w:pPr>
        <w:spacing w:after="0" w:line="145" w:lineRule="exact"/>
        <w:rPr>
          <w:rFonts w:ascii="Times New Roman" w:cs="Times New Roman" w:eastAsia="Times New Roman" w:hAnsi="Times New Roman"/>
          <w:sz w:val="22"/>
          <w:szCs w:val="22"/>
          <w:color w:val="auto"/>
        </w:rPr>
      </w:pPr>
    </w:p>
    <w:p>
      <w:pPr>
        <w:jc w:val="both"/>
        <w:ind w:firstLine="641"/>
        <w:spacing w:after="0" w:line="289" w:lineRule="auto"/>
        <w:tabs>
          <w:tab w:leader="none" w:pos="10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that is not a Specified Subsidiary has any obligation to subscribe for additional Equity Interests of such Subsidiary or cause it to achieve specified levels of operating results except to the extent permitted by Sections 6.01 and 6.04;</w:t>
      </w:r>
    </w:p>
    <w:p>
      <w:pPr>
        <w:spacing w:after="0" w:line="139" w:lineRule="exact"/>
        <w:rPr>
          <w:rFonts w:ascii="Times New Roman" w:cs="Times New Roman" w:eastAsia="Times New Roman" w:hAnsi="Times New Roman"/>
          <w:sz w:val="22"/>
          <w:szCs w:val="22"/>
          <w:color w:val="auto"/>
        </w:rPr>
      </w:pPr>
    </w:p>
    <w:p>
      <w:pPr>
        <w:ind w:firstLine="641"/>
        <w:spacing w:after="0" w:line="309" w:lineRule="auto"/>
        <w:tabs>
          <w:tab w:leader="none" w:pos="96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such designation, no Default or Event of Default shall have occurred and be continuing or would result from such designation; and</w:t>
      </w:r>
    </w:p>
    <w:p>
      <w:pPr>
        <w:spacing w:after="0" w:line="131" w:lineRule="exact"/>
        <w:rPr>
          <w:rFonts w:ascii="Times New Roman" w:cs="Times New Roman" w:eastAsia="Times New Roman" w:hAnsi="Times New Roman"/>
          <w:sz w:val="22"/>
          <w:szCs w:val="22"/>
          <w:color w:val="auto"/>
        </w:rPr>
      </w:pPr>
    </w:p>
    <w:p>
      <w:pPr>
        <w:ind w:firstLine="641"/>
        <w:spacing w:after="0" w:line="296" w:lineRule="auto"/>
        <w:tabs>
          <w:tab w:leader="none" w:pos="103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may be designated as a Specified Subsidiary if it is a “restricted subsidiary” or a “guarantor” (or any similar designation) for any other Material Obligation of the Borrower or any Subsidiary that is not a Specified Subsidiary.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Once so designated, the Subsidiary will remain a Specified Subsidiary.</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representations, warranties, covenants, pledges and indemnities made or provided by the Borrower in connection with Permitted Securitization Indebtedness or Non-Recourse Indebtedness which are (a) customary for the sponsor of a non-recourse financing transaction in which receivables are transferred, directly or indirectly, to a special purpose, bankruptcy remote securitization vehicle or (b) consented to in writing by the Required Lenders. For the avoidance of doubt, the granting and perfection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20" w:h="16838" w:orient="portrait"/>
          <w:cols w:equalWidth="0" w:num="1">
            <w:col w:w="11260"/>
          </w:cols>
          <w:pgMar w:left="340" w:top="1430" w:right="318" w:bottom="1440" w:gutter="0" w:footer="0" w:header="0"/>
        </w:sectPr>
      </w:pPr>
    </w:p>
    <w:bookmarkStart w:id="66" w:name="page67"/>
    <w:bookmarkEnd w:id="66"/>
    <w:p>
      <w:pPr>
        <w:jc w:val="both"/>
        <w:spacing w:after="0" w:line="296" w:lineRule="auto"/>
        <w:rPr>
          <w:sz w:val="20"/>
          <w:szCs w:val="20"/>
          <w:color w:val="auto"/>
        </w:rPr>
      </w:pPr>
      <w:r>
        <w:rPr>
          <w:rFonts w:ascii="Times New Roman" w:cs="Times New Roman" w:eastAsia="Times New Roman" w:hAnsi="Times New Roman"/>
          <w:sz w:val="22"/>
          <w:szCs w:val="22"/>
          <w:color w:val="auto"/>
        </w:rPr>
        <w:t>liens in any applicable servicing account and servicing agreement in connection with a Permitted Securitization Indebtedness or Non-Recourse Indebtedness shall constitute a Standard Securitization Undertaking.</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any Indebtedness of Holdings or its Subsidiaries which is subordinated in right of payment to the Loans, pursuant to a written agreement in form and substance reasonably acceptable to the Administrative Agent.</w:t>
      </w:r>
    </w:p>
    <w:p>
      <w:pPr>
        <w:spacing w:after="0" w:line="11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Except for purposes of the definition of “Leverage Ratio”,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5.01(b)</w:t>
      </w:r>
      <w:r>
        <w:rPr>
          <w:rFonts w:ascii="Times New Roman" w:cs="Times New Roman" w:eastAsia="Times New Roman" w:hAnsi="Times New Roman"/>
          <w:sz w:val="22"/>
          <w:szCs w:val="22"/>
          <w:color w:val="auto"/>
        </w:rPr>
        <w:t xml:space="preserve"> and unless otherwise specified, all references herein to a “Subsidiary” or to “Subsidiaries” shall refer to a Subsidiary (but shall exclude a Specified Subsidiary) or Subsidiaries (but shall exclude Specified Subsidiaries) of Holdings.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w:t>
      </w:r>
      <w:r>
        <w:rPr>
          <w:rFonts w:ascii="Times New Roman" w:cs="Times New Roman" w:eastAsia="Times New Roman" w:hAnsi="Times New Roman"/>
          <w:sz w:val="22"/>
          <w:szCs w:val="22"/>
          <w:color w:val="auto"/>
        </w:rPr>
        <w:t>” means Barclays Bank PLC, in its capacity as syndication agent hereunder.</w:t>
      </w:r>
    </w:p>
    <w:p>
      <w:pPr>
        <w:spacing w:after="0" w:line="22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Tangible Net Worth</w:t>
      </w:r>
      <w:r>
        <w:rPr>
          <w:rFonts w:ascii="Times New Roman" w:cs="Times New Roman" w:eastAsia="Times New Roman" w:hAnsi="Times New Roman"/>
          <w:sz w:val="21"/>
          <w:szCs w:val="21"/>
          <w:color w:val="auto"/>
        </w:rPr>
        <w:t xml:space="preserve">” means, for any Person, such Person’s (a) assets,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liabilities,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(c) any intangible assets of such person, including but not limited to, goodwill, trademarks, tradenames, copyrights, patents, patent allocations, licenses and rights in any of the foregoing and other items treated as intangibles,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(d) amounts due to such Person from any of its Affiliates (excluding such Person and its consolidated Subsidiaries), in each case as determined in accordance with GAAP.</w:t>
      </w:r>
    </w:p>
    <w:p>
      <w:pPr>
        <w:spacing w:after="0" w:line="13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 Level</w:t>
      </w:r>
      <w:r>
        <w:rPr>
          <w:rFonts w:ascii="Times New Roman" w:cs="Times New Roman" w:eastAsia="Times New Roman" w:hAnsi="Times New Roman"/>
          <w:sz w:val="22"/>
          <w:szCs w:val="22"/>
          <w:color w:val="auto"/>
        </w:rPr>
        <w:t xml:space="preserve">” means, at any time, (a) $850,000,000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60% of the aggregate amount of net proceeds from each sale or issuance of Equity Interests by the Borrower or any of its parent entity (including Holdings) after the Effective Date (excluding, for the avoidance of doubt, the initial public offering of Holdings’ equity securities described in Section 4.01(i) and any issuance of Equity Interests to its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20" w:h="16838" w:orient="portrait"/>
          <w:cols w:equalWidth="0" w:num="1">
            <w:col w:w="11260"/>
          </w:cols>
          <w:pgMar w:left="340" w:top="1430" w:right="318" w:bottom="1440" w:gutter="0" w:footer="0" w:header="0"/>
        </w:sectPr>
      </w:pPr>
    </w:p>
    <w:bookmarkStart w:id="67" w:name="page68"/>
    <w:bookmarkEnd w:id="67"/>
    <w:p>
      <w:pPr>
        <w:jc w:val="both"/>
        <w:ind w:left="7"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3"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7" w:firstLine="641"/>
        <w:spacing w:after="0" w:line="276" w:lineRule="auto"/>
        <w:tabs>
          <w:tab w:leader="none" w:pos="121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8" w:lineRule="exact"/>
        <w:rPr>
          <w:rFonts w:ascii="Times New Roman" w:cs="Times New Roman" w:eastAsia="Times New Roman" w:hAnsi="Times New Roman"/>
          <w:sz w:val="22"/>
          <w:szCs w:val="22"/>
          <w:color w:val="auto"/>
        </w:rPr>
      </w:pPr>
    </w:p>
    <w:p>
      <w:pPr>
        <w:jc w:val="both"/>
        <w:ind w:left="7" w:firstLine="641"/>
        <w:spacing w:after="0" w:line="274" w:lineRule="auto"/>
        <w:tabs>
          <w:tab w:leader="none" w:pos="121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Term SOFR determined as provided above (including pursuant to the proviso under clause (a) or clause</w:t>
      </w:r>
    </w:p>
    <w:p>
      <w:pPr>
        <w:spacing w:after="0" w:line="56" w:lineRule="exact"/>
        <w:rPr>
          <w:sz w:val="20"/>
          <w:szCs w:val="20"/>
          <w:color w:val="auto"/>
        </w:rPr>
      </w:pPr>
    </w:p>
    <w:p>
      <w:pPr>
        <w:ind w:left="307" w:hanging="307"/>
        <w:spacing w:after="0"/>
        <w:tabs>
          <w:tab w:leader="none" w:pos="30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shall ever be less than the Floor, then Term SOFR shall be deemed to be the Floor.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6" w:lineRule="exact"/>
        <w:rPr>
          <w:rFonts w:ascii="Times New Roman" w:cs="Times New Roman" w:eastAsia="Times New Roman" w:hAnsi="Times New Roman"/>
          <w:sz w:val="22"/>
          <w:szCs w:val="22"/>
          <w:color w:val="auto"/>
        </w:rPr>
      </w:pPr>
    </w:p>
    <w:p>
      <w:pPr>
        <w:ind w:left="55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w:t>
      </w:r>
    </w:p>
    <w:p>
      <w:pPr>
        <w:sectPr>
          <w:pgSz w:w="11920" w:h="16838" w:orient="portrait"/>
          <w:cols w:equalWidth="0" w:num="1">
            <w:col w:w="11267"/>
          </w:cols>
          <w:pgMar w:left="333" w:top="1430" w:right="318" w:bottom="1440" w:gutter="0" w:footer="0" w:header="0"/>
        </w:sectPr>
      </w:pPr>
    </w:p>
    <w:bookmarkStart w:id="68" w:name="page69"/>
    <w:bookmarkEnd w:id="68"/>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the CME Group Benchmark Administration Limited (CBA) (or a successor administrator of the Term SOFR Reference Rate selected by the Administrative Agent in its reasonable discretion).</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rate per annum determined by the Administrative Agent as the forward-looking term rate based on SOFR.</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Liabilities</w:t>
      </w:r>
      <w:r>
        <w:rPr>
          <w:rFonts w:ascii="Times New Roman" w:cs="Times New Roman" w:eastAsia="Times New Roman" w:hAnsi="Times New Roman"/>
          <w:sz w:val="22"/>
          <w:szCs w:val="22"/>
          <w:color w:val="auto"/>
        </w:rPr>
        <w:t>” means, for any Person, as at any date of determination, the aggregate amount of all Indebtedness of such Person, as determined on a consolidated basis in accordance with GAAP.</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Revolving Credit Exposure</w:t>
      </w:r>
      <w:r>
        <w:rPr>
          <w:rFonts w:ascii="Times New Roman" w:cs="Times New Roman" w:eastAsia="Times New Roman" w:hAnsi="Times New Roman"/>
          <w:sz w:val="21"/>
          <w:szCs w:val="21"/>
          <w:color w:val="auto"/>
        </w:rPr>
        <w:t>” means, at any time, the outstanding principal amount of the Revolving Loans at such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the borrowing of Loans and the use of the proceeds thereof.</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Term SOFR or the Alternate Base Rate.</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3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Benchmark Replacement Adjustment with respect thereto.</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Underwriting/Servicing Policies</w:t>
      </w:r>
      <w:r>
        <w:rPr>
          <w:rFonts w:ascii="Times New Roman" w:cs="Times New Roman" w:eastAsia="Times New Roman" w:hAnsi="Times New Roman"/>
          <w:sz w:val="22"/>
          <w:szCs w:val="22"/>
          <w:color w:val="auto"/>
        </w:rPr>
        <w:t>” means the credit and collection policies and procedures of the Borrower and its Subsidiaries, including their underwriting guidelines and methodology, and the collection, servicing and administration policies and procedures of the Borrower and its Subsidiaries, as such policies, procedures, guidelines and methodologies may be amended, supplemented or otherwise modified from time to time.</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u w:val="single" w:color="auto"/>
          <w:color w:val="auto"/>
        </w:rPr>
        <w:t>“Unfunded Commitment</w:t>
      </w:r>
      <w:r>
        <w:rPr>
          <w:rFonts w:ascii="Times New Roman" w:cs="Times New Roman" w:eastAsia="Times New Roman" w:hAnsi="Times New Roman"/>
          <w:sz w:val="22"/>
          <w:szCs w:val="22"/>
          <w:color w:val="auto"/>
        </w:rPr>
        <w:t>” means, with respect to each Lender, the Commitment of such Lender less its Revolving Credit Exposure.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20" w:h="16838" w:orient="portrait"/>
          <w:cols w:equalWidth="0" w:num="1">
            <w:col w:w="11260"/>
          </w:cols>
          <w:pgMar w:left="340" w:top="1430" w:right="318" w:bottom="1440" w:gutter="0" w:footer="0" w:header="0"/>
        </w:sectPr>
      </w:pPr>
    </w:p>
    <w:bookmarkStart w:id="69" w:name="page70"/>
    <w:bookmarkEnd w:id="69"/>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“United States person” within the meaning of Section 7701(a)(30) of the Code.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has the meaning assigned to such term in Section 2.17(f)(ii)(B)(3).</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Zero Interest Receivable</w:t>
      </w:r>
      <w:r>
        <w:rPr>
          <w:rFonts w:ascii="Times New Roman" w:cs="Times New Roman" w:eastAsia="Times New Roman" w:hAnsi="Times New Roman"/>
          <w:sz w:val="22"/>
          <w:szCs w:val="22"/>
          <w:color w:val="auto"/>
        </w:rPr>
        <w:t>” means a Receivable the stated APR of which is 0.0% (or which has no stated APR).</w:t>
      </w:r>
    </w:p>
    <w:p>
      <w:pPr>
        <w:sectPr>
          <w:pgSz w:w="11920" w:h="16838" w:orient="portrait"/>
          <w:cols w:equalWidth="0" w:num="1">
            <w:col w:w="11260"/>
          </w:cols>
          <w:pgMar w:left="340" w:top="1430" w:right="318" w:bottom="1440" w:gutter="0" w:footer="0" w:header="0"/>
        </w:sectPr>
      </w:pPr>
    </w:p>
    <w:p>
      <w:pPr>
        <w:spacing w:after="0" w:line="20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SECTION 1.02. and referred to by Type Borrowing”).</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firstLine="275"/>
        <w:spacing w:after="0" w:line="284" w:lineRule="auto"/>
        <w:rPr>
          <w:sz w:val="20"/>
          <w:szCs w:val="20"/>
          <w:color w:val="auto"/>
        </w:rPr>
      </w:pP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may be classified (e.g., a “SOFR Loan”). Borrowings also may be classified and referred to Type (e.g., a “SOFR</w:t>
      </w:r>
    </w:p>
    <w:p>
      <w:pPr>
        <w:spacing w:after="0" w:line="399" w:lineRule="exact"/>
        <w:rPr>
          <w:sz w:val="20"/>
          <w:szCs w:val="20"/>
          <w:color w:val="auto"/>
        </w:rPr>
      </w:pPr>
    </w:p>
    <w:p>
      <w:pPr>
        <w:sectPr>
          <w:pgSz w:w="11920" w:h="16838" w:orient="portrait"/>
          <w:cols w:equalWidth="0" w:num="2">
            <w:col w:w="2220" w:space="100"/>
            <w:col w:w="8940"/>
          </w:cols>
          <w:pgMar w:left="340" w:top="1430" w:right="318" w:bottom="1440" w:gutter="0" w:footer="0" w:header="0"/>
          <w:type w:val="continuous"/>
        </w:sect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20" w:h="16838" w:orient="portrait"/>
          <w:cols w:equalWidth="0" w:num="1">
            <w:col w:w="11260"/>
          </w:cols>
          <w:pgMar w:left="340" w:top="1430" w:right="318" w:bottom="1440" w:gutter="0" w:footer="0" w:header="0"/>
          <w:type w:val="continuous"/>
        </w:sectPr>
      </w:pPr>
    </w:p>
    <w:bookmarkStart w:id="70" w:name="page71"/>
    <w:bookmarkEnd w:id="70"/>
    <w:p>
      <w:pPr>
        <w:jc w:val="both"/>
        <w:spacing w:after="0" w:line="249" w:lineRule="auto"/>
        <w:rPr>
          <w:sz w:val="20"/>
          <w:szCs w:val="20"/>
          <w:color w:val="auto"/>
        </w:rPr>
      </w:pPr>
      <w:r>
        <w:rPr>
          <w:rFonts w:ascii="Times New Roman" w:cs="Times New Roman" w:eastAsia="Times New Roman" w:hAnsi="Times New Roman"/>
          <w:sz w:val="22"/>
          <w:szCs w:val="22"/>
          <w:color w:val="auto"/>
        </w:rPr>
        <w:t>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20" w:h="16838" w:orient="portrait"/>
          <w:cols w:equalWidth="0" w:num="1">
            <w:col w:w="11260"/>
          </w:cols>
          <w:pgMar w:left="340" w:top="1417" w:right="318" w:bottom="1440" w:gutter="0" w:footer="0" w:header="0"/>
        </w:sectPr>
      </w:pPr>
    </w:p>
    <w:bookmarkStart w:id="71" w:name="page72"/>
    <w:bookmarkEnd w:id="71"/>
    <w:p>
      <w:pPr>
        <w:spacing w:after="0" w:line="85"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22"/>
          <w:szCs w:val="22"/>
          <w:color w:val="auto"/>
        </w:rPr>
        <w:t>ARTICLE II</w:t>
      </w: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THE CREDITS</w:t>
      </w:r>
    </w:p>
    <w:p>
      <w:pPr>
        <w:spacing w:after="0" w:line="210" w:lineRule="exact"/>
        <w:rPr>
          <w:sz w:val="20"/>
          <w:szCs w:val="20"/>
          <w:color w:val="auto"/>
        </w:rPr>
      </w:pPr>
    </w:p>
    <w:p>
      <w:pPr>
        <w:ind w:left="7" w:right="100"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Subject to the terms and conditions set forth herein, each Lender severally agrees to make Revolving Loans in Dollars to the Borrower from time to time during the Availability Period in an aggregate principal amount that will not result (after giving effect to any application of proceeds of such Borrowing pursuant to Section 2.10) in</w:t>
      </w:r>
    </w:p>
    <w:p>
      <w:pPr>
        <w:spacing w:after="0" w:line="1" w:lineRule="exact"/>
        <w:rPr>
          <w:sz w:val="20"/>
          <w:szCs w:val="20"/>
          <w:color w:val="auto"/>
        </w:rPr>
      </w:pPr>
    </w:p>
    <w:p>
      <w:pPr>
        <w:ind w:left="7" w:right="180" w:hanging="7"/>
        <w:spacing w:after="0" w:line="245" w:lineRule="auto"/>
        <w:tabs>
          <w:tab w:leader="none" w:pos="30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Revolving Credit Exposure exceeding such Lender’s Commitment or (b) the Total Revolving Credit Exposure exceeding the total Commitments. Within the foregoing limits and subject to the terms and conditions set forth herein, the Borrower may borrow, prepay and reborrow Revolving Loans.</w:t>
      </w:r>
    </w:p>
    <w:p>
      <w:pPr>
        <w:spacing w:after="0" w:line="187" w:lineRule="exact"/>
        <w:rPr>
          <w:sz w:val="20"/>
          <w:szCs w:val="20"/>
          <w:color w:val="auto"/>
        </w:rPr>
      </w:pPr>
    </w:p>
    <w:p>
      <w:pPr>
        <w:ind w:left="647"/>
        <w:spacing w:after="0"/>
        <w:tabs>
          <w:tab w:leader="none" w:pos="2567"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Loans and Borrowings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 w:firstLine="1289"/>
        <w:spacing w:after="0" w:line="252"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65" w:lineRule="exact"/>
        <w:rPr>
          <w:rFonts w:ascii="Times New Roman" w:cs="Times New Roman" w:eastAsia="Times New Roman" w:hAnsi="Times New Roman"/>
          <w:sz w:val="22"/>
          <w:szCs w:val="22"/>
          <w:color w:val="auto"/>
        </w:rPr>
      </w:pPr>
    </w:p>
    <w:p>
      <w:pPr>
        <w:jc w:val="both"/>
        <w:ind w:left="7" w:firstLine="1289"/>
        <w:spacing w:after="0" w:line="256"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each Revolving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62" w:lineRule="exact"/>
        <w:rPr>
          <w:rFonts w:ascii="Times New Roman" w:cs="Times New Roman" w:eastAsia="Times New Roman" w:hAnsi="Times New Roman"/>
          <w:sz w:val="22"/>
          <w:szCs w:val="22"/>
          <w:color w:val="auto"/>
        </w:rPr>
      </w:pPr>
    </w:p>
    <w:p>
      <w:pPr>
        <w:jc w:val="both"/>
        <w:ind w:left="7" w:firstLine="1289"/>
        <w:spacing w:after="0" w:line="251"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commencement of each Interest Period for any SOFR Revolving Borrowing, such Borrowing shall be in an aggregate amount that is an integral multiple of $1,000,000 and not less than $5,000,000. At the time that each ABR Revolving Borrowing is made, such Borrowing shall be in an aggregate amount that is an integral multiple of $500,000 and not less than $1,000,000;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 ABR Revolving Borrowing may be in an aggregate amount that is equal to the entire unused balance of the total Commitments. Borrowings of more than one Type may be outstanding at the same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not at any time be more than a total of five SOFR Revolving Borrowings outstanding.</w:t>
      </w:r>
    </w:p>
    <w:p>
      <w:pPr>
        <w:spacing w:after="0" w:line="167" w:lineRule="exact"/>
        <w:rPr>
          <w:rFonts w:ascii="Times New Roman" w:cs="Times New Roman" w:eastAsia="Times New Roman" w:hAnsi="Times New Roman"/>
          <w:sz w:val="22"/>
          <w:szCs w:val="22"/>
          <w:color w:val="auto"/>
        </w:rPr>
      </w:pPr>
    </w:p>
    <w:p>
      <w:pPr>
        <w:jc w:val="both"/>
        <w:ind w:left="7" w:firstLine="1289"/>
        <w:spacing w:after="0" w:line="257"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9" w:lineRule="exact"/>
        <w:rPr>
          <w:sz w:val="20"/>
          <w:szCs w:val="20"/>
          <w:color w:val="auto"/>
        </w:rPr>
      </w:pPr>
    </w:p>
    <w:p>
      <w:pPr>
        <w:jc w:val="both"/>
        <w:ind w:left="7" w:right="1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Revolving Borrowings</w:t>
      </w:r>
      <w:r>
        <w:rPr>
          <w:rFonts w:ascii="Times New Roman" w:cs="Times New Roman" w:eastAsia="Times New Roman" w:hAnsi="Times New Roman"/>
          <w:sz w:val="22"/>
          <w:szCs w:val="22"/>
          <w:color w:val="auto"/>
        </w:rPr>
        <w:t>. To request a Revolving Borrowing, the Borrower shall notify the Administrative Agent of such request by submitting a Borrowing Request (a) in the case of a SOFR Borrowing, not later than 12:00 p.m., New York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42</w:t>
      </w:r>
    </w:p>
    <w:p>
      <w:pPr>
        <w:sectPr>
          <w:pgSz w:w="11920" w:h="16838" w:orient="portrait"/>
          <w:cols w:equalWidth="0" w:num="1">
            <w:col w:w="11267"/>
          </w:cols>
          <w:pgMar w:left="333" w:top="1440" w:right="318" w:bottom="1440" w:gutter="0" w:footer="0" w:header="0"/>
        </w:sectPr>
      </w:pPr>
    </w:p>
    <w:bookmarkStart w:id="72" w:name="page73"/>
    <w:bookmarkEnd w:id="72"/>
    <w:p>
      <w:pPr>
        <w:ind w:right="160"/>
        <w:spacing w:after="0" w:line="257" w:lineRule="auto"/>
        <w:rPr>
          <w:sz w:val="20"/>
          <w:szCs w:val="20"/>
          <w:color w:val="auto"/>
        </w:rPr>
      </w:pPr>
      <w:r>
        <w:rPr>
          <w:rFonts w:ascii="Times New Roman" w:cs="Times New Roman" w:eastAsia="Times New Roman" w:hAnsi="Times New Roman"/>
          <w:sz w:val="22"/>
          <w:szCs w:val="22"/>
          <w:color w:val="auto"/>
        </w:rPr>
        <w:t xml:space="preserve">City time, three Business Days before the date of the proposed Borrowing or (b) in the case of an ABR Borrowing, not later than </w:t>
      </w:r>
      <w:r>
        <w:rPr>
          <w:rFonts w:ascii="Times New Roman" w:cs="Times New Roman" w:eastAsia="Times New Roman" w:hAnsi="Times New Roman"/>
          <w:sz w:val="22"/>
          <w:szCs w:val="22"/>
          <w:color w:val="EE2724"/>
          <w:strike w:val="1"/>
        </w:rPr>
        <w:t>12:00 p.m.</w:t>
      </w:r>
      <w:r>
        <w:rPr>
          <w:rFonts w:ascii="Times New Roman" w:cs="Times New Roman" w:eastAsia="Times New Roman" w:hAnsi="Times New Roman"/>
          <w:sz w:val="22"/>
          <w:szCs w:val="22"/>
          <w:u w:val="single" w:color="auto"/>
          <w:color w:val="0E32E1"/>
        </w:rPr>
        <w:t>11:00 a.m.</w:t>
      </w:r>
      <w:r>
        <w:rPr>
          <w:rFonts w:ascii="Times New Roman" w:cs="Times New Roman" w:eastAsia="Times New Roman" w:hAnsi="Times New Roman"/>
          <w:sz w:val="22"/>
          <w:szCs w:val="22"/>
          <w:color w:val="000000"/>
        </w:rPr>
        <w:t>, New York City time, on the date of the proposed Borrowing. Each such Borrowing Request shall specify</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the following information in compliance with Section 2.02:</w:t>
      </w:r>
    </w:p>
    <w:p>
      <w:pPr>
        <w:spacing w:after="0" w:line="186" w:lineRule="exact"/>
        <w:rPr>
          <w:sz w:val="20"/>
          <w:szCs w:val="20"/>
          <w:color w:val="auto"/>
        </w:rPr>
      </w:pPr>
    </w:p>
    <w:p>
      <w:pPr>
        <w:ind w:left="2580" w:hanging="643"/>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Borrowing;</w:t>
      </w:r>
    </w:p>
    <w:p>
      <w:pPr>
        <w:spacing w:after="0" w:line="192"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SOFR Borrowing;</w:t>
      </w:r>
    </w:p>
    <w:p>
      <w:pPr>
        <w:spacing w:after="0" w:line="206" w:lineRule="exact"/>
        <w:rPr>
          <w:rFonts w:ascii="Times New Roman" w:cs="Times New Roman" w:eastAsia="Times New Roman" w:hAnsi="Times New Roman"/>
          <w:sz w:val="22"/>
          <w:szCs w:val="22"/>
          <w:color w:val="auto"/>
        </w:rPr>
      </w:pPr>
    </w:p>
    <w:p>
      <w:pPr>
        <w:ind w:right="120" w:firstLine="1937"/>
        <w:spacing w:after="0" w:line="271" w:lineRule="auto"/>
        <w:tabs>
          <w:tab w:leader="none" w:pos="259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SOFR Borrowing, the initial Interest Period to be applicable thereto, which shall be a period contemplated by the definition of the term “Interest Period”; and</w:t>
      </w:r>
    </w:p>
    <w:p>
      <w:pPr>
        <w:spacing w:after="0" w:line="144" w:lineRule="exact"/>
        <w:rPr>
          <w:rFonts w:ascii="Times New Roman" w:cs="Times New Roman" w:eastAsia="Times New Roman" w:hAnsi="Times New Roman"/>
          <w:sz w:val="22"/>
          <w:szCs w:val="22"/>
          <w:color w:val="auto"/>
        </w:rPr>
      </w:pPr>
    </w:p>
    <w:p>
      <w:pPr>
        <w:ind w:right="160" w:firstLine="1937"/>
        <w:spacing w:after="0" w:line="271" w:lineRule="auto"/>
        <w:tabs>
          <w:tab w:leader="none" w:pos="259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no election as to the Type of Revolving Borrowing is specified, then the requested Revolving Borrowing shall be an</w:t>
      </w:r>
    </w:p>
    <w:p>
      <w:pPr>
        <w:spacing w:after="0" w:line="4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2"/>
          <w:szCs w:val="22"/>
          <w:color w:val="auto"/>
        </w:rPr>
        <w:t>ABR Borrowing. If no Interest Period is specified with respect to any requested SOFR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[Reserved].</w:t>
            </w:r>
          </w:p>
        </w:tc>
      </w:tr>
      <w:tr>
        <w:trPr>
          <w:trHeight w:val="20"/>
        </w:trPr>
        <w:tc>
          <w:tcPr>
            <w:tcW w:w="2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[Reserved].</w:t>
            </w:r>
          </w:p>
        </w:tc>
      </w:tr>
      <w:tr>
        <w:trPr>
          <w:trHeight w:val="20"/>
        </w:trPr>
        <w:tc>
          <w:tcPr>
            <w:tcW w:w="2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[Reserved].</w:t>
            </w:r>
          </w:p>
        </w:tc>
      </w:tr>
      <w:tr>
        <w:trPr>
          <w:trHeight w:val="20"/>
        </w:trPr>
        <w:tc>
          <w:tcPr>
            <w:tcW w:w="2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4"/>
              </w:rPr>
              <w:t>Funding of Borrowings.</w:t>
            </w:r>
          </w:p>
        </w:tc>
      </w:tr>
      <w:tr>
        <w:trPr>
          <w:trHeight w:val="20"/>
        </w:trPr>
        <w:tc>
          <w:tcPr>
            <w:tcW w:w="20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1289"/>
        <w:spacing w:after="0" w:line="251"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shall make each Loan to be made by it hereunder on the proposed date thereof solely by wire transfer of immediately available funds, </w:t>
      </w:r>
      <w:r>
        <w:rPr>
          <w:rFonts w:ascii="Times New Roman" w:cs="Times New Roman" w:eastAsia="Times New Roman" w:hAnsi="Times New Roman"/>
          <w:sz w:val="22"/>
          <w:szCs w:val="22"/>
          <w:u w:val="single" w:color="auto"/>
          <w:color w:val="0E32E1"/>
        </w:rPr>
        <w:t>(i) in the case of a SOFR Borrowing,</w:t>
      </w:r>
      <w:r>
        <w:rPr>
          <w:rFonts w:ascii="Times New Roman" w:cs="Times New Roman" w:eastAsia="Times New Roman" w:hAnsi="Times New Roman"/>
          <w:sz w:val="22"/>
          <w:szCs w:val="22"/>
          <w:color w:val="auto"/>
        </w:rPr>
        <w:t xml:space="preserve"> by 11:00 a.m., </w:t>
      </w:r>
      <w:r>
        <w:rPr>
          <w:rFonts w:ascii="Times New Roman" w:cs="Times New Roman" w:eastAsia="Times New Roman" w:hAnsi="Times New Roman"/>
          <w:sz w:val="22"/>
          <w:szCs w:val="22"/>
          <w:u w:val="single" w:color="auto"/>
          <w:color w:val="0E32E1"/>
        </w:rPr>
        <w:t>New York City time, and (ii)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case of an ABR Borrowing, by 12:00 p.m.</w:t>
      </w:r>
      <w:r>
        <w:rPr>
          <w:rFonts w:ascii="Times New Roman" w:cs="Times New Roman" w:eastAsia="Times New Roman" w:hAnsi="Times New Roman"/>
          <w:sz w:val="22"/>
          <w:szCs w:val="22"/>
          <w:color w:val="000000"/>
        </w:rPr>
        <w:t>, New York City time, to the account of the Administrative Agent most recently</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designated by it for such purpose by notice to the Lenders. The Administrative Agent will make such Loans available to the Borrower by promptly (and in no event later than 3:00 p.m., New York City time) crediting the funds so received to an account designated by the Borrower in the applicable Borrowing Request.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20" w:h="16838" w:orient="portrait"/>
          <w:cols w:equalWidth="0" w:num="1">
            <w:col w:w="11260"/>
          </w:cols>
          <w:pgMar w:left="340" w:top="1417" w:right="318" w:bottom="1440" w:gutter="0" w:footer="0" w:header="0"/>
        </w:sectPr>
      </w:pPr>
    </w:p>
    <w:bookmarkStart w:id="73" w:name="page74"/>
    <w:bookmarkEnd w:id="73"/>
    <w:p>
      <w:pPr>
        <w:jc w:val="both"/>
        <w:ind w:firstLine="1289"/>
        <w:spacing w:after="0" w:line="247"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w:t>
      </w:r>
    </w:p>
    <w:p>
      <w:pPr>
        <w:spacing w:after="0" w:line="17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89"/>
        <w:spacing w:after="0" w:line="250" w:lineRule="auto"/>
        <w:tabs>
          <w:tab w:leader="none" w:pos="19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Borrowing initially shall be of the Type specified in the applicable Borrowing Request and, in the case of a SOFR Revolving Borrowing, shall have an initial Interest Period as specified in such Borrowing Request. Thereafter, the Borrower may elect to convert such Borrowing to a different Type or to continue such Borrowing and, in the case of a SOFR Revolving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66" w:lineRule="exact"/>
        <w:rPr>
          <w:rFonts w:ascii="Times New Roman" w:cs="Times New Roman" w:eastAsia="Times New Roman" w:hAnsi="Times New Roman"/>
          <w:sz w:val="22"/>
          <w:szCs w:val="22"/>
          <w:color w:val="auto"/>
        </w:rPr>
      </w:pPr>
    </w:p>
    <w:p>
      <w:pPr>
        <w:jc w:val="both"/>
        <w:ind w:firstLine="1289"/>
        <w:spacing w:after="0" w:line="252" w:lineRule="auto"/>
        <w:tabs>
          <w:tab w:leader="none" w:pos="19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the Borrower shall notify the Administrative Agent of such election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signed by a Responsible Officer of the Borrower.</w:t>
      </w:r>
    </w:p>
    <w:p>
      <w:pPr>
        <w:spacing w:after="0" w:line="165"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Election Request shall specify the following information in compliance with Section 2.02:</w:t>
      </w:r>
    </w:p>
    <w:p>
      <w:pPr>
        <w:spacing w:after="0" w:line="206" w:lineRule="exact"/>
        <w:rPr>
          <w:rFonts w:ascii="Times New Roman" w:cs="Times New Roman" w:eastAsia="Times New Roman" w:hAnsi="Times New Roman"/>
          <w:sz w:val="22"/>
          <w:szCs w:val="22"/>
          <w:color w:val="auto"/>
        </w:rPr>
      </w:pPr>
    </w:p>
    <w:p>
      <w:pPr>
        <w:jc w:val="both"/>
        <w:ind w:firstLine="1937"/>
        <w:spacing w:after="0" w:line="257" w:lineRule="auto"/>
        <w:tabs>
          <w:tab w:leader="none" w:pos="259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20" w:h="16838" w:orient="portrait"/>
          <w:cols w:equalWidth="0" w:num="1">
            <w:col w:w="11260"/>
          </w:cols>
          <w:pgMar w:left="340" w:top="1417" w:right="318" w:bottom="1440" w:gutter="0" w:footer="0" w:header="0"/>
        </w:sectPr>
      </w:pPr>
    </w:p>
    <w:bookmarkStart w:id="74" w:name="page75"/>
    <w:bookmarkEnd w:id="74"/>
    <w:p>
      <w:pPr>
        <w:ind w:left="2587" w:hanging="643"/>
        <w:spacing w:after="0"/>
        <w:tabs>
          <w:tab w:leader="none" w:pos="25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Business Day;</w:t>
      </w:r>
    </w:p>
    <w:p>
      <w:pPr>
        <w:spacing w:after="0" w:line="182" w:lineRule="exact"/>
        <w:rPr>
          <w:sz w:val="20"/>
          <w:szCs w:val="20"/>
          <w:color w:val="auto"/>
        </w:rPr>
      </w:pPr>
    </w:p>
    <w:p>
      <w:pPr>
        <w:ind w:left="2587" w:hanging="643"/>
        <w:spacing w:after="0"/>
        <w:tabs>
          <w:tab w:leader="none" w:pos="258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SOFR Borrowing; and</w:t>
      </w:r>
    </w:p>
    <w:p>
      <w:pPr>
        <w:spacing w:after="0" w:line="206" w:lineRule="exact"/>
        <w:rPr>
          <w:rFonts w:ascii="Times New Roman" w:cs="Times New Roman" w:eastAsia="Times New Roman" w:hAnsi="Times New Roman"/>
          <w:sz w:val="22"/>
          <w:szCs w:val="22"/>
          <w:color w:val="auto"/>
        </w:rPr>
      </w:pPr>
    </w:p>
    <w:p>
      <w:pPr>
        <w:ind w:left="7" w:firstLine="1937"/>
        <w:spacing w:after="0" w:line="271" w:lineRule="auto"/>
        <w:tabs>
          <w:tab w:leader="none" w:pos="259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SOFR Borrowing, the Interest Period to be applicable thereto after giving effect to such election, which shall be a period contemplated by the definition of the term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
        <w:spacing w:after="0" w:line="296" w:lineRule="auto"/>
        <w:rPr>
          <w:sz w:val="20"/>
          <w:szCs w:val="20"/>
          <w:color w:val="auto"/>
        </w:rPr>
      </w:pPr>
      <w:r>
        <w:rPr>
          <w:rFonts w:ascii="Times New Roman" w:cs="Times New Roman" w:eastAsia="Times New Roman" w:hAnsi="Times New Roman"/>
          <w:sz w:val="22"/>
          <w:szCs w:val="22"/>
          <w:color w:val="auto"/>
        </w:rPr>
        <w:t>If any such Interest Election Request requests a SOFR Borrowing but does not specify an Interest Period, then the Borrower shall be deemed to have selected an Interest Period of one month’s duration.</w:t>
      </w:r>
    </w:p>
    <w:p>
      <w:pPr>
        <w:spacing w:after="0" w:line="159" w:lineRule="exact"/>
        <w:rPr>
          <w:sz w:val="20"/>
          <w:szCs w:val="20"/>
          <w:color w:val="auto"/>
        </w:rPr>
      </w:pPr>
    </w:p>
    <w:p>
      <w:pPr>
        <w:ind w:left="7" w:firstLine="1289"/>
        <w:spacing w:after="0" w:line="271" w:lineRule="auto"/>
        <w:tabs>
          <w:tab w:leader="none" w:pos="195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44" w:lineRule="exact"/>
        <w:rPr>
          <w:rFonts w:ascii="Times New Roman" w:cs="Times New Roman" w:eastAsia="Times New Roman" w:hAnsi="Times New Roman"/>
          <w:sz w:val="22"/>
          <w:szCs w:val="22"/>
          <w:color w:val="auto"/>
        </w:rPr>
      </w:pPr>
    </w:p>
    <w:p>
      <w:pPr>
        <w:ind w:left="7" w:right="40" w:firstLine="1289"/>
        <w:spacing w:after="0" w:line="260" w:lineRule="auto"/>
        <w:tabs>
          <w:tab w:leader="none" w:pos="195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fails to deliver a timely Interest Election Request with respect to a SOFR Revolving Borrowing prior to the end of the Interest Period applicable thereto, then, unless such Borrowing is repaid as provided herein, at the end of such Interest Period such Borrowing shall, if not repaid, be continued as a SOFR Revolving Borrowing with an Interest Period of the same duration as the Interest Period then ended.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SOFR Borrowing and (ii) unless repaid, each SOFR Revolving Borrowing shall be converted to an</w:t>
      </w:r>
    </w:p>
    <w:p>
      <w:pPr>
        <w:spacing w:after="0" w:line="1" w:lineRule="exact"/>
        <w:rPr>
          <w:rFonts w:ascii="Times New Roman" w:cs="Times New Roman" w:eastAsia="Times New Roman" w:hAnsi="Times New Roman"/>
          <w:sz w:val="21"/>
          <w:szCs w:val="21"/>
          <w:color w:val="auto"/>
        </w:rPr>
      </w:pPr>
    </w:p>
    <w:p>
      <w:pPr>
        <w:ind w:left="7"/>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ABR Borrowing at the end of the Interest Period applicable thereto.</w:t>
      </w:r>
    </w:p>
    <w:p>
      <w:pPr>
        <w:spacing w:after="0" w:line="182" w:lineRule="exact"/>
        <w:rPr>
          <w:sz w:val="20"/>
          <w:szCs w:val="20"/>
          <w:color w:val="auto"/>
        </w:rPr>
      </w:pPr>
    </w:p>
    <w:p>
      <w:pPr>
        <w:ind w:left="647"/>
        <w:spacing w:after="0"/>
        <w:tabs>
          <w:tab w:leader="none" w:pos="2567"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Termination and Reduction of Commitments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47" w:hanging="651"/>
        <w:spacing w:after="0"/>
        <w:tabs>
          <w:tab w:leader="none" w:pos="194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terminated, the Commitments shall terminate on the Maturity Date.</w:t>
      </w:r>
    </w:p>
    <w:p>
      <w:pPr>
        <w:spacing w:after="0" w:line="202" w:lineRule="exact"/>
        <w:rPr>
          <w:rFonts w:ascii="Times New Roman" w:cs="Times New Roman" w:eastAsia="Times New Roman" w:hAnsi="Times New Roman"/>
          <w:sz w:val="22"/>
          <w:szCs w:val="22"/>
          <w:color w:val="auto"/>
        </w:rPr>
      </w:pPr>
    </w:p>
    <w:p>
      <w:pPr>
        <w:ind w:left="1947" w:hanging="651"/>
        <w:spacing w:after="0"/>
        <w:tabs>
          <w:tab w:leader="none" w:pos="194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terminate, or from time to time reduce, the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31" w:lineRule="exact"/>
        <w:rPr>
          <w:rFonts w:ascii="Times New Roman" w:cs="Times New Roman" w:eastAsia="Times New Roman" w:hAnsi="Times New Roman"/>
          <w:sz w:val="22"/>
          <w:szCs w:val="22"/>
          <w:color w:val="auto"/>
        </w:rPr>
      </w:pPr>
    </w:p>
    <w:p>
      <w:pPr>
        <w:jc w:val="both"/>
        <w:ind w:left="7" w:hanging="7"/>
        <w:spacing w:after="0" w:line="249" w:lineRule="auto"/>
        <w:tabs>
          <w:tab w:leader="none" w:pos="3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any Lender’s Revolving Credit Exposure would exceed its Commitment or (B) the sum of the Total Revolving Credit Exposure would exceed the total Commitments.</w:t>
      </w:r>
    </w:p>
    <w:p>
      <w:pPr>
        <w:spacing w:after="0" w:line="168" w:lineRule="exact"/>
        <w:rPr>
          <w:rFonts w:ascii="Times New Roman" w:cs="Times New Roman" w:eastAsia="Times New Roman" w:hAnsi="Times New Roman"/>
          <w:sz w:val="22"/>
          <w:szCs w:val="22"/>
          <w:color w:val="auto"/>
        </w:rPr>
      </w:pPr>
    </w:p>
    <w:p>
      <w:pPr>
        <w:ind w:left="7" w:firstLine="1289"/>
        <w:spacing w:after="0" w:line="271" w:lineRule="auto"/>
        <w:tabs>
          <w:tab w:leader="none" w:pos="195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notify the Administrative Agent of any election to terminate or reduce the Commitments under paragraph (b) of this Section at least three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45</w:t>
      </w:r>
    </w:p>
    <w:p>
      <w:pPr>
        <w:sectPr>
          <w:pgSz w:w="11920" w:h="16838" w:orient="portrait"/>
          <w:cols w:equalWidth="0" w:num="1">
            <w:col w:w="11267"/>
          </w:cols>
          <w:pgMar w:left="333" w:top="1417" w:right="318"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notice of termination of the Commitments delivered by the Borrower may state that such notice is conditioned upon the effectiveness of other credit facilities, indentures or similar agreements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68"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Repayment of Loans; Evidence of Indebtedness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289"/>
        <w:spacing w:after="0" w:line="284"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account of each Lender the then unpaid principal amount of each Revolving Loan on the Maturity Date.</w:t>
      </w:r>
    </w:p>
    <w:p>
      <w:pPr>
        <w:spacing w:after="0" w:line="130" w:lineRule="exact"/>
        <w:rPr>
          <w:rFonts w:ascii="Times New Roman" w:cs="Times New Roman" w:eastAsia="Times New Roman" w:hAnsi="Times New Roman"/>
          <w:sz w:val="22"/>
          <w:szCs w:val="22"/>
          <w:color w:val="auto"/>
        </w:rPr>
      </w:pPr>
    </w:p>
    <w:p>
      <w:pPr>
        <w:jc w:val="both"/>
        <w:ind w:firstLine="1289"/>
        <w:spacing w:after="0" w:line="257" w:lineRule="auto"/>
        <w:tabs>
          <w:tab w:leader="none" w:pos="202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9" w:lineRule="exact"/>
        <w:rPr>
          <w:rFonts w:ascii="Times New Roman" w:cs="Times New Roman" w:eastAsia="Times New Roman" w:hAnsi="Times New Roman"/>
          <w:sz w:val="22"/>
          <w:szCs w:val="22"/>
          <w:color w:val="auto"/>
        </w:rPr>
      </w:pPr>
    </w:p>
    <w:p>
      <w:pPr>
        <w:jc w:val="both"/>
        <w:ind w:firstLine="1289"/>
        <w:spacing w:after="0" w:line="252"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5"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w:t>
      </w:r>
      <w:r>
        <w:rPr>
          <w:rFonts w:ascii="Times New Roman" w:cs="Times New Roman" w:eastAsia="Times New Roman" w:hAnsi="Times New Roman"/>
          <w:sz w:val="22"/>
          <w:szCs w:val="22"/>
          <w:u w:val="single" w:color="auto"/>
          <w:color w:val="auto"/>
        </w:rPr>
        <w:t>prima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facie</w:t>
      </w:r>
      <w:r>
        <w:rPr>
          <w:rFonts w:ascii="Times New Roman" w:cs="Times New Roman" w:eastAsia="Times New Roman" w:hAnsi="Times New Roman"/>
          <w:sz w:val="22"/>
          <w:szCs w:val="22"/>
          <w:color w:val="auto"/>
        </w:rPr>
        <w:t xml:space="preserve"> evidence of the existence and amounts of the obligations recorded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2" w:lineRule="exact"/>
        <w:rPr>
          <w:rFonts w:ascii="Times New Roman" w:cs="Times New Roman" w:eastAsia="Times New Roman" w:hAnsi="Times New Roman"/>
          <w:sz w:val="22"/>
          <w:szCs w:val="22"/>
          <w:color w:val="auto"/>
        </w:rPr>
      </w:pPr>
    </w:p>
    <w:p>
      <w:pPr>
        <w:jc w:val="both"/>
        <w:ind w:firstLine="1289"/>
        <w:spacing w:after="0" w:line="253"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20" w:h="16838" w:orient="portrait"/>
          <w:cols w:equalWidth="0" w:num="1">
            <w:col w:w="11260"/>
          </w:cols>
          <w:pgMar w:left="340" w:top="1417" w:right="318" w:bottom="1440" w:gutter="0" w:footer="0" w:header="0"/>
        </w:sectPr>
      </w:pPr>
    </w:p>
    <w:bookmarkStart w:id="76" w:name="page77"/>
    <w:bookmarkEnd w:id="76"/>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Prepayment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289"/>
        <w:spacing w:after="0" w:line="271"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at any time and from time to time to prepay any Borrowing in whole or in part, subject to prior notice in accordance with paragraph (b) of this Section.</w:t>
      </w:r>
    </w:p>
    <w:p>
      <w:pPr>
        <w:spacing w:after="0" w:line="144" w:lineRule="exact"/>
        <w:rPr>
          <w:rFonts w:ascii="Times New Roman" w:cs="Times New Roman" w:eastAsia="Times New Roman" w:hAnsi="Times New Roman"/>
          <w:sz w:val="22"/>
          <w:szCs w:val="22"/>
          <w:color w:val="auto"/>
        </w:rPr>
      </w:pPr>
    </w:p>
    <w:p>
      <w:pPr>
        <w:jc w:val="both"/>
        <w:ind w:firstLine="1289"/>
        <w:spacing w:after="0" w:line="248"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by telephone (confirmed by telecopy or electronic mail) of any prepayment hereunder (i) in the case of prepayment of a SOFR Revolving Borrowing, not later than 11:00 a.m., New York City time, three Business Days before the date of prepayment or (ii) in the case of prepayment of an ABR Revolving Borrowing, not later than 11:00 a.m., New York City time, on the date of prepayment. Each such notice shall be irrevocable, may be in the form of Exhibit I and shall specify the prepayment date and the principal amount of each Borrowing or portion thereof to be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accrued interest to the extent required by Section 2.13 and any break funding payments required by Section 2.16.</w:t>
      </w:r>
    </w:p>
    <w:p>
      <w:pPr>
        <w:spacing w:after="0" w:line="17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89"/>
        <w:spacing w:after="0" w:line="250"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to pay to the Administrative Agent for the account of each Lender a commitment fee, which shall accrue at </w:t>
      </w:r>
      <w:r>
        <w:rPr>
          <w:rFonts w:ascii="Times New Roman" w:cs="Times New Roman" w:eastAsia="Times New Roman" w:hAnsi="Times New Roman"/>
          <w:sz w:val="22"/>
          <w:szCs w:val="22"/>
          <w:color w:val="EE2724"/>
          <w:strike w:val="1"/>
        </w:rPr>
        <w:t>0.20</w:t>
      </w:r>
      <w:r>
        <w:rPr>
          <w:rFonts w:ascii="Times New Roman" w:cs="Times New Roman" w:eastAsia="Times New Roman" w:hAnsi="Times New Roman"/>
          <w:sz w:val="22"/>
          <w:szCs w:val="22"/>
          <w:u w:val="single" w:color="auto"/>
          <w:color w:val="0E32E1"/>
        </w:rPr>
        <w:t>0.15</w:t>
      </w:r>
      <w:r>
        <w:rPr>
          <w:rFonts w:ascii="Times New Roman" w:cs="Times New Roman" w:eastAsia="Times New Roman" w:hAnsi="Times New Roman"/>
          <w:sz w:val="22"/>
          <w:szCs w:val="22"/>
          <w:color w:val="auto"/>
        </w:rPr>
        <w:t>% per annum on the average daily amount of the Unfunded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66"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payable in the amounts and at the times separately agreed upon between the Borrower and the Administrative Agent.</w:t>
      </w:r>
    </w:p>
    <w:p>
      <w:pPr>
        <w:spacing w:after="0" w:line="144"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Dollars in immediately available funds, to the Administrative Agent for distribution, in the case of commitment fees, to the Lenders. Fees paid shall not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20" w:h="16838" w:orient="portrait"/>
          <w:cols w:equalWidth="0" w:num="1">
            <w:col w:w="11260"/>
          </w:cols>
          <w:pgMar w:left="340" w:top="1417" w:right="318" w:bottom="1440" w:gutter="0" w:footer="0" w:header="0"/>
        </w:sectPr>
      </w:pPr>
    </w:p>
    <w:bookmarkStart w:id="77" w:name="page78"/>
    <w:bookmarkEnd w:id="77"/>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40" w:hanging="651"/>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ABR Borrowing shall bear interest at the Alternate Base Rate plus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Rate.</w:t>
      </w:r>
    </w:p>
    <w:p>
      <w:pPr>
        <w:spacing w:after="0" w:line="182"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SOFR Borrowing shall bear interest at the Term SOFR for the Interest Period in effect for such Borrowing plus the Applicable Rate.</w:t>
      </w:r>
    </w:p>
    <w:p>
      <w:pPr>
        <w:spacing w:after="0" w:line="144" w:lineRule="exact"/>
        <w:rPr>
          <w:rFonts w:ascii="Times New Roman" w:cs="Times New Roman" w:eastAsia="Times New Roman" w:hAnsi="Times New Roman"/>
          <w:sz w:val="22"/>
          <w:szCs w:val="22"/>
          <w:color w:val="auto"/>
        </w:rPr>
      </w:pPr>
    </w:p>
    <w:p>
      <w:pPr>
        <w:jc w:val="both"/>
        <w:ind w:firstLine="1289"/>
        <w:spacing w:after="0" w:line="268" w:lineRule="auto"/>
        <w:tabs>
          <w:tab w:leader="none" w:pos="194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21"/>
          <w:szCs w:val="21"/>
          <w:u w:val="single" w:color="auto"/>
          <w:color w:val="auto"/>
        </w:rPr>
        <w:t>per annum</w:t>
      </w:r>
      <w:r>
        <w:rPr>
          <w:rFonts w:ascii="Times New Roman" w:cs="Times New Roman" w:eastAsia="Times New Roman" w:hAnsi="Times New Roman"/>
          <w:sz w:val="21"/>
          <w:szCs w:val="21"/>
          <w:color w:val="auto"/>
        </w:rPr>
        <w:t xml:space="preserve">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50" w:lineRule="exact"/>
        <w:rPr>
          <w:rFonts w:ascii="Times New Roman" w:cs="Times New Roman" w:eastAsia="Times New Roman" w:hAnsi="Times New Roman"/>
          <w:sz w:val="21"/>
          <w:szCs w:val="21"/>
          <w:color w:val="auto"/>
        </w:rPr>
      </w:pPr>
    </w:p>
    <w:p>
      <w:pPr>
        <w:jc w:val="both"/>
        <w:ind w:firstLine="1289"/>
        <w:spacing w:after="0" w:line="265" w:lineRule="auto"/>
        <w:tabs>
          <w:tab w:leader="none" w:pos="194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Accrued interest on each Loan shall be payable in arrears on each Interest Payment Date for such Loan and upon termination of the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SOFR Revolving Loan prior to the end of the current Interest Period therefor, accrued interest on such Loan shall be payable on the effective date of such conversion.</w:t>
      </w:r>
    </w:p>
    <w:p>
      <w:pPr>
        <w:spacing w:after="0" w:line="155" w:lineRule="exact"/>
        <w:rPr>
          <w:rFonts w:ascii="Times New Roman" w:cs="Times New Roman" w:eastAsia="Times New Roman" w:hAnsi="Times New Roman"/>
          <w:sz w:val="21"/>
          <w:szCs w:val="21"/>
          <w:color w:val="auto"/>
        </w:rPr>
      </w:pPr>
    </w:p>
    <w:p>
      <w:pPr>
        <w:jc w:val="both"/>
        <w:ind w:firstLine="1289"/>
        <w:spacing w:after="0" w:line="253" w:lineRule="auto"/>
        <w:tabs>
          <w:tab w:leader="none" w:pos="19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spacing w:after="0" w:line="165"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Alternate Rate of Interest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289"/>
        <w:spacing w:after="0" w:line="271"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(b), (c), (d), (e) and (f) of this Section 2.14, if prior to the commencement of any Interest Period for a SOFR Loan:</w:t>
      </w:r>
    </w:p>
    <w:p>
      <w:pPr>
        <w:spacing w:after="0" w:line="144"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Term SOFR for such Interest Period; or</w:t>
      </w:r>
    </w:p>
    <w:p>
      <w:pPr>
        <w:spacing w:after="0" w:line="144"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that the Term SOFR for such Interest Period will not adequately and fairly reflect the cost to such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20" w:h="16838" w:orient="portrait"/>
          <w:cols w:equalWidth="0" w:num="1">
            <w:col w:w="11260"/>
          </w:cols>
          <w:pgMar w:left="340" w:top="1417" w:right="318"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Lenders (or Lender) of making or maintaining their Loans (or its Loan) included in such Borrowing for such Interest Period;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Revolving Borrowing to, or continuation of any Revolving Borrowing as, a SOFR Borrowing shall be ineffective and (B) if any Borrowing Request requests a SOFR Borrowing, such Borrowing shall be made as an ABR Borrowing;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circumstances giving rise to such notice affect only one Type of Borrowings, then the other Type of Borrowings shall be permitted.</w:t>
      </w:r>
    </w:p>
    <w:p>
      <w:pPr>
        <w:spacing w:after="0" w:line="166" w:lineRule="exact"/>
        <w:rPr>
          <w:sz w:val="20"/>
          <w:szCs w:val="20"/>
          <w:color w:val="auto"/>
        </w:rPr>
      </w:pPr>
    </w:p>
    <w:p>
      <w:pPr>
        <w:ind w:firstLine="1289"/>
        <w:spacing w:after="0" w:line="275" w:lineRule="auto"/>
        <w:tabs>
          <w:tab w:leader="none" w:pos="194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 Benchmark Transition Event and a Benchmark Replacement Date have occurred, then:</w:t>
      </w:r>
    </w:p>
    <w:p>
      <w:pPr>
        <w:spacing w:after="0" w:line="153" w:lineRule="exact"/>
        <w:rPr>
          <w:rFonts w:ascii="Times New Roman" w:cs="Times New Roman" w:eastAsia="Times New Roman" w:hAnsi="Times New Roman"/>
          <w:sz w:val="22"/>
          <w:szCs w:val="22"/>
          <w:color w:val="auto"/>
        </w:rPr>
      </w:pPr>
    </w:p>
    <w:p>
      <w:pPr>
        <w:jc w:val="both"/>
        <w:ind w:left="640" w:firstLine="408"/>
        <w:spacing w:after="0" w:line="279" w:lineRule="auto"/>
        <w:tabs>
          <w:tab w:leader="none" w:pos="140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Benchmark Replacement is determined in accordance with clause (1) of the definition of “Benchmark Replacement” for such Benchmark Replacement Date, such Benchmark Replacement will replace the then-current Benchmark for all purposes under this Agreement and under any other Loan Document in respect of such Benchmark setting and subsequent Benchmark settings without requiring any amendment to, or requiring any further action by or consent of any other party to, this Agreement or any other Loan Document, and</w:t>
      </w:r>
    </w:p>
    <w:p>
      <w:pPr>
        <w:spacing w:after="0" w:line="176" w:lineRule="exact"/>
        <w:rPr>
          <w:rFonts w:ascii="Times New Roman" w:cs="Times New Roman" w:eastAsia="Times New Roman" w:hAnsi="Times New Roman"/>
          <w:sz w:val="22"/>
          <w:szCs w:val="22"/>
          <w:color w:val="auto"/>
        </w:rPr>
      </w:pPr>
    </w:p>
    <w:p>
      <w:pPr>
        <w:jc w:val="both"/>
        <w:ind w:left="640" w:firstLine="408"/>
        <w:spacing w:after="0" w:line="276" w:lineRule="auto"/>
        <w:tabs>
          <w:tab w:leader="none" w:pos="140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Benchmark Replacement is determined in accordance with clause (2) of the definition of “Benchmark Replacement” for such Benchmark Replacement Date, such Benchmark Replacement will replace the then-current Benchmark for all purposes under this Agreement and under any other Loan Document in respect of any Benchmark setting at or after 5:00 p.m. (New York City time) on the fifth (5th) Business Day after the date notice of such Benchmark Replacement is provided to the Lenders without requiring any amendment to, or requiring any further action by or consent of any other party to, this Agreement or any other Loan Document so long as the Administrative Agent has not received, by such time, written notice of objection to such Benchmark Replacement from Lenders comprising the Required Lenders; or .</w:t>
      </w:r>
    </w:p>
    <w:p>
      <w:pPr>
        <w:spacing w:after="0" w:line="179" w:lineRule="exact"/>
        <w:rPr>
          <w:rFonts w:ascii="Times New Roman" w:cs="Times New Roman" w:eastAsia="Times New Roman" w:hAnsi="Times New Roman"/>
          <w:sz w:val="22"/>
          <w:szCs w:val="22"/>
          <w:color w:val="auto"/>
        </w:rPr>
      </w:pPr>
    </w:p>
    <w:p>
      <w:pPr>
        <w:jc w:val="both"/>
        <w:ind w:firstLine="1289"/>
        <w:spacing w:after="0" w:line="259" w:lineRule="auto"/>
        <w:tabs>
          <w:tab w:leader="none" w:pos="19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the Administrative Agent will have the right to make Benchmark Replacement Conforming Changes from time to time and, notwithstanding anything to the contrary herein or in any other Loan Document, any amendments implementing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20" w:h="16838" w:orient="portrait"/>
          <w:cols w:equalWidth="0" w:num="1">
            <w:col w:w="11260"/>
          </w:cols>
          <w:pgMar w:left="340" w:top="1417" w:right="318" w:bottom="1440" w:gutter="0" w:footer="0" w:header="0"/>
        </w:sectPr>
      </w:pPr>
    </w:p>
    <w:bookmarkStart w:id="79" w:name="page80"/>
    <w:bookmarkEnd w:id="79"/>
    <w:p>
      <w:pPr>
        <w:spacing w:after="0" w:line="271" w:lineRule="auto"/>
        <w:rPr>
          <w:sz w:val="20"/>
          <w:szCs w:val="20"/>
          <w:color w:val="auto"/>
        </w:rPr>
      </w:pPr>
      <w:r>
        <w:rPr>
          <w:rFonts w:ascii="Times New Roman" w:cs="Times New Roman" w:eastAsia="Times New Roman" w:hAnsi="Times New Roman"/>
          <w:sz w:val="22"/>
          <w:szCs w:val="22"/>
          <w:color w:val="auto"/>
        </w:rPr>
        <w:t>such Benchmark Replacement Conforming Changes will become effective without requiring any further action by or consent of any other party to this Agreement or any other Loan Document.</w:t>
      </w:r>
    </w:p>
    <w:p>
      <w:pPr>
        <w:spacing w:after="0" w:line="140" w:lineRule="exact"/>
        <w:rPr>
          <w:sz w:val="20"/>
          <w:szCs w:val="20"/>
          <w:color w:val="auto"/>
        </w:rPr>
      </w:pPr>
    </w:p>
    <w:p>
      <w:pPr>
        <w:jc w:val="both"/>
        <w:ind w:firstLine="1289"/>
        <w:spacing w:after="0" w:line="249"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69" w:lineRule="exact"/>
        <w:rPr>
          <w:rFonts w:ascii="Times New Roman" w:cs="Times New Roman" w:eastAsia="Times New Roman" w:hAnsi="Times New Roman"/>
          <w:sz w:val="22"/>
          <w:szCs w:val="22"/>
          <w:color w:val="auto"/>
        </w:rPr>
      </w:pPr>
    </w:p>
    <w:p>
      <w:pPr>
        <w:jc w:val="both"/>
        <w:ind w:firstLine="1289"/>
        <w:spacing w:after="0" w:line="248"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0" w:lineRule="exact"/>
        <w:rPr>
          <w:rFonts w:ascii="Times New Roman" w:cs="Times New Roman" w:eastAsia="Times New Roman" w:hAnsi="Times New Roman"/>
          <w:sz w:val="22"/>
          <w:szCs w:val="22"/>
          <w:color w:val="auto"/>
        </w:rPr>
      </w:pPr>
    </w:p>
    <w:p>
      <w:pPr>
        <w:jc w:val="both"/>
        <w:ind w:firstLine="1289"/>
        <w:spacing w:after="0" w:line="250"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20" w:h="16838" w:orient="portrait"/>
          <w:cols w:equalWidth="0" w:num="1">
            <w:col w:w="11260"/>
          </w:cols>
          <w:pgMar w:left="340" w:top="1417" w:right="318" w:bottom="1440" w:gutter="0" w:footer="0" w:header="0"/>
        </w:sectPr>
      </w:pPr>
    </w:p>
    <w:bookmarkStart w:id="80" w:name="page81"/>
    <w:bookmarkEnd w:id="80"/>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40" w:hanging="651"/>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206" w:lineRule="exact"/>
        <w:rPr>
          <w:rFonts w:ascii="Times New Roman" w:cs="Times New Roman" w:eastAsia="Times New Roman" w:hAnsi="Times New Roman"/>
          <w:sz w:val="22"/>
          <w:szCs w:val="22"/>
          <w:color w:val="auto"/>
        </w:rPr>
      </w:pPr>
    </w:p>
    <w:p>
      <w:pPr>
        <w:jc w:val="both"/>
        <w:ind w:firstLine="1937"/>
        <w:spacing w:after="0" w:line="257" w:lineRule="auto"/>
        <w:tabs>
          <w:tab w:leader="none" w:pos="25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Term SOFR);</w:t>
      </w:r>
    </w:p>
    <w:p>
      <w:pPr>
        <w:spacing w:after="0" w:line="159" w:lineRule="exact"/>
        <w:rPr>
          <w:rFonts w:ascii="Times New Roman" w:cs="Times New Roman" w:eastAsia="Times New Roman" w:hAnsi="Times New Roman"/>
          <w:sz w:val="22"/>
          <w:szCs w:val="22"/>
          <w:color w:val="auto"/>
        </w:rPr>
      </w:pPr>
    </w:p>
    <w:p>
      <w:pPr>
        <w:ind w:firstLine="1937"/>
        <w:spacing w:after="0" w:line="284" w:lineRule="auto"/>
        <w:tabs>
          <w:tab w:leader="none" w:pos="25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London interbank market any other condition, cost or expense (other than Taxes) affecting this Agreement or Loans made by such Lender; or</w:t>
      </w:r>
    </w:p>
    <w:p>
      <w:pPr>
        <w:spacing w:after="0" w:line="116" w:lineRule="exact"/>
        <w:rPr>
          <w:rFonts w:ascii="Times New Roman" w:cs="Times New Roman" w:eastAsia="Times New Roman" w:hAnsi="Times New Roman"/>
          <w:sz w:val="22"/>
          <w:szCs w:val="22"/>
          <w:color w:val="auto"/>
        </w:rPr>
      </w:pPr>
    </w:p>
    <w:p>
      <w:pPr>
        <w:jc w:val="both"/>
        <w:ind w:firstLine="1937"/>
        <w:spacing w:after="0" w:line="263" w:lineRule="auto"/>
        <w:tabs>
          <w:tab w:leader="none" w:pos="25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149" w:lineRule="exact"/>
        <w:rPr>
          <w:sz w:val="20"/>
          <w:szCs w:val="20"/>
          <w:color w:val="auto"/>
        </w:rPr>
      </w:pPr>
    </w:p>
    <w:p>
      <w:pPr>
        <w:jc w:val="both"/>
        <w:ind w:firstLine="1289"/>
        <w:spacing w:after="0" w:line="250"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as the case may be, such additional amount or amounts as will compensate such Lender or such Lender’s holding company for any such reduction suffered.</w:t>
      </w:r>
    </w:p>
    <w:p>
      <w:pPr>
        <w:spacing w:after="0" w:line="166"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162"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or delay on the part of any Lender to demand compensation pursuant to this Section shall not constitute a waiver of such Lender’s right to demand such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20" w:h="16838" w:orient="portrait"/>
          <w:cols w:equalWidth="0" w:num="1">
            <w:col w:w="11260"/>
          </w:cols>
          <w:pgMar w:left="340" w:top="1417" w:right="318"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if the Change in Law giving rise to such increased costs or reductions is retroactive, then the 90-day period referred to above shall be extended to include the period of retroactive effect thereof.</w:t>
      </w:r>
    </w:p>
    <w:p>
      <w:pPr>
        <w:spacing w:after="0" w:line="16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SOFR Loan on the date specified in any notice delivered pursuant hereto (regardless of whether such notice may be revoked under Section 2.11(b)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In the case of a SOFR Loan, such loss, cost or expense to any Lender shall be deemed to include an amount determined by such Lender to be the excess, if any, of (i) the amount of interest which would have accrued on the principal amount of such Loan had such event not occurred, at the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91"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Withholding of Taxes; Gross-Up Payments Free of 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89"/>
        <w:spacing w:after="0" w:line="250"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the Borrower under any Loan Document shall be made without deduction or withholding for any Taxes, except as required by applicable law (including FATCA). If any applicable law (including FATCA and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(including FATCA) and, if such Tax is an Indemnified Tax, then the sum payable by the Borrower shall be increased as necessary so that after such deduction 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20" w:h="16838" w:orient="portrait"/>
          <w:cols w:equalWidth="0" w:num="1">
            <w:col w:w="11260"/>
          </w:cols>
          <w:pgMar w:left="340" w:top="1413" w:right="318" w:bottom="1440" w:gutter="0" w:footer="0" w:header="0"/>
        </w:sectPr>
      </w:pPr>
    </w:p>
    <w:bookmarkStart w:id="82" w:name="page83"/>
    <w:bookmarkEnd w:id="82"/>
    <w:p>
      <w:pPr>
        <w:jc w:val="both"/>
        <w:spacing w:after="0" w:line="257" w:lineRule="auto"/>
        <w:rPr>
          <w:sz w:val="20"/>
          <w:szCs w:val="20"/>
          <w:color w:val="auto"/>
        </w:rPr>
      </w:pPr>
      <w:r>
        <w:rPr>
          <w:rFonts w:ascii="Times New Roman" w:cs="Times New Roman" w:eastAsia="Times New Roman" w:hAnsi="Times New Roman"/>
          <w:sz w:val="22"/>
          <w:szCs w:val="22"/>
          <w:color w:val="auto"/>
        </w:rPr>
        <w:t>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59" w:lineRule="exact"/>
        <w:rPr>
          <w:sz w:val="20"/>
          <w:szCs w:val="20"/>
          <w:color w:val="auto"/>
        </w:rPr>
      </w:pPr>
    </w:p>
    <w:p>
      <w:pPr>
        <w:jc w:val="both"/>
        <w:ind w:firstLine="1289"/>
        <w:spacing w:after="0" w:line="263"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The Borrower shall timely pay to the relevant Governmental Authority in accordance with applicable law (including FATCA), or at the option of the Administrative Agent timely reimburse it for the payment of, Other Taxes.</w:t>
      </w:r>
    </w:p>
    <w:p>
      <w:pPr>
        <w:spacing w:after="0" w:line="153" w:lineRule="exact"/>
        <w:rPr>
          <w:rFonts w:ascii="Times New Roman" w:cs="Times New Roman" w:eastAsia="Times New Roman" w:hAnsi="Times New Roman"/>
          <w:sz w:val="22"/>
          <w:szCs w:val="22"/>
          <w:color w:val="auto"/>
        </w:rPr>
      </w:pPr>
    </w:p>
    <w:p>
      <w:pPr>
        <w:jc w:val="both"/>
        <w:ind w:firstLine="1289"/>
        <w:spacing w:after="0" w:line="252"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5" w:lineRule="exact"/>
        <w:rPr>
          <w:rFonts w:ascii="Times New Roman" w:cs="Times New Roman" w:eastAsia="Times New Roman" w:hAnsi="Times New Roman"/>
          <w:sz w:val="22"/>
          <w:szCs w:val="22"/>
          <w:color w:val="auto"/>
        </w:rPr>
      </w:pPr>
    </w:p>
    <w:p>
      <w:pPr>
        <w:jc w:val="both"/>
        <w:ind w:firstLine="1289"/>
        <w:spacing w:after="0" w:line="250"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6" w:lineRule="exact"/>
        <w:rPr>
          <w:rFonts w:ascii="Times New Roman" w:cs="Times New Roman" w:eastAsia="Times New Roman" w:hAnsi="Times New Roman"/>
          <w:sz w:val="22"/>
          <w:szCs w:val="22"/>
          <w:color w:val="auto"/>
        </w:rPr>
      </w:pPr>
    </w:p>
    <w:p>
      <w:pPr>
        <w:jc w:val="both"/>
        <w:ind w:firstLine="1289"/>
        <w:spacing w:after="0" w:line="261" w:lineRule="auto"/>
        <w:tabs>
          <w:tab w:leader="none" w:pos="19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2"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20" w:h="16838" w:orient="portrait"/>
          <w:cols w:equalWidth="0" w:num="1">
            <w:col w:w="11260"/>
          </w:cols>
          <w:pgMar w:left="340" w:top="1417" w:right="318" w:bottom="1440" w:gutter="0" w:footer="0" w:header="0"/>
        </w:sectPr>
      </w:pPr>
    </w:p>
    <w:bookmarkStart w:id="83" w:name="page84"/>
    <w:bookmarkEnd w:id="83"/>
    <w:p>
      <w:pPr>
        <w:jc w:val="both"/>
        <w:ind w:firstLine="1937"/>
        <w:spacing w:after="0" w:line="248" w:lineRule="auto"/>
        <w:tabs>
          <w:tab w:leader="none" w:pos="259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0"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206" w:lineRule="exact"/>
        <w:rPr>
          <w:rFonts w:ascii="Times New Roman" w:cs="Times New Roman" w:eastAsia="Times New Roman" w:hAnsi="Times New Roman"/>
          <w:sz w:val="22"/>
          <w:szCs w:val="22"/>
          <w:color w:val="auto"/>
        </w:rPr>
      </w:pPr>
    </w:p>
    <w:p>
      <w:pPr>
        <w:jc w:val="both"/>
        <w:ind w:left="640" w:firstLine="1945"/>
        <w:spacing w:after="0" w:line="256" w:lineRule="auto"/>
        <w:tabs>
          <w:tab w:leader="none" w:pos="32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76" w:lineRule="exact"/>
        <w:rPr>
          <w:rFonts w:ascii="Times New Roman" w:cs="Times New Roman" w:eastAsia="Times New Roman" w:hAnsi="Times New Roman"/>
          <w:sz w:val="22"/>
          <w:szCs w:val="22"/>
          <w:color w:val="auto"/>
        </w:rPr>
      </w:pPr>
    </w:p>
    <w:p>
      <w:pPr>
        <w:jc w:val="both"/>
        <w:ind w:left="640" w:firstLine="1945"/>
        <w:spacing w:after="0" w:line="252" w:lineRule="auto"/>
        <w:tabs>
          <w:tab w:leader="none" w:pos="32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2" w:lineRule="exact"/>
        <w:rPr>
          <w:rFonts w:ascii="Times New Roman" w:cs="Times New Roman" w:eastAsia="Times New Roman" w:hAnsi="Times New Roman"/>
          <w:sz w:val="22"/>
          <w:szCs w:val="22"/>
          <w:color w:val="auto"/>
        </w:rPr>
      </w:pPr>
    </w:p>
    <w:p>
      <w:pPr>
        <w:jc w:val="both"/>
        <w:ind w:left="1280" w:firstLine="1953"/>
        <w:spacing w:after="0" w:line="250" w:lineRule="auto"/>
        <w:tabs>
          <w:tab w:leader="none" w:pos="387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20" w:h="16838" w:orient="portrait"/>
          <w:cols w:equalWidth="0" w:num="1">
            <w:col w:w="11260"/>
          </w:cols>
          <w:pgMar w:left="340" w:top="1417" w:right="318" w:bottom="1440" w:gutter="0" w:footer="0" w:header="0"/>
        </w:sectPr>
      </w:pPr>
    </w:p>
    <w:bookmarkStart w:id="84" w:name="page85"/>
    <w:bookmarkEnd w:id="84"/>
    <w:p>
      <w:pPr>
        <w:ind w:left="180" w:firstLine="1953"/>
        <w:spacing w:after="0" w:line="271" w:lineRule="auto"/>
        <w:tabs>
          <w:tab w:leader="none" w:pos="277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that its extension of credit will generate U.S. effectively connected income, an executed copy of IRS Form W-8ECI;</w:t>
      </w:r>
    </w:p>
    <w:p>
      <w:pPr>
        <w:spacing w:after="0" w:line="157" w:lineRule="exact"/>
        <w:rPr>
          <w:rFonts w:ascii="Times New Roman" w:cs="Times New Roman" w:eastAsia="Times New Roman" w:hAnsi="Times New Roman"/>
          <w:sz w:val="22"/>
          <w:szCs w:val="22"/>
          <w:color w:val="auto"/>
        </w:rPr>
      </w:pPr>
    </w:p>
    <w:p>
      <w:pPr>
        <w:jc w:val="both"/>
        <w:ind w:left="180" w:firstLine="1953"/>
        <w:spacing w:after="0" w:line="251" w:lineRule="auto"/>
        <w:tabs>
          <w:tab w:leader="none" w:pos="277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an executed copy of IRS Form W-8BEN-E or IRS Form W-8BEN; or</w:t>
      </w:r>
    </w:p>
    <w:p>
      <w:pPr>
        <w:spacing w:after="0" w:line="194" w:lineRule="exact"/>
        <w:rPr>
          <w:rFonts w:ascii="Times New Roman" w:cs="Times New Roman" w:eastAsia="Times New Roman" w:hAnsi="Times New Roman"/>
          <w:sz w:val="22"/>
          <w:szCs w:val="22"/>
          <w:color w:val="auto"/>
        </w:rPr>
      </w:pPr>
    </w:p>
    <w:p>
      <w:pPr>
        <w:jc w:val="both"/>
        <w:ind w:left="180" w:firstLine="1953"/>
        <w:spacing w:after="0" w:line="250" w:lineRule="auto"/>
        <w:tabs>
          <w:tab w:leader="none" w:pos="277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an executed copy of IRS Form W-8IMY, accompanied by IRS Form W-8ECI, IRS Form W-8BEN-E, IRS Form W-8BEN,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0" w:lineRule="exact"/>
        <w:rPr>
          <w:rFonts w:ascii="Times New Roman" w:cs="Times New Roman" w:eastAsia="Times New Roman" w:hAnsi="Times New Roman"/>
          <w:sz w:val="22"/>
          <w:szCs w:val="22"/>
          <w:color w:val="auto"/>
        </w:rPr>
      </w:pPr>
    </w:p>
    <w:p>
      <w:pPr>
        <w:jc w:val="both"/>
        <w:ind w:left="-460" w:firstLine="1945"/>
        <w:spacing w:after="0" w:line="263" w:lineRule="auto"/>
        <w:tabs>
          <w:tab w:leader="none" w:pos="213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(including FATCA) as a basis for claiming exemption from or a reduction in U.S. federal withholding Tax, duly completed, together with such supplementary documentation as may be prescribed by applicable law (including FATCA) to permit the Borrower or the Administrative Agent to determine the withholding or deduction required to be made; and</w:t>
      </w:r>
    </w:p>
    <w:p>
      <w:pPr>
        <w:spacing w:after="0" w:line="172" w:lineRule="exact"/>
        <w:rPr>
          <w:rFonts w:ascii="Times New Roman" w:cs="Times New Roman" w:eastAsia="Times New Roman" w:hAnsi="Times New Roman"/>
          <w:sz w:val="21"/>
          <w:szCs w:val="21"/>
          <w:color w:val="auto"/>
        </w:rPr>
      </w:pPr>
    </w:p>
    <w:p>
      <w:pPr>
        <w:jc w:val="both"/>
        <w:ind w:left="-460" w:firstLine="1945"/>
        <w:spacing w:after="0" w:line="268" w:lineRule="auto"/>
        <w:tabs>
          <w:tab w:leader="none" w:pos="213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55</w:t>
      </w:r>
    </w:p>
    <w:p>
      <w:pPr>
        <w:sectPr>
          <w:pgSz w:w="11920" w:h="16838" w:orient="portrait"/>
          <w:cols w:equalWidth="0" w:num="1">
            <w:col w:w="10160"/>
          </w:cols>
          <w:pgMar w:left="1440" w:top="1417" w:right="318" w:bottom="1440" w:gutter="0" w:footer="0" w:header="0"/>
        </w:sectPr>
      </w:pPr>
    </w:p>
    <w:bookmarkStart w:id="85" w:name="page86"/>
    <w:bookmarkEnd w:id="85"/>
    <w:p>
      <w:pPr>
        <w:jc w:val="both"/>
        <w:ind w:left="640"/>
        <w:spacing w:after="0" w:line="268" w:lineRule="auto"/>
        <w:rPr>
          <w:sz w:val="20"/>
          <w:szCs w:val="20"/>
          <w:color w:val="auto"/>
        </w:rPr>
      </w:pPr>
      <w:r>
        <w:rPr>
          <w:rFonts w:ascii="Times New Roman" w:cs="Times New Roman" w:eastAsia="Times New Roman" w:hAnsi="Times New Roman"/>
          <w:sz w:val="21"/>
          <w:szCs w:val="21"/>
          <w:color w:val="auto"/>
        </w:rPr>
        <w:t>FATCA and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7" w:lineRule="exact"/>
        <w:rPr>
          <w:sz w:val="20"/>
          <w:szCs w:val="20"/>
          <w:color w:val="auto"/>
        </w:rPr>
      </w:pPr>
    </w:p>
    <w:p>
      <w:pPr>
        <w:jc w:val="both"/>
        <w:ind w:left="640"/>
        <w:spacing w:after="0" w:line="289"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3" w:lineRule="exact"/>
        <w:rPr>
          <w:sz w:val="20"/>
          <w:szCs w:val="20"/>
          <w:color w:val="auto"/>
        </w:rPr>
      </w:pPr>
    </w:p>
    <w:p>
      <w:pPr>
        <w:jc w:val="both"/>
        <w:ind w:firstLine="1289"/>
        <w:spacing w:after="0" w:line="248"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9"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289"/>
        <w:spacing w:after="0" w:line="271"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of amounts payable under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20" w:h="16838" w:orient="portrait"/>
          <w:cols w:equalWidth="0" w:num="1">
            <w:col w:w="11260"/>
          </w:cols>
          <w:pgMar w:left="340" w:top="1417" w:right="318"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Section 2.15, 2.16 or 2.17, or otherwise) prior to 12:00 noon,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set forth in Section 9.01. The Administrative Agent shall distribute any such payments received by it for the account of any other Person to the appropriate recipient promptly following receipt thereof </w:t>
      </w:r>
      <w:r>
        <w:rPr>
          <w:rFonts w:ascii="Times New Roman" w:cs="Times New Roman" w:eastAsia="Times New Roman" w:hAnsi="Times New Roman"/>
          <w:sz w:val="21"/>
          <w:szCs w:val="21"/>
          <w:u w:val="single" w:color="auto"/>
          <w:color w:val="0E32E1"/>
        </w:rPr>
        <w:t>and, in the case of payments received for the account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of the Lenders, ratably in accordance with the amounts then due and payable to such Lenders (except as otherwise provided herein)</w:t>
      </w:r>
      <w:r>
        <w:rPr>
          <w:rFonts w:ascii="Times New Roman" w:cs="Times New Roman" w:eastAsia="Times New Roman" w:hAnsi="Times New Roman"/>
          <w:sz w:val="21"/>
          <w:szCs w:val="21"/>
          <w:color w:val="000000"/>
        </w:rPr>
        <w:t>. If any payment hereunder shall be due on a day that is not a Business Day, the date for payment shall be extended to the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 xml:space="preserve">next succeeding Business Day </w:t>
      </w:r>
      <w:r>
        <w:rPr>
          <w:rFonts w:ascii="Times New Roman" w:cs="Times New Roman" w:eastAsia="Times New Roman" w:hAnsi="Times New Roman"/>
          <w:sz w:val="21"/>
          <w:szCs w:val="21"/>
          <w:u w:val="single" w:color="auto"/>
          <w:color w:val="0E32E1"/>
        </w:rPr>
        <w:t>(</w:t>
      </w:r>
      <w:r>
        <w:rPr>
          <w:rFonts w:ascii="Times New Roman" w:cs="Times New Roman" w:eastAsia="Times New Roman" w:hAnsi="Times New Roman"/>
          <w:sz w:val="21"/>
          <w:szCs w:val="21"/>
          <w:i w:val="1"/>
          <w:iCs w:val="1"/>
          <w:u w:val="single" w:color="auto"/>
          <w:color w:val="0E32E1"/>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that, if such extension would cause payment to be made after the Maturity Date, such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payment shall be made on the immediately preceding Business Day)</w:t>
      </w:r>
      <w:r>
        <w:rPr>
          <w:rFonts w:ascii="Times New Roman" w:cs="Times New Roman" w:eastAsia="Times New Roman" w:hAnsi="Times New Roman"/>
          <w:sz w:val="21"/>
          <w:szCs w:val="21"/>
          <w:color w:val="000000"/>
        </w:rPr>
        <w:t>, and, in the case of any payment accruing interest, interest</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thereon shall be payable for the period of such extension. All payments hereunder shall be made in Dollars.</w:t>
      </w:r>
    </w:p>
    <w:p>
      <w:pPr>
        <w:spacing w:after="0" w:line="162" w:lineRule="exact"/>
        <w:rPr>
          <w:sz w:val="20"/>
          <w:szCs w:val="20"/>
          <w:color w:val="auto"/>
        </w:rPr>
      </w:pPr>
    </w:p>
    <w:p>
      <w:pPr>
        <w:jc w:val="both"/>
        <w:ind w:firstLine="1289"/>
        <w:spacing w:after="0" w:line="253"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amounts of principal, interest </w:t>
      </w:r>
      <w:r>
        <w:rPr>
          <w:rFonts w:ascii="Times New Roman" w:cs="Times New Roman" w:eastAsia="Times New Roman" w:hAnsi="Times New Roman"/>
          <w:sz w:val="22"/>
          <w:szCs w:val="22"/>
          <w:color w:val="EE2724"/>
        </w:rPr>
        <w:t>and</w:t>
      </w:r>
      <w:r>
        <w:rPr>
          <w:rFonts w:ascii="Times New Roman" w:cs="Times New Roman" w:eastAsia="Times New Roman" w:hAnsi="Times New Roman"/>
          <w:sz w:val="22"/>
          <w:szCs w:val="22"/>
          <w:u w:val="single" w:color="auto"/>
          <w:color w:val="0E32E1"/>
        </w:rPr>
        <w:t>,</w:t>
      </w:r>
      <w:r>
        <w:rPr>
          <w:rFonts w:ascii="Times New Roman" w:cs="Times New Roman" w:eastAsia="Times New Roman" w:hAnsi="Times New Roman"/>
          <w:sz w:val="22"/>
          <w:szCs w:val="22"/>
          <w:color w:val="auto"/>
        </w:rPr>
        <w:t xml:space="preserve"> fees </w:t>
      </w:r>
      <w:r>
        <w:rPr>
          <w:rFonts w:ascii="Times New Roman" w:cs="Times New Roman" w:eastAsia="Times New Roman" w:hAnsi="Times New Roman"/>
          <w:sz w:val="22"/>
          <w:szCs w:val="22"/>
          <w:u w:val="single" w:color="auto"/>
          <w:color w:val="0E32E1"/>
        </w:rPr>
        <w:t>and other amounts</w:t>
      </w:r>
      <w:r>
        <w:rPr>
          <w:rFonts w:ascii="Times New Roman" w:cs="Times New Roman" w:eastAsia="Times New Roman" w:hAnsi="Times New Roman"/>
          <w:sz w:val="22"/>
          <w:szCs w:val="22"/>
          <w:color w:val="auto"/>
        </w:rPr>
        <w:t xml:space="preserve"> then due hereunder, such funds shall be applied (i) first, towards payment of interest </w:t>
      </w:r>
      <w:r>
        <w:rPr>
          <w:rFonts w:ascii="Times New Roman" w:cs="Times New Roman" w:eastAsia="Times New Roman" w:hAnsi="Times New Roman"/>
          <w:sz w:val="22"/>
          <w:szCs w:val="22"/>
          <w:color w:val="EE2724"/>
        </w:rPr>
        <w:t>and</w:t>
      </w:r>
      <w:r>
        <w:rPr>
          <w:rFonts w:ascii="Times New Roman" w:cs="Times New Roman" w:eastAsia="Times New Roman" w:hAnsi="Times New Roman"/>
          <w:sz w:val="22"/>
          <w:szCs w:val="22"/>
          <w:u w:val="single" w:color="auto"/>
          <w:color w:val="0E32E1"/>
        </w:rPr>
        <w:t>,</w:t>
      </w:r>
      <w:r>
        <w:rPr>
          <w:rFonts w:ascii="Times New Roman" w:cs="Times New Roman" w:eastAsia="Times New Roman" w:hAnsi="Times New Roman"/>
          <w:sz w:val="22"/>
          <w:szCs w:val="22"/>
          <w:color w:val="auto"/>
        </w:rPr>
        <w:t xml:space="preserve"> fees </w:t>
      </w:r>
      <w:r>
        <w:rPr>
          <w:rFonts w:ascii="Times New Roman" w:cs="Times New Roman" w:eastAsia="Times New Roman" w:hAnsi="Times New Roman"/>
          <w:sz w:val="22"/>
          <w:szCs w:val="22"/>
          <w:u w:val="single" w:color="auto"/>
          <w:color w:val="0E32E1"/>
        </w:rPr>
        <w:t>and other amounts</w:t>
      </w:r>
      <w:r>
        <w:rPr>
          <w:rFonts w:ascii="Times New Roman" w:cs="Times New Roman" w:eastAsia="Times New Roman" w:hAnsi="Times New Roman"/>
          <w:sz w:val="22"/>
          <w:szCs w:val="22"/>
          <w:color w:val="auto"/>
        </w:rPr>
        <w:t xml:space="preserve">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65" w:lineRule="exact"/>
        <w:rPr>
          <w:rFonts w:ascii="Times New Roman" w:cs="Times New Roman" w:eastAsia="Times New Roman" w:hAnsi="Times New Roman"/>
          <w:sz w:val="22"/>
          <w:szCs w:val="22"/>
          <w:color w:val="auto"/>
        </w:rPr>
      </w:pPr>
    </w:p>
    <w:p>
      <w:pPr>
        <w:jc w:val="both"/>
        <w:ind w:firstLine="1289"/>
        <w:spacing w:after="0" w:line="247"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by exercising any right of setoff or counterclaim or otherwise, obtain payment in respect of any principal of or interest on any of its Revolving Loans o</w:t>
      </w:r>
      <w:r>
        <w:rPr>
          <w:rFonts w:ascii="Times New Roman" w:cs="Times New Roman" w:eastAsia="Times New Roman" w:hAnsi="Times New Roman"/>
          <w:sz w:val="22"/>
          <w:szCs w:val="22"/>
          <w:u w:val="single" w:color="auto"/>
          <w:color w:val="0E32E1"/>
        </w:rPr>
        <w:t>r any other amount payable to such Lender hereunder</w:t>
      </w:r>
      <w:r>
        <w:rPr>
          <w:rFonts w:ascii="Times New Roman" w:cs="Times New Roman" w:eastAsia="Times New Roman" w:hAnsi="Times New Roman"/>
          <w:sz w:val="22"/>
          <w:szCs w:val="22"/>
          <w:color w:val="auto"/>
        </w:rPr>
        <w:t xml:space="preserve"> resulting in such Lender receiving payment of a greater proportion of the aggregate amount of its Revolving Loans </w:t>
      </w:r>
      <w:r>
        <w:rPr>
          <w:rFonts w:ascii="Times New Roman" w:cs="Times New Roman" w:eastAsia="Times New Roman" w:hAnsi="Times New Roman"/>
          <w:sz w:val="22"/>
          <w:szCs w:val="22"/>
          <w:color w:val="EE2724"/>
        </w:rPr>
        <w:t>and</w:t>
      </w:r>
      <w:r>
        <w:rPr>
          <w:rFonts w:ascii="Times New Roman" w:cs="Times New Roman" w:eastAsia="Times New Roman" w:hAnsi="Times New Roman"/>
          <w:sz w:val="22"/>
          <w:szCs w:val="22"/>
          <w:u w:val="single" w:color="auto"/>
          <w:color w:val="0E32E1"/>
        </w:rPr>
        <w:t>,</w:t>
      </w:r>
      <w:r>
        <w:rPr>
          <w:rFonts w:ascii="Times New Roman" w:cs="Times New Roman" w:eastAsia="Times New Roman" w:hAnsi="Times New Roman"/>
          <w:sz w:val="22"/>
          <w:szCs w:val="22"/>
          <w:color w:val="auto"/>
        </w:rPr>
        <w:t xml:space="preserve"> accrued interest thereon </w:t>
      </w:r>
      <w:r>
        <w:rPr>
          <w:rFonts w:ascii="Times New Roman" w:cs="Times New Roman" w:eastAsia="Times New Roman" w:hAnsi="Times New Roman"/>
          <w:sz w:val="22"/>
          <w:szCs w:val="22"/>
          <w:u w:val="single" w:color="auto"/>
          <w:color w:val="0E32E1"/>
        </w:rPr>
        <w:t>and such other amounts then due to such Lender</w:t>
      </w:r>
      <w:r>
        <w:rPr>
          <w:rFonts w:ascii="Times New Roman" w:cs="Times New Roman" w:eastAsia="Times New Roman" w:hAnsi="Times New Roman"/>
          <w:sz w:val="22"/>
          <w:szCs w:val="22"/>
          <w:color w:val="auto"/>
        </w:rPr>
        <w:t xml:space="preserve"> than the proportion received by any other Lender, then the Lender receiving such greater proportion shall purchase (for cash at face value) participations in the Revolving Loans </w:t>
      </w:r>
      <w:r>
        <w:rPr>
          <w:rFonts w:ascii="Times New Roman" w:cs="Times New Roman" w:eastAsia="Times New Roman" w:hAnsi="Times New Roman"/>
          <w:sz w:val="22"/>
          <w:szCs w:val="22"/>
          <w:u w:val="single" w:color="auto"/>
          <w:color w:val="0E32E1"/>
        </w:rPr>
        <w:t>and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other amounts payable</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of other Lenders to the extent necessary so that the benefit of all such payments shall be shared by the</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 xml:space="preserve">Lenders ratably in accordance with the aggregate amount of principal of and accrued interest on their respective Revolving Loans </w:t>
      </w:r>
      <w:r>
        <w:rPr>
          <w:rFonts w:ascii="Times New Roman" w:cs="Times New Roman" w:eastAsia="Times New Roman" w:hAnsi="Times New Roman"/>
          <w:sz w:val="22"/>
          <w:szCs w:val="22"/>
          <w:u w:val="single" w:color="auto"/>
          <w:color w:val="0E32E1"/>
        </w:rPr>
        <w:t>and such other amounts payable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that (i) if any such participations are purchased and all or any portion of the payment</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-3173095</wp:posOffset>
            </wp:positionV>
            <wp:extent cx="25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-3010535</wp:posOffset>
            </wp:positionV>
            <wp:extent cx="2355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5585" cy="8255"/>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-2058670</wp:posOffset>
            </wp:positionV>
            <wp:extent cx="239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9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20" w:h="16838" w:orient="portrait"/>
          <w:cols w:equalWidth="0" w:num="1">
            <w:col w:w="11260"/>
          </w:cols>
          <w:pgMar w:left="340" w:top="1417" w:right="318" w:bottom="1440" w:gutter="0" w:footer="0" w:header="0"/>
        </w:sectPr>
      </w:pPr>
    </w:p>
    <w:bookmarkStart w:id="87" w:name="page88"/>
    <w:bookmarkEnd w:id="87"/>
    <w:p>
      <w:pPr>
        <w:spacing w:after="0" w:line="271" w:lineRule="auto"/>
        <w:rPr>
          <w:sz w:val="20"/>
          <w:szCs w:val="20"/>
          <w:color w:val="auto"/>
        </w:rPr>
      </w:pPr>
      <w:r>
        <w:rPr>
          <w:rFonts w:ascii="Times New Roman" w:cs="Times New Roman" w:eastAsia="Times New Roman" w:hAnsi="Times New Roman"/>
          <w:sz w:val="22"/>
          <w:szCs w:val="22"/>
          <w:color w:val="auto"/>
        </w:rPr>
        <w:t>foregoing arrangements may exercise against the Borrower rights of setoff and counterclaim with respect to such participation as fully as if such Lender were a direct creditor of the Borrower in the amount of such participation.</w:t>
      </w:r>
    </w:p>
    <w:p>
      <w:pPr>
        <w:spacing w:after="0" w:line="144" w:lineRule="exact"/>
        <w:rPr>
          <w:sz w:val="20"/>
          <w:szCs w:val="20"/>
          <w:color w:val="auto"/>
        </w:rPr>
      </w:pPr>
    </w:p>
    <w:p>
      <w:pPr>
        <w:jc w:val="both"/>
        <w:ind w:firstLine="1289"/>
        <w:spacing w:after="0" w:line="249" w:lineRule="auto"/>
        <w:tabs>
          <w:tab w:leader="none" w:pos="19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prior to any date on which any payment is due to the Administrative Agent for the account of the Lenders pursuant to the terms hereof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7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49"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8"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20" w:h="16838" w:orient="portrait"/>
          <w:cols w:equalWidth="0" w:num="1">
            <w:col w:w="11260"/>
          </w:cols>
          <w:pgMar w:left="340" w:top="1417" w:right="318" w:bottom="1440" w:gutter="0" w:footer="0" w:header="0"/>
        </w:sectPr>
      </w:pPr>
    </w:p>
    <w:bookmarkStart w:id="88" w:name="page89"/>
    <w:bookmarkEnd w:id="88"/>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documents shall be without recourse to or warranty by the parties thereto.</w:t>
      </w:r>
    </w:p>
    <w:p>
      <w:pPr>
        <w:spacing w:after="0" w:line="16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44" w:lineRule="exact"/>
        <w:rPr>
          <w:sz w:val="20"/>
          <w:szCs w:val="20"/>
          <w:color w:val="auto"/>
        </w:rPr>
      </w:pPr>
    </w:p>
    <w:p>
      <w:pPr>
        <w:ind w:left="1940" w:hanging="651"/>
        <w:spacing w:after="0"/>
        <w:tabs>
          <w:tab w:leader="none" w:pos="19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unfunded portion of the Commitment of such Defaulting Lender pursuant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Section 2.12(a);</w:t>
      </w:r>
    </w:p>
    <w:p>
      <w:pPr>
        <w:spacing w:after="0" w:line="182" w:lineRule="exact"/>
        <w:rPr>
          <w:rFonts w:ascii="Times New Roman" w:cs="Times New Roman" w:eastAsia="Times New Roman" w:hAnsi="Times New Roman"/>
          <w:sz w:val="21"/>
          <w:szCs w:val="21"/>
          <w:color w:val="auto"/>
        </w:rPr>
      </w:pPr>
    </w:p>
    <w:p>
      <w:pPr>
        <w:jc w:val="both"/>
        <w:ind w:firstLine="1289"/>
        <w:spacing w:after="0" w:line="247"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so long as no Default or Event of Default exists, to the payment of any amounts owing to the Borrower as a result of any judgment of a court of competent jurisdiction obtained by the Borrower against such Defaulting Lender as 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20" w:h="16838" w:orient="portrait"/>
          <w:cols w:equalWidth="0" w:num="1">
            <w:col w:w="11260"/>
          </w:cols>
          <w:pgMar w:left="340" w:top="1417" w:right="318"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result of such Defaulting Lender's breach of its obligations under this Agreement or under any other Loan Document; and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and</w:t>
      </w:r>
    </w:p>
    <w:p>
      <w:pPr>
        <w:spacing w:after="0" w:line="153" w:lineRule="exact"/>
        <w:rPr>
          <w:sz w:val="20"/>
          <w:szCs w:val="20"/>
          <w:color w:val="auto"/>
        </w:rPr>
      </w:pPr>
    </w:p>
    <w:p>
      <w:pPr>
        <w:jc w:val="both"/>
        <w:ind w:firstLine="1289"/>
        <w:spacing w:after="0" w:line="254"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clause (c) shall not apply to the vote of a Defaulting Lender except (i) such Defaulting Lender’s Commitment may not be increased or extended without its consent and (ii) the principal amount of, or interest or fees payable on, Loans may not be reduced or excused or the scheduled date of payment may not be postponed as to such Defaulting Lender without such Defaulting Lender’s consent.</w:t>
      </w:r>
    </w:p>
    <w:p>
      <w:pPr>
        <w:spacing w:after="0" w:line="16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the event that the Administrative Agent and the Borrower agree that a Defaulting Lender has adequately remedied all matters that caused such Lender to be a Defaulting Lender, then the Revolving Credit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5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2.21.</w:t>
      </w:r>
      <w:r>
        <w:rPr>
          <w:sz w:val="20"/>
          <w:szCs w:val="20"/>
          <w:color w:val="auto"/>
        </w:rPr>
        <w:tab/>
      </w:r>
      <w:r>
        <w:rPr>
          <w:rFonts w:ascii="Times New Roman" w:cs="Times New Roman" w:eastAsia="Times New Roman" w:hAnsi="Times New Roman"/>
          <w:sz w:val="21"/>
          <w:szCs w:val="21"/>
          <w:u w:val="single" w:color="auto"/>
          <w:color w:val="auto"/>
        </w:rPr>
        <w:t>Incremental Revolving Facilities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89"/>
        <w:spacing w:after="0" w:line="250"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on no more than five occasions, pursuant to an Increased Commitment Supplement increase the aggregate amount of the Commitments (the commitment of any Lender to provide such increase, an “</w:t>
      </w:r>
      <w:r>
        <w:rPr>
          <w:rFonts w:ascii="Times New Roman" w:cs="Times New Roman" w:eastAsia="Times New Roman" w:hAnsi="Times New Roman"/>
          <w:sz w:val="22"/>
          <w:szCs w:val="22"/>
          <w:u w:val="single" w:color="auto"/>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and such increase, an “</w:t>
      </w:r>
      <w:r>
        <w:rPr>
          <w:rFonts w:ascii="Times New Roman" w:cs="Times New Roman" w:eastAsia="Times New Roman" w:hAnsi="Times New Roman"/>
          <w:sz w:val="22"/>
          <w:szCs w:val="22"/>
          <w:u w:val="single" w:color="auto"/>
          <w:color w:val="auto"/>
        </w:rPr>
        <w:t>Incremental Revolving Facility</w:t>
      </w:r>
      <w:r>
        <w:rPr>
          <w:rFonts w:ascii="Times New Roman" w:cs="Times New Roman" w:eastAsia="Times New Roman" w:hAnsi="Times New Roman"/>
          <w:sz w:val="22"/>
          <w:szCs w:val="22"/>
          <w:color w:val="auto"/>
        </w:rPr>
        <w:t>” and any loans made pursuant to an Incremental Revolving Facility, “</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in an aggregate outstanding principal amount not to exceed $100,000,000, which increase shall be requested in dollars.</w:t>
      </w:r>
    </w:p>
    <w:p>
      <w:pPr>
        <w:spacing w:after="0" w:line="167"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Revolving Facility shall be subject to the following provisions:</w:t>
      </w:r>
    </w:p>
    <w:p>
      <w:pPr>
        <w:spacing w:after="0" w:line="206"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Revolving Commitment must be in an aggregate amount equal to any integral multiple of $5,000,000 and not less than $10,000,000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20" w:h="16838" w:orient="portrait"/>
          <w:cols w:equalWidth="0" w:num="1">
            <w:col w:w="11260"/>
          </w:cols>
          <w:pgMar w:left="340" w:top="1417" w:right="318" w:bottom="1440" w:gutter="0" w:footer="0" w:header="0"/>
        </w:sectPr>
      </w:pPr>
    </w:p>
    <w:bookmarkStart w:id="90" w:name="page91"/>
    <w:bookmarkEnd w:id="90"/>
    <w:p>
      <w:pPr>
        <w:spacing w:after="0" w:line="271" w:lineRule="auto"/>
        <w:rPr>
          <w:sz w:val="20"/>
          <w:szCs w:val="20"/>
          <w:color w:val="auto"/>
        </w:rPr>
      </w:pPr>
      <w:r>
        <w:rPr>
          <w:rFonts w:ascii="Times New Roman" w:cs="Times New Roman" w:eastAsia="Times New Roman" w:hAnsi="Times New Roman"/>
          <w:sz w:val="22"/>
          <w:szCs w:val="22"/>
          <w:color w:val="auto"/>
        </w:rPr>
        <w:t>such amount may be less than $10,000,000 if such amount represents all remaining availability for Incremental Revolving Facilities under the limit set forth above),</w:t>
      </w:r>
    </w:p>
    <w:p>
      <w:pPr>
        <w:spacing w:after="0" w:line="144" w:lineRule="exact"/>
        <w:rPr>
          <w:sz w:val="20"/>
          <w:szCs w:val="20"/>
          <w:color w:val="auto"/>
        </w:rPr>
      </w:pPr>
    </w:p>
    <w:p>
      <w:pPr>
        <w:jc w:val="both"/>
        <w:ind w:firstLine="1937"/>
        <w:spacing w:after="0" w:line="257"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the Borrower and any Lender may separately agree, no Lender shall be obligated to provide any Incremental Revolving Commitment, and the determination to provide any Incremental Revolving Commitment shall be within the sole discretion of such Lender,</w:t>
      </w:r>
    </w:p>
    <w:p>
      <w:pPr>
        <w:spacing w:after="0" w:line="159" w:lineRule="exact"/>
        <w:rPr>
          <w:rFonts w:ascii="Times New Roman" w:cs="Times New Roman" w:eastAsia="Times New Roman" w:hAnsi="Times New Roman"/>
          <w:sz w:val="22"/>
          <w:szCs w:val="22"/>
          <w:color w:val="auto"/>
        </w:rPr>
      </w:pPr>
    </w:p>
    <w:p>
      <w:pPr>
        <w:jc w:val="both"/>
        <w:ind w:firstLine="1937"/>
        <w:spacing w:after="0" w:line="263"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Incremental Revolving Facility, Incremental Revolving Commitment or Incremental Revolving Loan (nor the creation, provision or implementation thereof) shall require the approval of any existing Lender other than in its capacity, if any, as a lender providing all or part of any Incremental Revolving Commitment,</w:t>
      </w:r>
    </w:p>
    <w:p>
      <w:pPr>
        <w:spacing w:after="0" w:line="153" w:lineRule="exact"/>
        <w:rPr>
          <w:rFonts w:ascii="Times New Roman" w:cs="Times New Roman" w:eastAsia="Times New Roman" w:hAnsi="Times New Roman"/>
          <w:sz w:val="22"/>
          <w:szCs w:val="22"/>
          <w:color w:val="auto"/>
        </w:rPr>
      </w:pPr>
    </w:p>
    <w:p>
      <w:pPr>
        <w:jc w:val="both"/>
        <w:ind w:firstLine="1937"/>
        <w:spacing w:after="0" w:line="257"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any Incremental Revolving Facility shall be identical to the existing Revolving Loans and Commitments (other than with respect to fees) and, for purposes of this Agreement and the other Loan Documents, all Revolving Loans made under any Incremental Revolving Commitment shall be deemed to be Revolving Loans,</w:t>
      </w:r>
    </w:p>
    <w:p>
      <w:pPr>
        <w:spacing w:after="0" w:line="159"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any fees payable in connection with any Incremental Revolving Facility shall be determined by the Borrower and the arrangers and/or lenders providing such Incremental Revolving Facility,</w:t>
      </w:r>
    </w:p>
    <w:p>
      <w:pPr>
        <w:spacing w:after="0" w:line="144"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Incremental Revolving Facility may be guaranteed by any Person </w:t>
      </w:r>
      <w:r>
        <w:rPr>
          <w:rFonts w:ascii="Times New Roman" w:cs="Times New Roman" w:eastAsia="Times New Roman" w:hAnsi="Times New Roman"/>
          <w:sz w:val="22"/>
          <w:szCs w:val="22"/>
          <w:u w:val="single" w:color="auto"/>
          <w:color w:val="0E32E1"/>
        </w:rPr>
        <w:t>other than the Guarantors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pursuant to the Guaranty</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and no Incremental Revolving Facility shall be secured,</w:t>
      </w:r>
    </w:p>
    <w:p>
      <w:pPr>
        <w:spacing w:after="0" w:line="144"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Incremental Revolving Facility shall be used for general corporate purposes and any other use permitted by this Agreement, and</w:t>
      </w:r>
    </w:p>
    <w:p>
      <w:pPr>
        <w:spacing w:after="0" w:line="144" w:lineRule="exact"/>
        <w:rPr>
          <w:rFonts w:ascii="Times New Roman" w:cs="Times New Roman" w:eastAsia="Times New Roman" w:hAnsi="Times New Roman"/>
          <w:sz w:val="22"/>
          <w:szCs w:val="22"/>
          <w:color w:val="auto"/>
        </w:rPr>
      </w:pPr>
    </w:p>
    <w:p>
      <w:pPr>
        <w:jc w:val="both"/>
        <w:ind w:firstLine="1937"/>
        <w:spacing w:after="0" w:line="250"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shall exist immediately prior to or after giving effect to such Incremental Revolving Facility and (B) the representations and warranties of the Borrower set forth in the Loan Documents shall be true and correct in all material respects (or, in the case of any representation and warranty qualified by materiality, all respects) on and as of the date of the effectiveness of such Incremental Revolving Facility after giving effect to the Loans made on such date, except to the extent such representations and warranties specifically relate to any earlier date in which case such representations and warranties shall have been true and correct in all material respects as of such earlier date (or, in the case of any representation and warranty qualified by materiality, in all respects as of such earlier date).</w:t>
      </w:r>
    </w:p>
    <w:p>
      <w:pPr>
        <w:spacing w:after="0" w:line="166"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Revolving Commitments may be provided by any existing Lender, or by one or more new banks, financial institutions or other entities that are not Ineligible Institutions (any such other lender,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have a right to consent (such consent not to be unreasonably withheld or delayed) to the relevant New Lender’s provision of Incremental Revolving Commitments.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20" w:h="16838" w:orient="portrait"/>
          <w:cols w:equalWidth="0" w:num="1">
            <w:col w:w="11260"/>
          </w:cols>
          <w:pgMar w:left="340" w:top="1417" w:right="318" w:bottom="1440" w:gutter="0" w:footer="0" w:header="0"/>
        </w:sectPr>
      </w:pPr>
    </w:p>
    <w:bookmarkStart w:id="91" w:name="page92"/>
    <w:bookmarkEnd w:id="91"/>
    <w:p>
      <w:pPr>
        <w:jc w:val="both"/>
        <w:ind w:firstLine="1289"/>
        <w:spacing w:after="0" w:line="253"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New Lender providing a portion of any Incremental Revolving Commitment shall execute and deliver to the Administrative Agent and the Borrower all such documentation (including the relevant Increased Commitment Supplement) as may be reasonably required by the Administrative Agent to evidence and effectuate such Incremental Revolving Commitment. On the effective date of such Incremental Revolving Commitment, each New Lender shall become a Lender for all purposes in connection with this Agreement.</w:t>
      </w:r>
    </w:p>
    <w:p>
      <w:pPr>
        <w:spacing w:after="0" w:line="165" w:lineRule="exact"/>
        <w:rPr>
          <w:rFonts w:ascii="Times New Roman" w:cs="Times New Roman" w:eastAsia="Times New Roman" w:hAnsi="Times New Roman"/>
          <w:sz w:val="22"/>
          <w:szCs w:val="22"/>
          <w:color w:val="auto"/>
        </w:rPr>
      </w:pPr>
    </w:p>
    <w:p>
      <w:pPr>
        <w:jc w:val="both"/>
        <w:ind w:firstLine="1289"/>
        <w:spacing w:after="0" w:line="275" w:lineRule="auto"/>
        <w:tabs>
          <w:tab w:leader="none" w:pos="194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hereby irrevocably authorize the Administrative Agent to enter into any Increased Commitment Supplement and/or any amendment to this Agreement and/or to any other Loan Document as may be necessary or appropriate in the reasonable opinion of the Administrative Agent and the Borrower to effect the provisions of this Section 2.21.</w:t>
      </w:r>
    </w:p>
    <w:p>
      <w:pPr>
        <w:spacing w:after="0" w:line="141"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2.21 shall supersede any provision in Section 9.02 to the contrary.</w:t>
      </w:r>
    </w:p>
    <w:p>
      <w:pPr>
        <w:spacing w:after="0" w:line="206"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increase and addition consummated under this Section 2.21 shall be effective upon the delivery of an Increased Commitment Supplement (herein so called) executed by the Borrower, the Administrative Agent and the Lenders willing to increase their respective Revolving Commitments and/or the New Lenders (if any).</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Each of Holdings and the Borrower represents and warrants to the Lenders on the date hereof, on the Effective Date and on each date of Borrowing that:</w:t>
      </w:r>
    </w:p>
    <w:p>
      <w:pPr>
        <w:spacing w:after="0" w:line="1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Each of Holdings, the Borrower and its Subsidiaries is duly organized or formed, validly existing and, except to the extent that the failure to do so could not reasonably be expected to result in a Material Adverse Effect in the case of such Subsidiaries, is in good standing (to the extent such concept is applicable in such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such concept is applicable in such jurisdiction) is in good standing in, every jurisdiction where such qualification is required.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Holdings’ and the Borrower’s corporate or other organizational powers and have been duly authorized by all necessary corporate or other organizational and, if required, stockholder action. This Agreement has been duly executed and delivered by Holdings and the Borrower and constitutes a legal, valid and binding obligation of Holdings and the Borrower, enforceable in accordance with its terms, subject to applicable bankruptcy, insolvency, reorganization,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20" w:h="16838" w:orient="portrait"/>
          <w:cols w:equalWidth="0" w:num="1">
            <w:col w:w="11260"/>
          </w:cols>
          <w:pgMar w:left="340" w:top="1417" w:right="318" w:bottom="1440" w:gutter="0" w:footer="0" w:header="0"/>
        </w:sectPr>
      </w:pPr>
    </w:p>
    <w:bookmarkStart w:id="92" w:name="page93"/>
    <w:bookmarkEnd w:id="92"/>
    <w:p>
      <w:pPr>
        <w:jc w:val="both"/>
        <w:spacing w:after="0" w:line="271" w:lineRule="auto"/>
        <w:rPr>
          <w:sz w:val="20"/>
          <w:szCs w:val="20"/>
          <w:color w:val="auto"/>
        </w:rPr>
      </w:pPr>
      <w:r>
        <w:rPr>
          <w:rFonts w:ascii="Times New Roman" w:cs="Times New Roman" w:eastAsia="Times New Roman" w:hAnsi="Times New Roman"/>
          <w:sz w:val="22"/>
          <w:szCs w:val="22"/>
          <w:color w:val="auto"/>
        </w:rPr>
        <w:t>moratorium or other laws affecting creditors’ rights generally and subject to general principles of equity, regardless of whether considered in a proceeding in equity or at law.</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Governmental Approvals; No Conflicts</w:t>
      </w:r>
      <w:r>
        <w:rPr>
          <w:rFonts w:ascii="Times New Roman" w:cs="Times New Roman" w:eastAsia="Times New Roman" w:hAnsi="Times New Roman"/>
          <w:sz w:val="21"/>
          <w:szCs w:val="21"/>
          <w:color w:val="auto"/>
        </w:rPr>
        <w:t>. The Transactions (a) do not require any consent or approval of, registration or filing with, or any other action by, any Governmental Authority, except such as have been obtained or made and are in full force and effect (unless the failure to obtain such consents or approval will not have a Material Adverse Effect), (b) will not violate in any material respect any applicable law or regulation or the charter, by-laws or other organizational documents of Holdings, the Borrower or any of its Subsidiaries or any order of any Governmental Authority, (c) will not violate or result in a material default under any material indenture, agreement or other instrument binding upon Holdings, the Borrower or any of its Subsidiaries or its assets, or give rise to a right thereunder to require any payment to be made by Holdings, the Borrower or any of its Subsidiaries, unless such violation or default will not have a Material Adverse Effect and (d) will not result in the creation or imposition of, or the requirement to create, any Lien on any asset of Holdings, the Borrower or any of its Subsidiaries.</w:t>
      </w:r>
    </w:p>
    <w:p>
      <w:pPr>
        <w:spacing w:after="0" w:line="17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Financial Condition; No Material Adverse 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66" w:lineRule="auto"/>
        <w:tabs>
          <w:tab w:leader="none" w:pos="194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heretofore furnished to the Lenders (i) Holdings’ audited consolidated balance sheet and statements of income, stockholders equity and cash flows as of and for the fiscal years ended June 30, 2021 and June 30, 2020, reported by Deloitte &amp; Touche LLP and Ernst &amp; Young LLP, respectively, and (ii) Holdings’ unaudited consolidated balance sheet and statements of income and cash flows as of and for the fiscal quarter ended September 30, 2021, certified by a Financial Officer. Such financial statements present fairly, in all material respects, the financial position and results of operations and cash flows of Holdings and its consolidated Subsidiaries as of such dates and for such periods in accordance with GAAP, subject to year-end audit adjustments and the absence of footnotes in the case of the statements referred to in clause (ii) above.</w:t>
      </w:r>
    </w:p>
    <w:p>
      <w:pPr>
        <w:spacing w:after="0" w:line="151" w:lineRule="exact"/>
        <w:rPr>
          <w:rFonts w:ascii="Times New Roman" w:cs="Times New Roman" w:eastAsia="Times New Roman" w:hAnsi="Times New Roman"/>
          <w:sz w:val="21"/>
          <w:szCs w:val="21"/>
          <w:color w:val="auto"/>
        </w:rPr>
      </w:pPr>
    </w:p>
    <w:p>
      <w:pPr>
        <w:ind w:firstLine="1289"/>
        <w:spacing w:after="0" w:line="271" w:lineRule="auto"/>
        <w:tabs>
          <w:tab w:leader="none" w:pos="19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June 30, 2021, there has been no Material Adverse Change with respect to the Borrower and its Subsidiaries, taken as a whole.</w:t>
      </w:r>
    </w:p>
    <w:p>
      <w:pPr>
        <w:spacing w:after="0" w:line="144"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52"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has good title to, or valid leasehold interests in, all its real and personal property, except for minor defects in title that do not interfere with its ability to conduct its business as currently conducted or to utilize such properties for their intended purposes, except where the failure to do so would not reasonably be expected to have, individually or in the aggregate, a Material Adverse Effect.</w:t>
      </w:r>
    </w:p>
    <w:p>
      <w:pPr>
        <w:spacing w:after="0" w:line="165"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owns, or is licensed to use, all trademarks, trade names, copyrights, patents and other intellectual property material to its business, and the use thereof by the Borrower and its Subsidiaries does not infringe upon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20" w:h="16838" w:orient="portrait"/>
          <w:cols w:equalWidth="0" w:num="1">
            <w:col w:w="11260"/>
          </w:cols>
          <w:pgMar w:left="340" w:top="1417" w:right="318" w:bottom="1440" w:gutter="0" w:footer="0" w:header="0"/>
        </w:sectPr>
      </w:pPr>
    </w:p>
    <w:bookmarkStart w:id="93" w:name="page94"/>
    <w:bookmarkEnd w:id="93"/>
    <w:p>
      <w:pPr>
        <w:ind w:left="7"/>
        <w:spacing w:after="0" w:line="271" w:lineRule="auto"/>
        <w:rPr>
          <w:sz w:val="20"/>
          <w:szCs w:val="20"/>
          <w:color w:val="auto"/>
        </w:rPr>
      </w:pPr>
      <w:r>
        <w:rPr>
          <w:rFonts w:ascii="Times New Roman" w:cs="Times New Roman" w:eastAsia="Times New Roman" w:hAnsi="Times New Roman"/>
          <w:sz w:val="22"/>
          <w:szCs w:val="22"/>
          <w:color w:val="auto"/>
        </w:rPr>
        <w:t>rights of any other Person, except for any such infringements (or ownership or license issues) that, individually or in the aggregate, could not reasonably be expected to result in a Material Adverse Effect.</w:t>
      </w:r>
    </w:p>
    <w:p>
      <w:pPr>
        <w:spacing w:after="0" w:line="144" w:lineRule="exact"/>
        <w:rPr>
          <w:sz w:val="20"/>
          <w:szCs w:val="20"/>
          <w:color w:val="auto"/>
        </w:rPr>
      </w:pPr>
    </w:p>
    <w:p>
      <w:pPr>
        <w:ind w:left="647"/>
        <w:spacing w:after="0"/>
        <w:tabs>
          <w:tab w:leader="none" w:pos="2567"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Litigation and Environmental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7" w:firstLine="1289"/>
        <w:spacing w:after="0" w:line="255" w:lineRule="auto"/>
        <w:tabs>
          <w:tab w:leader="none" w:pos="195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or proceedings by or before any arbitrator or Governmental Authority pending against or, to the knowledge of the Borrower, threatened in writing against or affecting the Borrower or any of its Subsidiaries</w:t>
      </w:r>
    </w:p>
    <w:p>
      <w:pPr>
        <w:spacing w:after="0" w:line="1" w:lineRule="exact"/>
        <w:rPr>
          <w:rFonts w:ascii="Times New Roman" w:cs="Times New Roman" w:eastAsia="Times New Roman" w:hAnsi="Times New Roman"/>
          <w:sz w:val="22"/>
          <w:szCs w:val="22"/>
          <w:color w:val="auto"/>
        </w:rPr>
      </w:pPr>
    </w:p>
    <w:p>
      <w:pPr>
        <w:jc w:val="both"/>
        <w:ind w:left="7" w:hanging="7"/>
        <w:spacing w:after="0" w:line="251" w:lineRule="auto"/>
        <w:tabs>
          <w:tab w:leader="none" w:pos="26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there is a reasonable possibility of an adverse determination and that, if adversely determined, would reasonably be expected, individually or in the aggregate, to result in a Material Adverse Effect (other than as set forth on Schedule 3.06 (the “</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or (ii) that involve this Agreement or the Transactions.</w:t>
      </w:r>
    </w:p>
    <w:p>
      <w:pPr>
        <w:spacing w:after="0" w:line="165" w:lineRule="exact"/>
        <w:rPr>
          <w:rFonts w:ascii="Times New Roman" w:cs="Times New Roman" w:eastAsia="Times New Roman" w:hAnsi="Times New Roman"/>
          <w:sz w:val="22"/>
          <w:szCs w:val="22"/>
          <w:color w:val="auto"/>
        </w:rPr>
      </w:pPr>
    </w:p>
    <w:p>
      <w:pPr>
        <w:jc w:val="both"/>
        <w:ind w:left="7" w:firstLine="1289"/>
        <w:spacing w:after="0" w:line="253" w:lineRule="auto"/>
        <w:tabs>
          <w:tab w:leader="none" w:pos="195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Disclosed Matters and 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is subject to any Environmental Liability, (iii) has received notice of any claim with respect to any Environmental Liability or (iv) knows of any basis for any Environmental Liability.</w:t>
      </w:r>
    </w:p>
    <w:p>
      <w:pPr>
        <w:spacing w:after="0" w:line="165" w:lineRule="exact"/>
        <w:rPr>
          <w:rFonts w:ascii="Times New Roman" w:cs="Times New Roman" w:eastAsia="Times New Roman" w:hAnsi="Times New Roman"/>
          <w:sz w:val="22"/>
          <w:szCs w:val="22"/>
          <w:color w:val="auto"/>
        </w:rPr>
      </w:pPr>
    </w:p>
    <w:p>
      <w:pPr>
        <w:ind w:left="7" w:right="540" w:firstLine="1289"/>
        <w:spacing w:after="0" w:line="271" w:lineRule="auto"/>
        <w:tabs>
          <w:tab w:leader="none" w:pos="195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44" w:lineRule="exact"/>
        <w:rPr>
          <w:sz w:val="20"/>
          <w:szCs w:val="20"/>
          <w:color w:val="auto"/>
        </w:rPr>
      </w:pPr>
    </w:p>
    <w:p>
      <w:pPr>
        <w:jc w:val="both"/>
        <w:ind w:left="7"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Compliance with Laws and Agreements</w:t>
      </w:r>
      <w:r>
        <w:rPr>
          <w:rFonts w:ascii="Times New Roman" w:cs="Times New Roman" w:eastAsia="Times New Roman" w:hAnsi="Times New Roman"/>
          <w:sz w:val="21"/>
          <w:szCs w:val="21"/>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or Event of Default has occurred and is continuing.</w:t>
      </w:r>
    </w:p>
    <w:p>
      <w:pPr>
        <w:spacing w:after="0" w:line="163" w:lineRule="exact"/>
        <w:rPr>
          <w:sz w:val="20"/>
          <w:szCs w:val="20"/>
          <w:color w:val="auto"/>
        </w:rPr>
      </w:pPr>
    </w:p>
    <w:p>
      <w:pPr>
        <w:jc w:val="both"/>
        <w:ind w:left="7"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Neither Holdings nor the Borrower or any of its Subsidiaries is an “investment company” as defined in, or subject to regulation under, the Investment Company Act of 1940.</w:t>
      </w:r>
    </w:p>
    <w:p>
      <w:pPr>
        <w:spacing w:after="0" w:line="144" w:lineRule="exact"/>
        <w:rPr>
          <w:sz w:val="20"/>
          <w:szCs w:val="20"/>
          <w:color w:val="auto"/>
        </w:rPr>
      </w:pPr>
    </w:p>
    <w:p>
      <w:pPr>
        <w:jc w:val="both"/>
        <w:ind w:left="7"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its Subsidiaries has timely filed or caused to be filed all Tax returns and reports required to have been filed and has paid or caused to be paid all Taxes required to have been paid by it, except</w:t>
      </w:r>
    </w:p>
    <w:p>
      <w:pPr>
        <w:spacing w:after="0" w:line="2" w:lineRule="exact"/>
        <w:rPr>
          <w:sz w:val="20"/>
          <w:szCs w:val="20"/>
          <w:color w:val="auto"/>
        </w:rPr>
      </w:pPr>
    </w:p>
    <w:p>
      <w:pPr>
        <w:jc w:val="both"/>
        <w:ind w:left="7" w:hanging="7"/>
        <w:spacing w:after="0" w:line="252" w:lineRule="auto"/>
        <w:tabs>
          <w:tab w:leader="none" w:pos="3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64</w:t>
      </w:r>
    </w:p>
    <w:p>
      <w:pPr>
        <w:sectPr>
          <w:pgSz w:w="11920" w:h="16838" w:orient="portrait"/>
          <w:cols w:equalWidth="0" w:num="1">
            <w:col w:w="11267"/>
          </w:cols>
          <w:pgMar w:left="333" w:top="1417" w:right="318" w:bottom="1440" w:gutter="0" w:footer="0" w:header="0"/>
        </w:sectPr>
      </w:pPr>
    </w:p>
    <w:bookmarkStart w:id="94" w:name="page95"/>
    <w:bookmarkEnd w:id="9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86"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48"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reports, lender presentations, information memorandum, financial statements, certificates or other information furnished by or on behalf of the Borrower or any Subsidiary to the Administrative Agent or any Lender in connection with the negotiation of this Agreement or delivered hereunder (as modified or supplemented by other information so furnished) contains, at the time furnished,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the Borrower represents only that such information was prepared in good faith based upon assumptions believed to be reasonable at the time delivered, it being recognized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71"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5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has implemented and maintains in effect policies and procedures reasonably designed to promote compliance by the Borrower, its Subsidiaries and Affiliates and their respective directors, officers, employees, advisors and agents with Anti-Corruption Laws and applicable Sanctions, and the Borrower, its Subsidiaries and Affiliates and their respective directors and officers and, to the knowledge of the Borrower, its employees, advisors and agents (when acting in their role as directors, officers, employees, advisors and agents), are in compliance with Anti-Corruption Laws and applicable Sanctions in all respects. None of (a) the Borrower, any Subsidiary or Affiliate thereof, any of their respective directors or officers or, to the Borrower’s knowledge, employees or (b) to the Borrower’s knowledge, any agent or advisor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204"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The Borrower is not an Affected Financial Institution.</w:t>
      </w:r>
    </w:p>
    <w:p>
      <w:pPr>
        <w:spacing w:after="0" w:line="22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20" w:h="16838" w:orient="portrait"/>
          <w:cols w:equalWidth="0" w:num="1">
            <w:col w:w="11260"/>
          </w:cols>
          <w:pgMar w:left="340" w:top="1417" w:right="318"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The Borrower is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pacing w:after="0" w:line="17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The Borrower and its Subsidiaries, taken as a whole, are Solvent.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Schedule 3.17 contains an accurate list of all Subsidiaries of the Borrower as of the Effective Date, setting forth their respective jurisdictions of organization and the percentage of their respective Equity Interests owned by the Borrower or other Subsidiaries. All of the issued and outstanding Equity Interests of such Subsidiaries have been (to the extent such concepts are relevant with respect to such ownership interests) duly authorized and issued and are fully paid and nonassessable.</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None of the Borrower or its Subsidiaries is engaged in any unfair labor practice that would reasonably be expected to have a Material Adverse Effect. There is (a) no unfair labor practice complaint pending against Borrower or any of its Subsidiaries, or to the knowledge of the Borrower, threatened in writing against the Borrower or any of its Subsidiaries and no grievance or arbitration proceeding arising out of or under any collective bargaining agreement that is so pending against Borrower or any of its Subsidiaries or to the knowledge of the Borrower, threatened in writing against the Borrower or any of its Subsidiaries, (b) no strike, work stoppage or other labor controversy in existence or threatened in writing involving the Borrower or any of its Subsidiaries, and (c) no violation of any laws or regulations, foreign or domestic, with respect to any employee, union or related matters by the Borrower or its Subsidiaries, except (with respect to any matter specified in clause (a), (b) or (c) above, either individually or in the aggregate) such as is not reasonably likely to have a Material Adverse Effect.</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IV</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1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obligations of the Lenders to make Loans hereunder shall not become effective until the date on which each of the following conditions is satisfied (or waived in accordance with Section 9.02):</w:t>
      </w:r>
    </w:p>
    <w:p>
      <w:pPr>
        <w:spacing w:after="0" w:line="158" w:lineRule="exact"/>
        <w:rPr>
          <w:sz w:val="20"/>
          <w:szCs w:val="20"/>
          <w:color w:val="auto"/>
        </w:rPr>
      </w:pPr>
    </w:p>
    <w:p>
      <w:pPr>
        <w:jc w:val="both"/>
        <w:ind w:firstLine="1289"/>
        <w:spacing w:after="0" w:line="257"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(i) each party hereto a counterpart of this Agreement signed on behalf of such party and (ii) Holdings and each Material Domestic Subsidiary of the Borrower a counterpart of the Guaranty signed on behalf of such Person (which, in each case of clauses (i) and (ii), subject to Section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20" w:h="16838" w:orient="portrait"/>
          <w:cols w:equalWidth="0" w:num="1">
            <w:col w:w="11260"/>
          </w:cols>
          <w:pgMar w:left="340" w:top="1417" w:right="318" w:bottom="1440" w:gutter="0" w:footer="0" w:header="0"/>
        </w:sectPr>
      </w:pPr>
    </w:p>
    <w:bookmarkStart w:id="96" w:name="page97"/>
    <w:bookmarkEnd w:id="96"/>
    <w:p>
      <w:pPr>
        <w:ind w:left="7"/>
        <w:spacing w:after="0" w:line="271" w:lineRule="auto"/>
        <w:rPr>
          <w:sz w:val="20"/>
          <w:szCs w:val="20"/>
          <w:color w:val="auto"/>
        </w:rPr>
      </w:pPr>
      <w:r>
        <w:rPr>
          <w:rFonts w:ascii="Times New Roman" w:cs="Times New Roman" w:eastAsia="Times New Roman" w:hAnsi="Times New Roman"/>
          <w:sz w:val="22"/>
          <w:szCs w:val="22"/>
          <w:color w:val="auto"/>
        </w:rPr>
        <w:t>9.06(b), may include any Electronic Signatures transmitted by telecopy, emailed pdf. or any other electronic means that reproduces an image of an actual executed signature page).</w:t>
      </w:r>
    </w:p>
    <w:p>
      <w:pPr>
        <w:spacing w:after="0" w:line="144" w:lineRule="exact"/>
        <w:rPr>
          <w:sz w:val="20"/>
          <w:szCs w:val="20"/>
          <w:color w:val="auto"/>
        </w:rPr>
      </w:pPr>
    </w:p>
    <w:p>
      <w:pPr>
        <w:jc w:val="both"/>
        <w:ind w:left="7" w:firstLine="1289"/>
        <w:spacing w:after="0" w:line="272" w:lineRule="auto"/>
        <w:tabs>
          <w:tab w:leader="none" w:pos="195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favorable written opinion (addressed to the Administrative Agent and the Lenders and dated the Effective Date) of DLA Piper LLP (US), counsel for the Borrower, in form and substance acceptable to the Administrative Agent and covering matters relating to the Borrower, this Agreement or the Transactions as the Required Lenders shall reasonably request. The Borrower hereby requests such counsel to deliver such opinion.</w:t>
      </w:r>
    </w:p>
    <w:p>
      <w:pPr>
        <w:spacing w:after="0" w:line="147" w:lineRule="exact"/>
        <w:rPr>
          <w:rFonts w:ascii="Times New Roman" w:cs="Times New Roman" w:eastAsia="Times New Roman" w:hAnsi="Times New Roman"/>
          <w:sz w:val="21"/>
          <w:szCs w:val="21"/>
          <w:color w:val="auto"/>
        </w:rPr>
      </w:pPr>
    </w:p>
    <w:p>
      <w:pPr>
        <w:jc w:val="both"/>
        <w:ind w:left="7" w:firstLine="1289"/>
        <w:spacing w:after="0" w:line="252" w:lineRule="auto"/>
        <w:tabs>
          <w:tab w:leader="none" w:pos="195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the Borrower, and the authorization of this Agreement and the Transactions, all in form and substance reasonably satisfactory to the Administrative Agent and its counsel.</w:t>
      </w:r>
    </w:p>
    <w:p>
      <w:pPr>
        <w:spacing w:after="0" w:line="165" w:lineRule="exact"/>
        <w:rPr>
          <w:rFonts w:ascii="Times New Roman" w:cs="Times New Roman" w:eastAsia="Times New Roman" w:hAnsi="Times New Roman"/>
          <w:sz w:val="22"/>
          <w:szCs w:val="22"/>
          <w:color w:val="auto"/>
        </w:rPr>
      </w:pPr>
    </w:p>
    <w:p>
      <w:pPr>
        <w:jc w:val="both"/>
        <w:ind w:left="7" w:firstLine="1289"/>
        <w:spacing w:after="0" w:line="266" w:lineRule="auto"/>
        <w:tabs>
          <w:tab w:leader="none" w:pos="195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dated the Effective Date and signed by the president or a Financial Officer of the Borrower, certifying (i) compliance with the conditions set forth in paragraphs (a), (b) and</w:t>
      </w:r>
    </w:p>
    <w:p>
      <w:pPr>
        <w:spacing w:after="0" w:line="1" w:lineRule="exact"/>
        <w:rPr>
          <w:rFonts w:ascii="Times New Roman" w:cs="Times New Roman" w:eastAsia="Times New Roman" w:hAnsi="Times New Roman"/>
          <w:sz w:val="21"/>
          <w:szCs w:val="21"/>
          <w:color w:val="auto"/>
        </w:rPr>
      </w:pPr>
    </w:p>
    <w:p>
      <w:pPr>
        <w:ind w:left="7" w:hanging="7"/>
        <w:spacing w:after="0" w:line="261" w:lineRule="auto"/>
        <w:tabs>
          <w:tab w:leader="none" w:pos="30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Section 4.02 and (ii) the Borrower and its Subsidiaries, after giving effect to the Effective Date and any Borrowing on such date, taken as a whole, are Solvent.</w:t>
      </w:r>
    </w:p>
    <w:p>
      <w:pPr>
        <w:spacing w:after="0" w:line="141" w:lineRule="exact"/>
        <w:rPr>
          <w:rFonts w:ascii="Times New Roman" w:cs="Times New Roman" w:eastAsia="Times New Roman" w:hAnsi="Times New Roman"/>
          <w:sz w:val="22"/>
          <w:szCs w:val="22"/>
          <w:color w:val="auto"/>
        </w:rPr>
      </w:pPr>
    </w:p>
    <w:p>
      <w:pPr>
        <w:jc w:val="both"/>
        <w:ind w:left="7" w:firstLine="1289"/>
        <w:spacing w:after="0" w:line="263" w:lineRule="auto"/>
        <w:tabs>
          <w:tab w:leader="none" w:pos="195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Effective Date, including, to the extent invoiced, reimbursement or payment of all out of pocket expenses and fees of counsel to the Administrative Agent and the Lenders required to be reimbursed or paid by the Borrower.</w:t>
      </w:r>
    </w:p>
    <w:p>
      <w:pPr>
        <w:spacing w:after="0" w:line="153" w:lineRule="exact"/>
        <w:rPr>
          <w:rFonts w:ascii="Times New Roman" w:cs="Times New Roman" w:eastAsia="Times New Roman" w:hAnsi="Times New Roman"/>
          <w:sz w:val="22"/>
          <w:szCs w:val="22"/>
          <w:color w:val="auto"/>
        </w:rPr>
      </w:pPr>
    </w:p>
    <w:p>
      <w:pPr>
        <w:ind w:left="7" w:firstLine="1289"/>
        <w:spacing w:after="0" w:line="271" w:lineRule="auto"/>
        <w:tabs>
          <w:tab w:leader="none" w:pos="195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audited annual financial statements and the unaudited quarterly financial statements of the Borrower referred to in Section 3.04(a).</w:t>
      </w:r>
    </w:p>
    <w:p>
      <w:pPr>
        <w:spacing w:after="0" w:line="144" w:lineRule="exact"/>
        <w:rPr>
          <w:rFonts w:ascii="Times New Roman" w:cs="Times New Roman" w:eastAsia="Times New Roman" w:hAnsi="Times New Roman"/>
          <w:sz w:val="22"/>
          <w:szCs w:val="22"/>
          <w:color w:val="auto"/>
        </w:rPr>
      </w:pPr>
    </w:p>
    <w:p>
      <w:pPr>
        <w:jc w:val="both"/>
        <w:ind w:left="7" w:firstLine="1289"/>
        <w:spacing w:after="0" w:line="262" w:lineRule="auto"/>
        <w:tabs>
          <w:tab w:leader="none" w:pos="195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Business Days prior to the Effective Date and (ii) to the extent the Borrower qualifies as a “legal entity customer” under the Beneficial Ownership Regulation, at least five days prior to the Effective Date, any Lender that has requested, in a written notice to the Borrower at least 10 Business Days prior to the Effective Date, a Beneficial Ownership Certification in relation to the Borrower shall have received such Beneficial Ownership Certification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the execution and delivery by such Lender of its signature page to this Agreement, the condition set forth in this clause (ii) shall be deemed to be satisfied).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67</w:t>
      </w:r>
    </w:p>
    <w:p>
      <w:pPr>
        <w:sectPr>
          <w:pgSz w:w="11920" w:h="16838" w:orient="portrait"/>
          <w:cols w:equalWidth="0" w:num="1">
            <w:col w:w="11267"/>
          </w:cols>
          <w:pgMar w:left="333" w:top="1417" w:right="318" w:bottom="1440" w:gutter="0" w:footer="0" w:header="0"/>
        </w:sectPr>
      </w:pPr>
    </w:p>
    <w:bookmarkStart w:id="97" w:name="page98"/>
    <w:bookmarkEnd w:id="97"/>
    <w:p>
      <w:pPr>
        <w:jc w:val="both"/>
        <w:ind w:firstLine="1289"/>
        <w:spacing w:after="0" w:line="295" w:lineRule="auto"/>
        <w:tabs>
          <w:tab w:leader="none" w:pos="194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governmental and third party approvals necessary in connection with the financing contemplated hereby and the continuing operations of the Borrower and its Subsidiaries shall have been obtained and be in full force and effect.</w:t>
      </w:r>
    </w:p>
    <w:p>
      <w:pPr>
        <w:spacing w:after="0" w:line="1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Effective Date, and such notice shall be conclusive and binding. Notwithstanding the foregoing, the obligations of the Lenders to make Loans hereunder shall not become effective unless each of the foregoing conditions is satisfied (or waived pursuant to Section 9.02) at or prior to 11:59 p.m., New York City time, on February 4, 2022 (and, in the event such conditions are not so satisfied or waived, the Commitments shall terminate at such time).</w:t>
      </w:r>
    </w:p>
    <w:p>
      <w:pPr>
        <w:spacing w:after="0" w:line="15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Each Credit Event</w:t>
      </w:r>
      <w:r>
        <w:rPr>
          <w:rFonts w:ascii="Times New Roman" w:cs="Times New Roman" w:eastAsia="Times New Roman" w:hAnsi="Times New Roman"/>
          <w:sz w:val="21"/>
          <w:szCs w:val="21"/>
          <w:color w:val="auto"/>
        </w:rPr>
        <w:t>. The obligation of each Lender to make a Loan on the occasion of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is subject to the satisfaction of the following conditions:</w:t>
      </w:r>
    </w:p>
    <w:p>
      <w:pPr>
        <w:spacing w:after="0" w:line="209" w:lineRule="exact"/>
        <w:rPr>
          <w:sz w:val="20"/>
          <w:szCs w:val="20"/>
          <w:color w:val="auto"/>
        </w:rPr>
      </w:pPr>
    </w:p>
    <w:p>
      <w:pPr>
        <w:jc w:val="both"/>
        <w:ind w:firstLine="1289"/>
        <w:spacing w:after="0" w:line="251"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Borrower set forth in this Agreement shall be true and correct in all material respects </w:t>
      </w:r>
      <w:r>
        <w:rPr>
          <w:rFonts w:ascii="Times New Roman" w:cs="Times New Roman" w:eastAsia="Times New Roman" w:hAnsi="Times New Roman"/>
          <w:sz w:val="22"/>
          <w:szCs w:val="22"/>
          <w:u w:val="single" w:color="auto"/>
          <w:color w:val="0E32E1"/>
        </w:rPr>
        <w:t>(except that any such representation and warranty that is qualified as to “materiality” or “Material Adverse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Effect” are true and correct in all respects as so qualified)</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on and as of the date of such Borrowing, except to the extent that such</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 xml:space="preserve">representations and warranties specifically refer to an earlier date, in which case they shall have been true and correct in all material respects </w:t>
      </w:r>
      <w:r>
        <w:rPr>
          <w:rFonts w:ascii="Times New Roman" w:cs="Times New Roman" w:eastAsia="Times New Roman" w:hAnsi="Times New Roman"/>
          <w:sz w:val="22"/>
          <w:szCs w:val="22"/>
          <w:u w:val="single" w:color="auto"/>
          <w:color w:val="0E32E1"/>
        </w:rPr>
        <w:t>(except that any such representation and warranty that is qualified as to “materiality” or “Material Adverse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E32E1"/>
        </w:rPr>
        <w:t>Effect” are true and correct in all respects as so qualified)</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of such earlier date.</w:t>
      </w:r>
    </w:p>
    <w:p>
      <w:pPr>
        <w:spacing w:after="0" w:line="154" w:lineRule="exact"/>
        <w:rPr>
          <w:rFonts w:ascii="Times New Roman" w:cs="Times New Roman" w:eastAsia="Times New Roman" w:hAnsi="Times New Roman"/>
          <w:sz w:val="22"/>
          <w:szCs w:val="22"/>
          <w:color w:val="auto"/>
        </w:rPr>
      </w:pPr>
    </w:p>
    <w:p>
      <w:pPr>
        <w:ind w:firstLine="1289"/>
        <w:spacing w:after="0" w:line="284"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no Default or Event of Default shall have occurred and be continuing.</w:t>
      </w:r>
    </w:p>
    <w:p>
      <w:pPr>
        <w:spacing w:after="0" w:line="11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be in Financial Covenant Compliance at the time of and immediately after giving effect</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such Borrowing.</w:t>
      </w:r>
    </w:p>
    <w:p>
      <w:pPr>
        <w:spacing w:after="0" w:line="193"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a Borrowing Request by the deadlines specified in Section 2.03.</w:t>
      </w:r>
    </w:p>
    <w:p>
      <w:pPr>
        <w:spacing w:after="0" w:line="192"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Commencing on February 28, 2022, the 3-Month Rolling Average Delinquent Receivable Ratio for the most recently ended Due Period does not exceed 8% and (ii) the Cumulative Default Ratio for the Quarterly Vintage for the most recently ended calendar quarter (commencing with the Quarterly Vintage for the calendar quarter ending March 31, 2022) does not exceed 9%.</w:t>
      </w:r>
    </w:p>
    <w:p>
      <w:pPr>
        <w:spacing w:after="0" w:line="162"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 certificate of a Financial Officer of the Borrower dated as of the date of the proposed Borrowing certifying as to the satisfaction of the conditions specified in clauses (a) through (e) above.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20" w:h="16838" w:orient="portrait"/>
          <w:cols w:equalWidth="0" w:num="1">
            <w:col w:w="11260"/>
          </w:cols>
          <w:pgMar w:left="340" w:top="1417" w:right="318" w:bottom="1440" w:gutter="0" w:footer="0" w:header="0"/>
        </w:sectPr>
      </w:pPr>
    </w:p>
    <w:bookmarkStart w:id="98" w:name="page99"/>
    <w:bookmarkEnd w:id="98"/>
    <w:p>
      <w:pPr>
        <w:spacing w:after="0" w:line="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ARTICLE V</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24" w:lineRule="exact"/>
        <w:rPr>
          <w:sz w:val="20"/>
          <w:szCs w:val="20"/>
          <w:color w:val="auto"/>
        </w:rPr>
      </w:pPr>
    </w:p>
    <w:p>
      <w:pPr>
        <w:ind w:right="40" w:firstLine="1296"/>
        <w:spacing w:after="0" w:line="288" w:lineRule="auto"/>
        <w:rPr>
          <w:sz w:val="20"/>
          <w:szCs w:val="20"/>
          <w:color w:val="auto"/>
        </w:rPr>
      </w:pPr>
      <w:r>
        <w:rPr>
          <w:rFonts w:ascii="Times New Roman" w:cs="Times New Roman" w:eastAsia="Times New Roman" w:hAnsi="Times New Roman"/>
          <w:sz w:val="21"/>
          <w:szCs w:val="21"/>
          <w:color w:val="auto"/>
        </w:rPr>
        <w:t>Until the Commitments have expired or been terminated and the principal of and interest on each Loan and all fees payable hereunder shall have been paid in full, the Borrower (and in the case of Sections 5.01, 5.03, 5.04, 5.05, 5.06, 5.07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 only, Holdings) covenants and agrees with the Lenders that:</w:t>
      </w:r>
    </w:p>
    <w:p>
      <w:pPr>
        <w:spacing w:after="0" w:line="233" w:lineRule="exact"/>
        <w:rPr>
          <w:sz w:val="20"/>
          <w:szCs w:val="20"/>
          <w:color w:val="auto"/>
        </w:rPr>
      </w:pPr>
    </w:p>
    <w:p>
      <w:pPr>
        <w:ind w:left="640"/>
        <w:spacing w:after="0"/>
        <w:tabs>
          <w:tab w:leader="none" w:pos="260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2"/>
          <w:szCs w:val="22"/>
          <w:u w:val="single" w:color="auto"/>
          <w:color w:val="auto"/>
        </w:rPr>
        <w:t>Financial Statements; Ratings Change and Other Information</w:t>
      </w:r>
      <w:r>
        <w:rPr>
          <w:rFonts w:ascii="Times New Roman" w:cs="Times New Roman" w:eastAsia="Times New Roman" w:hAnsi="Times New Roman"/>
          <w:sz w:val="22"/>
          <w:szCs w:val="22"/>
          <w:color w:val="auto"/>
        </w:rPr>
        <w:t>. The Borrower will furnish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each Lender:</w:t>
      </w:r>
    </w:p>
    <w:p>
      <w:pPr>
        <w:spacing w:after="0" w:line="209" w:lineRule="exact"/>
        <w:rPr>
          <w:sz w:val="20"/>
          <w:szCs w:val="20"/>
          <w:color w:val="auto"/>
        </w:rPr>
      </w:pPr>
    </w:p>
    <w:p>
      <w:pPr>
        <w:jc w:val="both"/>
        <w:ind w:firstLine="1289"/>
        <w:spacing w:after="0" w:line="247" w:lineRule="auto"/>
        <w:tabs>
          <w:tab w:leader="none" w:pos="19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earlier of (x) 120 days after the end of each fiscal year of Holdings and (y) the date by which Holdings is required by the SEC to file such financial statements (including any period as would be permitted by Rule 12b-25 under the Exchange Act or any special order of the SEC), its audited consolidated and consolidating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commentary or exception and without any qualification or exception as to the scope of such audit) to the effect that such consolidated and consolidating financial statements present fairly in all material respects the financial condition and results of operations of Holdings and its consolidated and consolidating Subsidiaries on a consolidated and consolidating basis in accordance with GAAP consistently applied;</w:t>
      </w:r>
    </w:p>
    <w:p>
      <w:pPr>
        <w:spacing w:after="0" w:line="177" w:lineRule="exact"/>
        <w:rPr>
          <w:rFonts w:ascii="Times New Roman" w:cs="Times New Roman" w:eastAsia="Times New Roman" w:hAnsi="Times New Roman"/>
          <w:sz w:val="22"/>
          <w:szCs w:val="22"/>
          <w:color w:val="auto"/>
        </w:rPr>
      </w:pPr>
    </w:p>
    <w:p>
      <w:pPr>
        <w:jc w:val="both"/>
        <w:ind w:firstLine="1289"/>
        <w:spacing w:after="0" w:line="250" w:lineRule="auto"/>
        <w:tabs>
          <w:tab w:leader="none" w:pos="19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earlier of (x) 45 days after the end of each of the first three fiscal quarters of each fiscal year of Holdings and (y) the date by which Holdings is required by the SEC to file such financial statements (including any time period as would be permitted by Rule 12b-25 under the Exchange Act or any special order of the SEC), its consolidated and consolidating balance sheet and related statements of operations and cash flows as of the end of and for such fiscal quarter and the then elapsed portion of the fiscal year, setting forth in each case in comparative form the figures as of the end of and for the corresponding period or periods of the previous fiscal year, all certified by one of its Financial Officers as presenting fairly in all material respects the financial condition and results of operations of Holdings and its consolidated and consolidating Subsidiaries on a consolidated and consolidating basis in accordance with GAAP consistently applied, subject to normal year-end audit adjustments and the absence of footnotes;</w:t>
      </w:r>
    </w:p>
    <w:p>
      <w:pPr>
        <w:spacing w:after="0" w:line="166" w:lineRule="exact"/>
        <w:rPr>
          <w:rFonts w:ascii="Times New Roman" w:cs="Times New Roman" w:eastAsia="Times New Roman" w:hAnsi="Times New Roman"/>
          <w:sz w:val="22"/>
          <w:szCs w:val="22"/>
          <w:color w:val="auto"/>
        </w:rPr>
      </w:pPr>
    </w:p>
    <w:p>
      <w:pPr>
        <w:jc w:val="both"/>
        <w:ind w:firstLine="1289"/>
        <w:spacing w:after="0" w:line="275" w:lineRule="auto"/>
        <w:tabs>
          <w:tab w:leader="none" w:pos="194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any delivery of financial statements under clause (a) or (b) above, a certificate of a Financial Officer of the Borrower substantially in the form of Exhibit H (or in such other form as may be reasonably satisfactory to the Administrative Agent) (i) certifying as to whether a Default or Event of Default has occurred and, if a Default or Event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20" w:h="16838" w:orient="portrait"/>
          <w:cols w:equalWidth="0" w:num="1">
            <w:col w:w="11260"/>
          </w:cols>
          <w:pgMar w:left="340" w:top="1440" w:right="318" w:bottom="1440" w:gutter="0" w:footer="0" w:header="0"/>
        </w:sectPr>
      </w:pPr>
    </w:p>
    <w:bookmarkStart w:id="99" w:name="page100"/>
    <w:bookmarkEnd w:id="99"/>
    <w:p>
      <w:pPr>
        <w:ind w:left="7"/>
        <w:spacing w:after="0"/>
        <w:rPr>
          <w:sz w:val="20"/>
          <w:szCs w:val="20"/>
          <w:color w:val="auto"/>
        </w:rPr>
      </w:pPr>
      <w:r>
        <w:rPr>
          <w:rFonts w:ascii="Times New Roman" w:cs="Times New Roman" w:eastAsia="Times New Roman" w:hAnsi="Times New Roman"/>
          <w:sz w:val="22"/>
          <w:szCs w:val="22"/>
          <w:color w:val="auto"/>
        </w:rPr>
        <w:t>of Default has occurred, specifying the details thereof and any action taken or proposed to be taken with respect thereto,</w:t>
      </w:r>
    </w:p>
    <w:p>
      <w:pPr>
        <w:spacing w:after="0" w:line="28" w:lineRule="exact"/>
        <w:rPr>
          <w:sz w:val="20"/>
          <w:szCs w:val="20"/>
          <w:color w:val="auto"/>
        </w:rPr>
      </w:pPr>
    </w:p>
    <w:p>
      <w:pPr>
        <w:jc w:val="both"/>
        <w:ind w:left="7" w:hanging="7"/>
        <w:spacing w:after="0" w:line="249" w:lineRule="auto"/>
        <w:tabs>
          <w:tab w:leader="none" w:pos="3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setting forth reasonably detailed calculations of the Financial Covenants set forth in Section 6.10, whether or not such Financial Covenants are required to be tested, and (iii) stating whether any change in GAAP or in the application thereof has occurred since the date of the audited or unaudited financial statements referred to in Section 3.04 and, if any such change has occurred, specifying the effect of such change on the financial statements accompanying such certificate;</w:t>
      </w:r>
    </w:p>
    <w:p>
      <w:pPr>
        <w:spacing w:after="0" w:line="168" w:lineRule="exact"/>
        <w:rPr>
          <w:rFonts w:ascii="Times New Roman" w:cs="Times New Roman" w:eastAsia="Times New Roman" w:hAnsi="Times New Roman"/>
          <w:sz w:val="22"/>
          <w:szCs w:val="22"/>
          <w:color w:val="auto"/>
        </w:rPr>
      </w:pPr>
    </w:p>
    <w:p>
      <w:pPr>
        <w:jc w:val="both"/>
        <w:ind w:left="7" w:firstLine="1289"/>
        <w:spacing w:after="0" w:line="257" w:lineRule="auto"/>
        <w:tabs>
          <w:tab w:leader="none" w:pos="195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Holdings, the Borrower or any Subsidiary with the SEC or any Governmental Authority succeeding to any or all of the functions of said Commission, or with any national securities exchange;</w:t>
      </w:r>
    </w:p>
    <w:p>
      <w:pPr>
        <w:spacing w:after="0" w:line="153" w:lineRule="exact"/>
        <w:rPr>
          <w:rFonts w:ascii="Times New Roman" w:cs="Times New Roman" w:eastAsia="Times New Roman" w:hAnsi="Times New Roman"/>
          <w:sz w:val="22"/>
          <w:szCs w:val="22"/>
          <w:color w:val="auto"/>
        </w:rPr>
      </w:pPr>
    </w:p>
    <w:p>
      <w:pPr>
        <w:jc w:val="both"/>
        <w:ind w:left="7" w:firstLine="1289"/>
        <w:spacing w:after="0" w:line="229" w:lineRule="auto"/>
        <w:tabs>
          <w:tab w:leader="none" w:pos="195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end of each calendar month, commencing with the calendar month ending February 28, 2022, the Monthly Receivables Report setting forth the 3-Month Rolling Average Delinquent Receivable Ratio for the most recently ended Due Period and (ii) no later than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end of each calendar quarter, commencing with the quarter ending March 31, 2022, the Quarterly Receivables Report setting forth the Cumulative Default Ratio for the Quarterly Vintage for the most recently ended calendar quarter, in each case with reasonable details and certified by a Financial Officer of the Borrower;</w:t>
      </w:r>
    </w:p>
    <w:p>
      <w:pPr>
        <w:spacing w:after="0" w:line="180" w:lineRule="exact"/>
        <w:rPr>
          <w:rFonts w:ascii="Times New Roman" w:cs="Times New Roman" w:eastAsia="Times New Roman" w:hAnsi="Times New Roman"/>
          <w:sz w:val="22"/>
          <w:szCs w:val="22"/>
          <w:color w:val="auto"/>
        </w:rPr>
      </w:pPr>
    </w:p>
    <w:p>
      <w:pPr>
        <w:jc w:val="both"/>
        <w:ind w:left="7" w:firstLine="1289"/>
        <w:spacing w:after="0" w:line="257" w:lineRule="auto"/>
        <w:tabs>
          <w:tab w:leader="none" w:pos="195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copies of accountant letters submitted to the board of directors (or the audit committee of the board of directors) of the Borrower by independent accountants in connection with the accounts or books of the Borrower or any Subsidiary; and</w:t>
      </w:r>
    </w:p>
    <w:p>
      <w:pPr>
        <w:spacing w:after="0" w:line="159" w:lineRule="exact"/>
        <w:rPr>
          <w:rFonts w:ascii="Times New Roman" w:cs="Times New Roman" w:eastAsia="Times New Roman" w:hAnsi="Times New Roman"/>
          <w:sz w:val="22"/>
          <w:szCs w:val="22"/>
          <w:color w:val="auto"/>
        </w:rPr>
      </w:pPr>
    </w:p>
    <w:p>
      <w:pPr>
        <w:jc w:val="both"/>
        <w:ind w:left="7" w:firstLine="1289"/>
        <w:spacing w:after="0" w:line="253" w:lineRule="auto"/>
        <w:tabs>
          <w:tab w:leader="none" w:pos="195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(x) such other information regarding the operations, business affairs and financial condition of the Borrower or any Subsidiary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79" w:lineRule="exact"/>
        <w:rPr>
          <w:sz w:val="20"/>
          <w:szCs w:val="20"/>
          <w:color w:val="auto"/>
        </w:rPr>
      </w:pPr>
    </w:p>
    <w:p>
      <w:pPr>
        <w:jc w:val="both"/>
        <w:ind w:left="7" w:firstLine="1296"/>
        <w:spacing w:after="0" w:line="277"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Section 5.01(a), (b) or (d)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Holdings’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Section 5.01(a) and (b) only: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70</w:t>
      </w:r>
    </w:p>
    <w:p>
      <w:pPr>
        <w:sectPr>
          <w:pgSz w:w="11920" w:h="16838" w:orient="portrait"/>
          <w:cols w:equalWidth="0" w:num="1">
            <w:col w:w="11267"/>
          </w:cols>
          <w:pgMar w:left="333" w:top="1417" w:right="318" w:bottom="1440" w:gutter="0" w:footer="0" w:header="0"/>
        </w:sectPr>
      </w:pPr>
    </w:p>
    <w:bookmarkStart w:id="100" w:name="page101"/>
    <w:bookmarkEnd w:id="100"/>
    <w:p>
      <w:pPr>
        <w:jc w:val="both"/>
        <w:ind w:left="7" w:hanging="7"/>
        <w:spacing w:after="0" w:line="275" w:lineRule="auto"/>
        <w:tabs>
          <w:tab w:leader="none" w:pos="38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99" w:lineRule="exact"/>
        <w:rPr>
          <w:sz w:val="20"/>
          <w:szCs w:val="20"/>
          <w:color w:val="auto"/>
        </w:rPr>
      </w:pPr>
    </w:p>
    <w:p>
      <w:pPr>
        <w:jc w:val="both"/>
        <w:ind w:left="7" w:firstLine="1296"/>
        <w:spacing w:after="0" w:line="275" w:lineRule="auto"/>
        <w:rPr>
          <w:sz w:val="20"/>
          <w:szCs w:val="20"/>
          <w:color w:val="auto"/>
        </w:rPr>
      </w:pPr>
      <w:r>
        <w:rPr>
          <w:rFonts w:ascii="Times New Roman" w:cs="Times New Roman" w:eastAsia="Times New Roman" w:hAnsi="Times New Roman"/>
          <w:sz w:val="22"/>
          <w:szCs w:val="22"/>
          <w:color w:val="auto"/>
        </w:rPr>
        <w:t>The financial statements, information and other documents required to be provided pursuant to Section 5.01(a), (b) or (d) may be those of (i) the Borrower or (ii) any direct or indirect parent of the Borrower (any such entity described in clause (i) or (ii), a “</w:t>
      </w:r>
      <w:r>
        <w:rPr>
          <w:rFonts w:ascii="Times New Roman" w:cs="Times New Roman" w:eastAsia="Times New Roman" w:hAnsi="Times New Roman"/>
          <w:sz w:val="22"/>
          <w:szCs w:val="22"/>
          <w:u w:val="single" w:color="auto"/>
          <w:color w:val="auto"/>
        </w:rPr>
        <w:t>Reporting Entity</w:t>
      </w:r>
      <w:r>
        <w:rPr>
          <w:rFonts w:ascii="Times New Roman" w:cs="Times New Roman" w:eastAsia="Times New Roman" w:hAnsi="Times New Roman"/>
          <w:sz w:val="22"/>
          <w:szCs w:val="22"/>
          <w:color w:val="auto"/>
        </w:rPr>
        <w:t>”), so long as in the case of clause (ii) either (1) such direct or indirect parent of the Borrower shall not conduct, transact or otherwise engage, or commit to conduct, transact or otherwise engage, in any business or operations other than its direct or indirect ownership of all of the Equity Interests in, and its management, of the Borrower or (2) if otherwise, the financial information so delivered shall be accompanied by the consolidating financial statements of Holdings and its Subsidiaries prepared in accordance with GAAP and a reasonably detailed description of the material quantitative differences between the information relating to such parent, on the one hand, and the information relating to Holdings and its Subsidiaries on a standalone basis, on the other hand.</w:t>
      </w:r>
    </w:p>
    <w:p>
      <w:pPr>
        <w:spacing w:after="0" w:line="186" w:lineRule="exact"/>
        <w:rPr>
          <w:sz w:val="20"/>
          <w:szCs w:val="20"/>
          <w:color w:val="auto"/>
        </w:rPr>
      </w:pPr>
    </w:p>
    <w:p>
      <w:pPr>
        <w:jc w:val="both"/>
        <w:ind w:left="7" w:firstLine="1296"/>
        <w:spacing w:after="0" w:line="282" w:lineRule="auto"/>
        <w:rPr>
          <w:sz w:val="20"/>
          <w:szCs w:val="20"/>
          <w:color w:val="auto"/>
        </w:rPr>
      </w:pPr>
      <w:r>
        <w:rPr>
          <w:rFonts w:ascii="Times New Roman" w:cs="Times New Roman" w:eastAsia="Times New Roman" w:hAnsi="Times New Roman"/>
          <w:sz w:val="22"/>
          <w:szCs w:val="22"/>
          <w:color w:val="auto"/>
        </w:rPr>
        <w:t>If at any time the Borrower or any direct or indirect parent of the Borrower has made a good faith determination to file a registration statement with the SEC with respect to a public offering of such entity’s capital stock, the Borrower will not be required to disclose any information or take any actions that, in the good faith view of the Borrower, would violate the securities laws or the SEC’s “gun jumping” rules.</w:t>
      </w:r>
    </w:p>
    <w:p>
      <w:pPr>
        <w:spacing w:after="0" w:line="175" w:lineRule="exact"/>
        <w:rPr>
          <w:sz w:val="20"/>
          <w:szCs w:val="20"/>
          <w:color w:val="auto"/>
        </w:rPr>
      </w:pPr>
    </w:p>
    <w:p>
      <w:pPr>
        <w:jc w:val="both"/>
        <w:ind w:left="7" w:firstLine="1296"/>
        <w:spacing w:after="0" w:line="279" w:lineRule="auto"/>
        <w:rPr>
          <w:sz w:val="20"/>
          <w:szCs w:val="20"/>
          <w:color w:val="auto"/>
        </w:rPr>
      </w:pPr>
      <w:r>
        <w:rPr>
          <w:rFonts w:ascii="Times New Roman" w:cs="Times New Roman" w:eastAsia="Times New Roman" w:hAnsi="Times New Roman"/>
          <w:sz w:val="22"/>
          <w:szCs w:val="22"/>
          <w:color w:val="auto"/>
        </w:rPr>
        <w:t>Notwithstanding the foregoing, (a) neither the Borrower nor another Reporting Entity will be required to deliver any information, certificates or reports that would otherwise be required by (i) Section 302 or Section 404 of the Sarbanes-Oxley Act of 2002, or related Items 307 or 308 of Regulation S-K or (ii) Item 10(e) of Regulation S-K promulgated by the SEC with respect to any non-generally accepted accounting principles financial measures contained therein, (b) such reports will not be required to contain financial information required by Rule 3-09, Rule 3-10 or Rule 3-16 (or any successor provision, including Rule 13-01 and Rule 13-02)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71</w:t>
      </w:r>
    </w:p>
    <w:p>
      <w:pPr>
        <w:sectPr>
          <w:pgSz w:w="11920" w:h="16838" w:orient="portrait"/>
          <w:cols w:equalWidth="0" w:num="1">
            <w:col w:w="11267"/>
          </w:cols>
          <w:pgMar w:left="333" w:top="1430" w:right="318"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22"/>
          <w:szCs w:val="22"/>
          <w:color w:val="auto"/>
        </w:rPr>
        <w:t>of Regulation S-X or include any exhibits or certifications required by Form 10-K, Form 10-Q or Form 8-K (or any successor or comparable forms) or related rules under Regulation S-K and (c) such reports shall be subject to exceptions, exclusions and other differences consistent with the presentation of financial and other information to the Lenders prior to the date of this Agreement and shall not be required to present compensation or beneficial ownership information.</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and each Lender prompt written notice of the following:</w:t>
      </w:r>
    </w:p>
    <w:p>
      <w:pPr>
        <w:spacing w:after="0" w:line="171" w:lineRule="exact"/>
        <w:rPr>
          <w:sz w:val="20"/>
          <w:szCs w:val="20"/>
          <w:color w:val="auto"/>
        </w:rPr>
      </w:pPr>
    </w:p>
    <w:p>
      <w:pPr>
        <w:ind w:left="1940" w:hanging="651"/>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192"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Proceeding by or before any arbitrator or Governmental Authority against or affecting the Borrower or any Significant Subsidiary as to which there is a reasonable possibility of an adverse determination and which, if adversely determined, would reasonably be expected to result in a Material Adverse Effect;</w:t>
      </w:r>
    </w:p>
    <w:p>
      <w:pPr>
        <w:spacing w:after="0" w:line="153"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would reasonably be expected to result in a Material Adverse Effect;</w:t>
      </w:r>
    </w:p>
    <w:p>
      <w:pPr>
        <w:spacing w:after="0" w:line="144" w:lineRule="exact"/>
        <w:rPr>
          <w:rFonts w:ascii="Times New Roman" w:cs="Times New Roman" w:eastAsia="Times New Roman" w:hAnsi="Times New Roman"/>
          <w:sz w:val="22"/>
          <w:szCs w:val="22"/>
          <w:color w:val="auto"/>
        </w:rPr>
      </w:pPr>
    </w:p>
    <w:p>
      <w:pPr>
        <w:jc w:val="both"/>
        <w:ind w:firstLine="1289"/>
        <w:spacing w:after="0" w:line="252" w:lineRule="auto"/>
        <w:tabs>
          <w:tab w:leader="none" w:pos="19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action arising under any Environmental Law or of any noncompliance by the Borrower or any Subsidiary with any Environmental Law or any permit, approval, license or other authorization required thereunder as to which there is a reasonable possibility of an adverse determination and which, if adversely determined, would reasonably be expected to result in a Material Adverse Effect; and</w:t>
      </w:r>
    </w:p>
    <w:p>
      <w:pPr>
        <w:spacing w:after="0" w:line="165"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would reasonably be expected to result in, a Material Adverse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196"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22"/>
          <w:szCs w:val="22"/>
          <w:color w:val="auto"/>
        </w:rPr>
        <w:t>Each notice delivered under this Section (i) shall be in writing and (ii) shall be accompanied by a statement of a Responsible Officer or other executive officer of the Borrower setting forth the details of the event or development requiring such notice and any action taken or proposed to be taken with respect thereto. Information required to be delivered pursuant to this Section 5.02 may be delivered electronically and if so delivered, shall be deemed to have been delivered on the date on which such documents are filed for public availability on the SEC’s Electronic Data Gathering and Retrieval System.</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Each of Holdings, the Borrower will, and will cause each of its Subsidiaries to, do or cause to be done all things necessary to preserve, renew and keep in full force and effect (i) its legal existence and (ii) the rights, licenses, permits, privileges and franchises material to the conduct of the business of the Borrower and its Subsidiaries, in each case except (other than with respect to Holdings and the Borrower in the case of the preceding clause (i)) where the failure to do so would not reasonably be expected to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20" w:h="16838" w:orient="portrait"/>
          <w:cols w:equalWidth="0" w:num="1">
            <w:col w:w="11260"/>
          </w:cols>
          <w:pgMar w:left="340" w:top="1430" w:right="318" w:bottom="1440" w:gutter="0" w:footer="0" w:header="0"/>
        </w:sectPr>
      </w:pPr>
    </w:p>
    <w:bookmarkStart w:id="102" w:name="page103"/>
    <w:bookmarkEnd w:id="102"/>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result in a Material Adverse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Section 6.03.</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Holdings and the Borrower will, and will cause each of their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Holdings and the Borrower will, and will cause each of their Subsidiaries to, (a) keep and maintain all property material to the conduct of its business in good working order and condition, ordinary wear and tear excepted, and except if failure to do so would not reasonably be expected to have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Books and Records; Inspection Rights</w:t>
      </w:r>
      <w:r>
        <w:rPr>
          <w:rFonts w:ascii="Times New Roman" w:cs="Times New Roman" w:eastAsia="Times New Roman" w:hAnsi="Times New Roman"/>
          <w:sz w:val="21"/>
          <w:szCs w:val="21"/>
          <w:color w:val="auto"/>
        </w:rPr>
        <w:t xml:space="preserve">. Holdings and the Borrower will, and will cause each of their Subsidiaries to, keep proper books of record and account in which full, true and correct entries in all material respects are made of all material financial dealings and transactions in relation to its business and activities. Holdings and the Borrower will, and will cause each of their Subsidiaries to, permit any representatives designated by the Administrative Agent or any Lender, upon at least 5 Business Days’ notice, subject to the confidentiality requirements of Section 9.12, to examine and make extracts from its books and records (including the form of Receivables Agreements, Receivables Program Agreements, Underwriting/Servicing Policies, information processes and controls, and compliance practices and procedures), to discuss its affairs, finances and condition with its officers and independent accountants, all at such reasonable times and as often as reasonably requested;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an Event of Default has occurred and is continuing, there shall be no more than 2 such requests in any fiscal year.</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of Holdings and the Borrower will, and will cause each of their Subsidiaries to, comply with all laws, rules, regulations and orders of any Governmental Authority applicable to it or its property, except where the failure to do so, individually or in the aggregate, could not reasonably be expected to result in a Material Adverse Effect. Each of Holdings and the Borrower will maintain in effect and enforce policies and procedures reasonably designed to promote compliance by Holdings, the Borrower, their Subsidiaries and their respective directors, officers, employees, advisors and agents with Anti-Corruption Laws and applicable Sanctions.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will be used only for general corporate purposes of the Borrower and its Subsidiaries in the ordinary course of business. No part of the proceeds of any Loan will be used, whether directly or indirectly, for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20" w:h="16838" w:orient="portrait"/>
          <w:cols w:equalWidth="0" w:num="1">
            <w:col w:w="11260"/>
          </w:cols>
          <w:pgMar w:left="340" w:top="1413" w:right="318" w:bottom="1440" w:gutter="0" w:footer="0" w:header="0"/>
        </w:sectPr>
      </w:pPr>
    </w:p>
    <w:bookmarkStart w:id="103" w:name="page104"/>
    <w:bookmarkEnd w:id="103"/>
    <w:p>
      <w:pPr>
        <w:jc w:val="both"/>
        <w:spacing w:after="0" w:line="263" w:lineRule="auto"/>
        <w:rPr>
          <w:sz w:val="20"/>
          <w:szCs w:val="20"/>
          <w:color w:val="auto"/>
        </w:rPr>
      </w:pPr>
      <w:r>
        <w:rPr>
          <w:rFonts w:ascii="Times New Roman" w:cs="Times New Roman" w:eastAsia="Times New Roman" w:hAnsi="Times New Roman"/>
          <w:sz w:val="21"/>
          <w:szCs w:val="21"/>
          <w:color w:val="auto"/>
        </w:rPr>
        <w:t>any purpose that entails a violation of any of the regulations of the Federal Reserve Board, including Regulations T, U and X.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If, as of the date of the most recently available financial statements delivered pursuant to Section 5.01(a) or 5.01(b), as the case may be, any Person shall have become a Material Domestic Subsidiary, then Holdings and the Borrower shall, (i) within 45 days thereafter (or such longer period of time as the Administrative Agent may agree in its sole discretion) after delivery of such financial statements, cause such Material Domestic Subsidiary to enter into a Guaranty, or, if a Guaranty has previously been entered into by a Material Domestic Subsidiary (and remains in effect), a joinder agreement to such Guaranty in form and substance reasonably satisfactory to the Administrative Agent, and (ii) on or prior to the date any Guaranty or joinder agreement to a Guaranty has been delivered pursuant to clause (i) above, deliver to the Administrative Agent and each Lender all documentation and other information required by bank regulatory authorities under applicable “know-your-customer” and anti-money laundering rules and regulations, including the USA Patriot Act. For the avoidance of doubt, this Section 5.09 shall not apply to any Excluded Subsidiary. Excluded Subsidiaries as of the Effective Date are set forth on Schedule 5.09. If requested by the Administrative Agent, the Administrative Agent shall receive an opinion of counsel for the Borrower in customary form and substance reasonably satisfactory to the Administrative Agent in respect of matters reasonably requested by the Administrative Agent relating to any Guaranty or joinder </w:t>
      </w:r>
      <w:r>
        <w:rPr>
          <w:rFonts w:ascii="Times New Roman" w:cs="Times New Roman" w:eastAsia="Times New Roman" w:hAnsi="Times New Roman"/>
          <w:sz w:val="22"/>
          <w:szCs w:val="22"/>
          <w:color w:val="EE2724"/>
          <w:strike w:val="1"/>
        </w:rPr>
        <w:t>agree</w:t>
      </w:r>
      <w:r>
        <w:rPr>
          <w:rFonts w:ascii="Times New Roman" w:cs="Times New Roman" w:eastAsia="Times New Roman" w:hAnsi="Times New Roman"/>
          <w:sz w:val="22"/>
          <w:szCs w:val="22"/>
          <w:u w:val="single" w:color="auto"/>
          <w:color w:val="0E32E1"/>
        </w:rPr>
        <w:t>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VI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24"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each of Holdings and the Borrower covenants and agrees with the Lenders that:</w:t>
      </w:r>
    </w:p>
    <w:p>
      <w:pPr>
        <w:spacing w:after="0" w:line="13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Neither Holdings nor the Borrower will, or will permit any Subsidiary (other than any Specified Subsidiary) of the Borrower to, create, incur,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20" w:h="16838" w:orient="portrait"/>
          <w:cols w:equalWidth="0" w:num="1">
            <w:col w:w="11260"/>
          </w:cols>
          <w:pgMar w:left="340" w:top="1417" w:right="318"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assume or permit to exist any Indebtedness (including Preferred Stock of the Subsidiaries), except:</w:t>
      </w:r>
    </w:p>
    <w:p>
      <w:pPr>
        <w:spacing w:after="0" w:line="220" w:lineRule="exact"/>
        <w:rPr>
          <w:sz w:val="20"/>
          <w:szCs w:val="20"/>
          <w:color w:val="auto"/>
        </w:rPr>
      </w:pPr>
    </w:p>
    <w:p>
      <w:pPr>
        <w:ind w:left="1940" w:hanging="651"/>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w:t>
      </w:r>
    </w:p>
    <w:p>
      <w:pPr>
        <w:spacing w:after="0" w:line="206" w:lineRule="exact"/>
        <w:rPr>
          <w:rFonts w:ascii="Times New Roman" w:cs="Times New Roman" w:eastAsia="Times New Roman" w:hAnsi="Times New Roman"/>
          <w:sz w:val="22"/>
          <w:szCs w:val="22"/>
          <w:color w:val="auto"/>
        </w:rPr>
      </w:pPr>
    </w:p>
    <w:p>
      <w:pPr>
        <w:ind w:right="60" w:firstLine="1289"/>
        <w:spacing w:after="0" w:line="256"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Indebtedness so long as such guaranteed Indebtedness is permitted under this Section 6.01;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Indebtedness that is being Guaranteed is (i) unsecured or subordinated to the Obligations, the Guarantee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also be unsecured and/or subordinated to the Obligations, and (ii) Permitted Securitization Indebtedness or Non-Recourse Indebtedness, such Guarantee is pursuant to Standard Securitization Undertakings;</w:t>
      </w:r>
    </w:p>
    <w:p>
      <w:pPr>
        <w:spacing w:after="0" w:line="162"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Securitization Indebtedness;</w:t>
      </w:r>
    </w:p>
    <w:p>
      <w:pPr>
        <w:spacing w:after="0" w:line="192"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Hedging Agreements;</w:t>
      </w:r>
    </w:p>
    <w:p>
      <w:pPr>
        <w:spacing w:after="0" w:line="206" w:lineRule="exact"/>
        <w:rPr>
          <w:rFonts w:ascii="Times New Roman" w:cs="Times New Roman" w:eastAsia="Times New Roman" w:hAnsi="Times New Roman"/>
          <w:sz w:val="22"/>
          <w:szCs w:val="22"/>
          <w:color w:val="auto"/>
        </w:rPr>
      </w:pPr>
    </w:p>
    <w:p>
      <w:pPr>
        <w:jc w:val="both"/>
        <w:ind w:firstLine="1289"/>
        <w:spacing w:after="0" w:line="250"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Holdings, the Borrower or any Subsidiary with respect to (i) performance, bid, appeal, customs or surety bonds and completion guarantees in the ordinary course of business, obligations in respect of any workers’ compensation claims, early retirement or termination obligations, deferred compensatory or employee or director equity plans, pension fund obligations or contributions or similar claims, obligations or contributions or social security or wage taxes, payment obligations in connection with self-insurance, or similar requirements, including letters of credit and bankers’ acceptances supporting any of the foregoing or anything else that is not Indebtedness, or supporting any of the following items in clauses (ii) or (iii), (ii) financing insurance premiums or (iii) indemnification, adjustment of purchase price or similar obligations incurred in connection with the acquisition or disposition of any business or assets;</w:t>
      </w:r>
    </w:p>
    <w:p>
      <w:pPr>
        <w:spacing w:after="0" w:line="173"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protections, automated clearing house transactions, and otherwise in connection with treasury and/or cash management services, including, but not limited to, controlled disbursement services, overdraft facilities, foreign exchange facilities, deposit and other accounts and merchant services;</w:t>
      </w:r>
    </w:p>
    <w:p>
      <w:pPr>
        <w:spacing w:after="0" w:line="159"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otherwise constituting Indebtedness, obligations arising from agreements providing for indemnification, adjustment of purchase price, earn-outs or similar obligations, in each case, incurred or assumed in connection with the acquisition or disposition of any business, assets or a Subsidiary;</w:t>
      </w:r>
    </w:p>
    <w:p>
      <w:pPr>
        <w:spacing w:after="0" w:line="159"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Indebtedness among Holdings and its Subsidiaries to the extent permitted by Section 6.04;</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Non-Recourse Indebtedness;</w:t>
      </w:r>
    </w:p>
    <w:p>
      <w:pPr>
        <w:spacing w:after="0" w:line="206"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payables to third party service providers, fees and other general unsecured liabilities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20" w:h="16838" w:orient="portrait"/>
          <w:cols w:equalWidth="0" w:num="1">
            <w:col w:w="11260"/>
          </w:cols>
          <w:pgMar w:left="340" w:top="1417" w:right="318" w:bottom="1440" w:gutter="0" w:footer="0" w:header="0"/>
        </w:sectPr>
      </w:pPr>
    </w:p>
    <w:bookmarkStart w:id="105" w:name="page106"/>
    <w:bookmarkEnd w:id="105"/>
    <w:p>
      <w:pPr>
        <w:ind w:left="1940" w:hanging="651"/>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Subordinated Debt in an aggregate principal amount not to exceed $50,000,000 at any time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outstanding;</w:t>
      </w:r>
    </w:p>
    <w:p>
      <w:pPr>
        <w:spacing w:after="0" w:line="182" w:lineRule="exact"/>
        <w:rPr>
          <w:sz w:val="20"/>
          <w:szCs w:val="20"/>
          <w:color w:val="auto"/>
        </w:rPr>
      </w:pPr>
    </w:p>
    <w:p>
      <w:pPr>
        <w:jc w:val="both"/>
        <w:ind w:firstLine="1289"/>
        <w:spacing w:after="0" w:line="256" w:lineRule="auto"/>
        <w:tabs>
          <w:tab w:leader="none" w:pos="19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of its Subsidiaries under one or more Residual Funding Facilities in an aggregate principal amount in respect of any Residual Funding Facility at any time outstanding not to exceed 5% of the aggregate assets held by the applicable Securitization Subsidiaries the Residual Interest with respect to which is pledged to secure such Residual Funding Facility;</w:t>
      </w:r>
    </w:p>
    <w:p>
      <w:pPr>
        <w:spacing w:after="0" w:line="176" w:lineRule="exact"/>
        <w:rPr>
          <w:rFonts w:ascii="Times New Roman" w:cs="Times New Roman" w:eastAsia="Times New Roman" w:hAnsi="Times New Roman"/>
          <w:sz w:val="22"/>
          <w:szCs w:val="22"/>
          <w:color w:val="auto"/>
        </w:rPr>
      </w:pPr>
    </w:p>
    <w:p>
      <w:pPr>
        <w:ind w:firstLine="1289"/>
        <w:spacing w:after="0" w:line="296" w:lineRule="auto"/>
        <w:tabs>
          <w:tab w:leader="none" w:pos="19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an acquisition of a Permitted Business or of assets to be used in a Permitted Business or Acquired Debt in an aggregate principal amount at any time outstanding not to exceed $50,000,000;</w:t>
      </w:r>
    </w:p>
    <w:p>
      <w:pPr>
        <w:spacing w:after="0" w:line="131"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to the extent cash collateralized;</w:t>
      </w:r>
    </w:p>
    <w:p>
      <w:pPr>
        <w:spacing w:after="0" w:line="219" w:lineRule="exact"/>
        <w:rPr>
          <w:rFonts w:ascii="Times New Roman" w:cs="Times New Roman" w:eastAsia="Times New Roman" w:hAnsi="Times New Roman"/>
          <w:sz w:val="22"/>
          <w:szCs w:val="22"/>
          <w:color w:val="auto"/>
        </w:rPr>
      </w:pPr>
    </w:p>
    <w:p>
      <w:pPr>
        <w:jc w:val="both"/>
        <w:ind w:firstLine="1289"/>
        <w:spacing w:after="0" w:line="276" w:lineRule="auto"/>
        <w:tabs>
          <w:tab w:leader="none" w:pos="19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not to exceed $5,000,000 at any time outstanding incurred to finance the development, acquisition, construction, purchase, lease, repair, maintenance or improvement of any fixed or capital assets (real or personal and whether through the direct purchase of assets or the Equity Interest of any person owning such assets), including Capital Lease Obligations and purchase money indebtedness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such Indebtedness is incurred prior to or within 365 days after the consummation of such development, acquisition, construction, purchase, lease, repair, maintenance or improvement</w:t>
      </w:r>
    </w:p>
    <w:p>
      <w:pPr>
        <w:spacing w:after="0" w:line="170"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Specified Convertible Notes; and</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Refinancing Indebtedness in respect of the foregoing.</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Neither Holdings nor the Borrower will, or will permit any Subsidiary (other than any Specified Subsidiary) of the Borrower to, create, incur, assume or permit to exist any Lien on any property or asset now owned or hereafter acquired by it (including on Equity Interests of the Subsidiaries), or assign or sell any income or revenues (including accounts receivable) or rights in respect of any thereof, except:</w:t>
      </w:r>
    </w:p>
    <w:p>
      <w:pPr>
        <w:spacing w:after="0" w:line="176" w:lineRule="exact"/>
        <w:rPr>
          <w:sz w:val="20"/>
          <w:szCs w:val="20"/>
          <w:color w:val="auto"/>
        </w:rPr>
      </w:pPr>
    </w:p>
    <w:p>
      <w:pPr>
        <w:ind w:left="1940" w:hanging="651"/>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206"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Borrower or any Subsidiary existing on the date hereof and set forth in Schedule 6.02;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20" w:h="16838" w:orient="portrait"/>
          <w:cols w:equalWidth="0" w:num="1">
            <w:col w:w="11260"/>
          </w:cols>
          <w:pgMar w:left="340" w:top="1417" w:right="318" w:bottom="1440" w:gutter="0" w:footer="0" w:header="0"/>
        </w:sectPr>
      </w:pPr>
    </w:p>
    <w:bookmarkStart w:id="106" w:name="page107"/>
    <w:bookmarkEnd w:id="106"/>
    <w:p>
      <w:pPr>
        <w:ind w:left="1280"/>
        <w:spacing w:after="0"/>
        <w:tabs>
          <w:tab w:leader="none" w:pos="1920" w:val="left"/>
          <w:tab w:leader="none" w:pos="2560" w:val="left"/>
          <w:tab w:leader="none" w:pos="3460" w:val="left"/>
          <w:tab w:leader="none" w:pos="3800" w:val="left"/>
          <w:tab w:leader="none" w:pos="4920" w:val="left"/>
          <w:tab w:leader="none" w:pos="5480" w:val="left"/>
          <w:tab w:leader="none" w:pos="5960" w:val="left"/>
          <w:tab w:leader="none" w:pos="6980" w:val="left"/>
          <w:tab w:leader="none" w:pos="8340" w:val="left"/>
          <w:tab w:leader="none" w:pos="9640" w:val="left"/>
          <w:tab w:leader="none" w:pos="100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Liens</w:t>
        <w:tab/>
        <w:t>incurred</w:t>
        <w:tab/>
        <w:t>in</w:t>
        <w:tab/>
        <w:t>connection</w:t>
        <w:tab/>
        <w:t>with</w:t>
        <w:tab/>
        <w:t>any</w:t>
        <w:tab/>
        <w:t>Permitted</w:t>
        <w:tab/>
        <w:t>Securitization</w:t>
        <w:tab/>
        <w:t>Indebtedness</w:t>
        <w:tab/>
        <w:t>or</w:t>
      </w:r>
      <w:r>
        <w:rPr>
          <w:sz w:val="20"/>
          <w:szCs w:val="20"/>
          <w:color w:val="auto"/>
        </w:rPr>
        <w:tab/>
      </w:r>
      <w:r>
        <w:rPr>
          <w:rFonts w:ascii="Times New Roman" w:cs="Times New Roman" w:eastAsia="Times New Roman" w:hAnsi="Times New Roman"/>
          <w:sz w:val="21"/>
          <w:szCs w:val="21"/>
          <w:color w:val="auto"/>
        </w:rPr>
        <w:t>Non-Recourse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w:t>
      </w:r>
    </w:p>
    <w:p>
      <w:pPr>
        <w:spacing w:after="0" w:line="182" w:lineRule="exact"/>
        <w:rPr>
          <w:sz w:val="20"/>
          <w:szCs w:val="20"/>
          <w:color w:val="auto"/>
        </w:rPr>
      </w:pPr>
    </w:p>
    <w:p>
      <w:pPr>
        <w:ind w:left="1940" w:hanging="651"/>
        <w:spacing w:after="0"/>
        <w:tabs>
          <w:tab w:leader="none" w:pos="19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Hedging Agreements;</w:t>
      </w:r>
    </w:p>
    <w:p>
      <w:pPr>
        <w:spacing w:after="0" w:line="206"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pursuant to merger agreements, stock or asset purchase agreements and similar agreements in respect of the disposition of such assets;</w:t>
      </w:r>
    </w:p>
    <w:p>
      <w:pPr>
        <w:spacing w:after="0" w:line="144"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put and call arrangements, rights of first refusal and similar rights relating to investments in joint ventures, partnerships and the like;</w:t>
      </w:r>
    </w:p>
    <w:p>
      <w:pPr>
        <w:spacing w:after="0" w:line="144"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and title of a lessor or licensor under any lease, license, sublease or sublicense entered into by the Borrower or any Subsidiary in the ordinary course of business not securing Indebtedness and not in the aggregate materially detracting from the value of the properties or their use in the operation of the business of the Borrower and its Subsidiaries;</w:t>
      </w:r>
    </w:p>
    <w:p>
      <w:pPr>
        <w:spacing w:after="0" w:line="159" w:lineRule="exact"/>
        <w:rPr>
          <w:rFonts w:ascii="Times New Roman" w:cs="Times New Roman" w:eastAsia="Times New Roman" w:hAnsi="Times New Roman"/>
          <w:sz w:val="22"/>
          <w:szCs w:val="22"/>
          <w:color w:val="auto"/>
        </w:rPr>
      </w:pPr>
    </w:p>
    <w:p>
      <w:pPr>
        <w:ind w:firstLine="1289"/>
        <w:spacing w:after="0" w:line="284"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insurance policies and the proceeds thereof securing the financing of premiums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shall not exceed the amount of such premiums so financed;</w:t>
      </w:r>
    </w:p>
    <w:p>
      <w:pPr>
        <w:spacing w:after="0" w:line="116"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extensions, renewals or replacements of any Liens referred to in Section 6.02(b) in connection with the refinancing, refunding, extension, renewal, or replacement of the obligations secured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 does not extend to any other property (other than improvements on such property) and, except as contemplated by the definition of “Permitted Refinancing Indebtedness”, the amount secured by such Lien is not increased;</w:t>
      </w:r>
    </w:p>
    <w:p>
      <w:pPr>
        <w:spacing w:after="0" w:line="162"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Residual Interests securing Indebtedness permitted under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289"/>
        <w:spacing w:after="0" w:line="279"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6.01(m)</w:t>
      </w:r>
      <w:r>
        <w:rPr>
          <w:rFonts w:ascii="Times New Roman" w:cs="Times New Roman" w:eastAsia="Times New Roman" w:hAnsi="Times New Roman"/>
          <w:sz w:val="22"/>
          <w:szCs w:val="22"/>
          <w:color w:val="auto"/>
        </w:rPr>
        <w:t xml:space="preserve"> and existing on property at the time of its acquisition or existing on the property of any Person at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was not created in contemplation of the relevant acquisition and (ii) such Lien does not extend to or cover any other assets or property (other than, with respect to such Person, any replacements of such property or assets and additions and accessions, proceeds and products thereto);</w:t>
      </w:r>
    </w:p>
    <w:p>
      <w:pPr>
        <w:spacing w:after="0" w:line="163" w:lineRule="exact"/>
        <w:rPr>
          <w:rFonts w:ascii="Times New Roman" w:cs="Times New Roman" w:eastAsia="Times New Roman" w:hAnsi="Times New Roman"/>
          <w:sz w:val="22"/>
          <w:szCs w:val="22"/>
          <w:color w:val="auto"/>
        </w:rPr>
      </w:pPr>
    </w:p>
    <w:p>
      <w:pPr>
        <w:jc w:val="both"/>
        <w:ind w:firstLine="1289"/>
        <w:spacing w:after="0" w:line="278" w:lineRule="auto"/>
        <w:tabs>
          <w:tab w:leader="none" w:pos="19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developed, acquired, constructed, purchased leased, repaired, maintained or improved by the Borrower or any Subsidiary; provided that (i) such security interests secure Indebtedness is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6.01(o)</w:t>
      </w:r>
      <w:r>
        <w:rPr>
          <w:rFonts w:ascii="Times New Roman" w:cs="Times New Roman" w:eastAsia="Times New Roman" w:hAnsi="Times New Roman"/>
          <w:sz w:val="22"/>
          <w:szCs w:val="22"/>
          <w:color w:val="auto"/>
        </w:rPr>
        <w:t>, (ii) such security interests and the Indebtedness secured thereby are incurred prior to or within 365 days after the consummation of such development, acquisition, construction, purchase, lease, repair,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20" w:h="16838" w:orient="portrait"/>
          <w:cols w:equalWidth="0" w:num="1">
            <w:col w:w="11260"/>
          </w:cols>
          <w:pgMar w:left="340" w:top="1417" w:right="318" w:bottom="1440" w:gutter="0" w:footer="0" w:header="0"/>
        </w:sectPr>
      </w:pPr>
    </w:p>
    <w:bookmarkStart w:id="107" w:name="page108"/>
    <w:bookmarkEnd w:id="107"/>
    <w:p>
      <w:pPr>
        <w:ind w:left="7"/>
        <w:spacing w:after="0" w:line="296" w:lineRule="auto"/>
        <w:rPr>
          <w:sz w:val="20"/>
          <w:szCs w:val="20"/>
          <w:color w:val="auto"/>
        </w:rPr>
      </w:pPr>
      <w:r>
        <w:rPr>
          <w:rFonts w:ascii="Times New Roman" w:cs="Times New Roman" w:eastAsia="Times New Roman" w:hAnsi="Times New Roman"/>
          <w:sz w:val="22"/>
          <w:szCs w:val="22"/>
          <w:color w:val="auto"/>
        </w:rPr>
        <w:t>maintenance or improvement and (iii) such security interests shall not apply to any other property or assets of the Borrower or any Subsidiary;</w:t>
      </w:r>
    </w:p>
    <w:p>
      <w:pPr>
        <w:spacing w:after="0" w:line="145" w:lineRule="exact"/>
        <w:rPr>
          <w:sz w:val="20"/>
          <w:szCs w:val="20"/>
          <w:color w:val="auto"/>
        </w:rPr>
      </w:pPr>
    </w:p>
    <w:p>
      <w:pPr>
        <w:ind w:left="1947" w:hanging="651"/>
        <w:spacing w:after="0"/>
        <w:tabs>
          <w:tab w:leader="none" w:pos="194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collateral to backstop letters of credit; and</w:t>
      </w:r>
    </w:p>
    <w:p>
      <w:pPr>
        <w:spacing w:after="0" w:line="233" w:lineRule="exact"/>
        <w:rPr>
          <w:rFonts w:ascii="Times New Roman" w:cs="Times New Roman" w:eastAsia="Times New Roman" w:hAnsi="Times New Roman"/>
          <w:sz w:val="22"/>
          <w:szCs w:val="22"/>
          <w:color w:val="auto"/>
        </w:rPr>
      </w:pPr>
    </w:p>
    <w:p>
      <w:pPr>
        <w:jc w:val="both"/>
        <w:ind w:left="7" w:firstLine="1289"/>
        <w:spacing w:after="0" w:line="289" w:lineRule="auto"/>
        <w:tabs>
          <w:tab w:leader="none" w:pos="195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with respect to any servicing account and servicing agreement entered into by the Borrower or any of its Subsidiaries in connection with any sale, assignment and transfer of Receivables to any Person that is not an Affiliate of the Borrower.</w:t>
      </w:r>
    </w:p>
    <w:p>
      <w:pPr>
        <w:spacing w:after="0" w:line="139" w:lineRule="exact"/>
        <w:rPr>
          <w:sz w:val="20"/>
          <w:szCs w:val="20"/>
          <w:color w:val="auto"/>
        </w:rPr>
      </w:pPr>
    </w:p>
    <w:p>
      <w:pPr>
        <w:ind w:left="647"/>
        <w:spacing w:after="0"/>
        <w:tabs>
          <w:tab w:leader="none" w:pos="2567"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7" w:firstLine="1289"/>
        <w:spacing w:after="0" w:line="259" w:lineRule="auto"/>
        <w:tabs>
          <w:tab w:leader="none" w:pos="195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Holdings nor the Borrower will, or will permit any Subsidiary (other than any Specified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Default or Event of Default shall have occurred and be continuing, (i) any Subsidiary may merge into the Borrower in a transaction in which the Borrower is the surviving corporation, (ii) any Subsidiary may merge into (A) any Subsidiary in a transaction in which the surviving entity is a Subsidiary or (B) any other Person in a transaction in which the surviving entity is a Subsidiary subject to compliance with Sections 5.09 and 6.04, (iii) any Subsidiary may Dispose of its assets to the Borrower or to another Subsidiary, (iv) any Subsidiary may liquidate or dissolve if the Borrower determines in good faith that such liquidation or dissolution is in the best interests of the Borrower and is not materially disadvantageous to the Lenders,</w:t>
      </w:r>
    </w:p>
    <w:p>
      <w:pPr>
        <w:spacing w:after="0" w:line="10" w:lineRule="exact"/>
        <w:rPr>
          <w:rFonts w:ascii="Times New Roman" w:cs="Times New Roman" w:eastAsia="Times New Roman" w:hAnsi="Times New Roman"/>
          <w:sz w:val="21"/>
          <w:szCs w:val="21"/>
          <w:color w:val="auto"/>
        </w:rPr>
      </w:pPr>
    </w:p>
    <w:p>
      <w:pPr>
        <w:jc w:val="both"/>
        <w:ind w:left="7" w:hanging="7"/>
        <w:spacing w:after="0" w:line="245" w:lineRule="auto"/>
        <w:tabs>
          <w:tab w:leader="none" w:pos="3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merge into another Person or another person may merge into the Borrower if the Borrower is the surviving Person and (vi) the Borrower may merge or consolidate with a newly formed or incorporated Affiliate of the Borrower formed or incorporated solely for the purpose of changing the form of organization of the Borrower or reincorporating or reorganizing the Borrower in another state of the United States or may convert into a corporation, partnership or limited liability company, so long as the amount of Indebtedness of the Borrower is not increased thereby and there are no material adverse tax consequences from such conversion as reasonably determined by the Borrower. For the avoidance of doubt, this Section 6.03(a) shall not apply to any sale, assignment, transfer, conveyance or other disposition of any assets in connection with any Permitted Securitization Indebtedness.</w:t>
      </w:r>
    </w:p>
    <w:p>
      <w:pPr>
        <w:spacing w:after="0" w:line="178" w:lineRule="exact"/>
        <w:rPr>
          <w:rFonts w:ascii="Times New Roman" w:cs="Times New Roman" w:eastAsia="Times New Roman" w:hAnsi="Times New Roman"/>
          <w:sz w:val="22"/>
          <w:szCs w:val="22"/>
          <w:color w:val="auto"/>
        </w:rPr>
      </w:pPr>
    </w:p>
    <w:p>
      <w:pPr>
        <w:jc w:val="both"/>
        <w:ind w:left="7" w:firstLine="1289"/>
        <w:spacing w:after="0" w:line="256" w:lineRule="auto"/>
        <w:tabs>
          <w:tab w:leader="none" w:pos="195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Holdings nor the Borrower will, or will permit any of its Subsidiaries to, engage to any material extent in any business other than businesses of the type conducted by the Borrower and its Subsidiaries on the date of execution of this Agreement and businesses reasonably related, complementary, ancillary or incidental thereto or that constitute reasonable extensions thereof.</w:t>
      </w:r>
    </w:p>
    <w:p>
      <w:pPr>
        <w:spacing w:after="0" w:line="163" w:lineRule="exact"/>
        <w:rPr>
          <w:sz w:val="20"/>
          <w:szCs w:val="20"/>
          <w:color w:val="auto"/>
        </w:rPr>
      </w:pPr>
    </w:p>
    <w:p>
      <w:pPr>
        <w:ind w:left="647"/>
        <w:spacing w:after="0"/>
        <w:tabs>
          <w:tab w:leader="none" w:pos="2567"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78</w:t>
      </w:r>
    </w:p>
    <w:p>
      <w:pPr>
        <w:sectPr>
          <w:pgSz w:w="11920" w:h="16838" w:orient="portrait"/>
          <w:cols w:equalWidth="0" w:num="1">
            <w:col w:w="11267"/>
          </w:cols>
          <w:pgMar w:left="333" w:top="1430" w:right="318" w:bottom="1440" w:gutter="0" w:footer="0" w:header="0"/>
        </w:sectPr>
      </w:pPr>
    </w:p>
    <w:bookmarkStart w:id="108" w:name="page109"/>
    <w:bookmarkEnd w:id="108"/>
    <w:p>
      <w:pPr>
        <w:ind w:firstLine="615"/>
        <w:spacing w:after="0" w:line="296" w:lineRule="auto"/>
        <w:rPr>
          <w:sz w:val="20"/>
          <w:szCs w:val="20"/>
          <w:color w:val="auto"/>
        </w:rPr>
      </w:pPr>
      <w:r>
        <w:rPr>
          <w:rFonts w:ascii="Times New Roman" w:cs="Times New Roman" w:eastAsia="Times New Roman" w:hAnsi="Times New Roman"/>
          <w:sz w:val="22"/>
          <w:szCs w:val="22"/>
          <w:color w:val="auto"/>
        </w:rPr>
        <w:t>Neither Holdings nor the Borrower will, or will permit any of its Subsidiaries (other than any Specified Subsidiary) to, directly or indirectly, make or own any Investment in any Person, except:</w:t>
      </w:r>
    </w:p>
    <w:p>
      <w:pPr>
        <w:spacing w:after="0" w:line="132" w:lineRule="exact"/>
        <w:rPr>
          <w:sz w:val="20"/>
          <w:szCs w:val="20"/>
          <w:color w:val="auto"/>
        </w:rPr>
      </w:pPr>
    </w:p>
    <w:p>
      <w:pPr>
        <w:ind w:left="1940" w:hanging="651"/>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existing on the date hereof;</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Loan Party;</w:t>
      </w:r>
    </w:p>
    <w:p>
      <w:pPr>
        <w:spacing w:after="0" w:line="206"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acquisitions) made when (i) no Default or Event of Default has occurred and is continuing or shall occur from the making of such Investment and (b) the Borrower and its Subsidiaries are in Financial Covenant Compliance at the time of and immediately after giving effect to such Investment;</w:t>
      </w:r>
    </w:p>
    <w:p>
      <w:pPr>
        <w:spacing w:after="0" w:line="159"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Equity Interests of Securitization Subsidiaries arising in connection with Permitted Securitization Indebtedness;</w:t>
      </w:r>
    </w:p>
    <w:p>
      <w:pPr>
        <w:spacing w:after="0" w:line="144"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receivable, security deposits and prepayments arising and trade credit granted in the ordinary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course of business;</w:t>
      </w:r>
    </w:p>
    <w:p>
      <w:pPr>
        <w:spacing w:after="0" w:line="182"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 Subsidiary acquired after the Effective Date or of a person merged into the Borrower or a Subsidiary after the Effective Date, in each case to the extent that such Investments were not made in contemplation of or in connection with any such acquisition or merger;</w:t>
      </w:r>
    </w:p>
    <w:p>
      <w:pPr>
        <w:spacing w:after="0" w:line="153"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that payment for such Investments is made with Equity Interests (other than Disqualified Equity Interests) of Holdings;</w:t>
      </w:r>
    </w:p>
    <w:p>
      <w:pPr>
        <w:spacing w:after="0" w:line="144"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Specified Subsidiaries not otherwise permitted pursuant to Section 6.04(c) in the ordinary course of business in an aggregate amount not to exceed $50,000,000 at any time outstanding; and</w:t>
      </w:r>
    </w:p>
    <w:p>
      <w:pPr>
        <w:spacing w:after="0" w:line="144"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Equivalents.</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xml:space="preserve">. Neither Holdings nor the Borrower will, or will permit any of its Subsidiaries (other than any Specified Subsidiary) to, directly or indirectly, enter into, incur or permit to exist any agreement or other arrangement that prohibits, restricts or imposes any condition upon the ability of any Subsidiary (other than any Specified Subsidiary) to pay dividends or other distributions with respect to any shares of its Equity Interests or to make or repay loans or advances to the Borrower or any other Subsidiary (other than any Specified Subsidiary) or of any Subsidiary (other than any Specified Subsidiary) to Guarantee Indebtedness of the Borrower or any other Subsidiary (other than any Specified Subsidiary) under the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foregoing shall not apply to restrictions and conditions imposed by law or by this Agreement or any other Loan Document, (ii) the foregoing shall not apply to prohibitions, restrictions and conditions existing on the date hereof (and any amendments or modifications thereof that do not materially expand the scope 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20" w:h="16838" w:orient="portrait"/>
          <w:cols w:equalWidth="0" w:num="1">
            <w:col w:w="11260"/>
          </w:cols>
          <w:pgMar w:left="340" w:top="1430" w:right="318" w:bottom="1440" w:gutter="0" w:footer="0" w:header="0"/>
        </w:sectPr>
      </w:pPr>
    </w:p>
    <w:bookmarkStart w:id="109" w:name="page110"/>
    <w:bookmarkEnd w:id="10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any such prohibition, restriction or condition), (iii) the foregoing shall not apply to customary prohibitions, restrictions and conditions contained in agreements relating to the sale of a Subsidiary or assets of the Borrower or any Subsidiary pending such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restrictions and conditions apply only to the Subsidiary or assets to be sold and such sale is not prohibited hereunder, (iv) the foregoing shall not apply to any agreement, prohibition, or restriction or condition in effect at the time any Subsidiary becomes a Subsidiary of the Borrower, so long as such agreement was not entered into solely in contemplation of such Person becoming a Subsidiary of the Borrower (and any amendments or modifications thereof that do not materially expand the scope of any such prohibition restriction or condition),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restricting the assignment thereof, (viii) the foregoing shall not apply to restrictions or conditions set forth in any agreement governing Indebtedness not prohibited by Section 6.01; provided that such restrictions and conditions are customary for such Indebtedness, (ix) the foregoing shall not apply to restrictions on cash or other deposits (including escrowed funds) imposed under contracts entered into in the ordinary course of business or restrictions imposed by the terms of a Lien permitted by Section 6.02 and (x) the foregoing shall not apply to encumbrances, restrictions, limitations, conditions or prohibitions in respect of Receivables subject to, and any other encumbrances, restrictions, limitations, conditions or prohibitions consisting of customary provisions in connection with, any Permitted Securitization Indebtedness.</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Neither Holdings nor the Borrower will, or will permit any of its Subsidiaries (other than any Specified Subsidiary) to, Dispose of (including, without limitation, any exclusive licensing of) any material intellectual property, that is used in and necessary for the operation of the business of the Borrower or such Subsidiaries (other than any Specified Subsidiary), if such Disposition would prohibit the Borrower or such Subsidiaries, as applicable, from utilizing such intellectual property.</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Neither Holdings nor the Borrower will, or will permit any of its Subsidiaries (other than any Specified Subsidiary) to, declare or make, or agree to pay or make, directly or indirectly, any Restricted Payment, unless (a) no Default or Event of Default has occurred and is continuing or shall occur from the making of such Restricted Payment and (b) the Borrower and its Subsidiaries are in Financial Covenant Compliance at the time of and immediately after giving effect to such Restricted Payment.</w:t>
      </w:r>
    </w:p>
    <w:p>
      <w:pPr>
        <w:spacing w:after="0" w:line="19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 Neither Holdings nor the Borrower will, or will permit any of its Subsidiaries (other than any Specified Subsidiary) to, sell, lease or otherwise transfer any property or assets to, or purchase, lease or otherwise acquire any property or assets from, or otherwise engage in any other transactions involving an aggregate payment 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20" w:h="16838" w:orient="portrait"/>
          <w:cols w:equalWidth="0" w:num="1">
            <w:col w:w="11260"/>
          </w:cols>
          <w:pgMar w:left="340" w:top="1417" w:right="318"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consideration in excess of $1,000,000 individually or $10,000,000 in the aggregate with, any of its Affiliates, except:</w:t>
      </w:r>
    </w:p>
    <w:p>
      <w:pPr>
        <w:spacing w:after="0" w:line="220" w:lineRule="exact"/>
        <w:rPr>
          <w:sz w:val="20"/>
          <w:szCs w:val="20"/>
          <w:color w:val="auto"/>
        </w:rPr>
      </w:pPr>
    </w:p>
    <w:p>
      <w:pPr>
        <w:ind w:left="1940" w:hanging="651"/>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business;</w:t>
      </w:r>
    </w:p>
    <w:p>
      <w:pPr>
        <w:spacing w:after="0" w:line="206"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prices and on terms and conditions not less favorable to the Borrower or such Subsidiary than could be obtained on an arm’s-length basis from unrelated third parties;</w:t>
      </w:r>
    </w:p>
    <w:p>
      <w:pPr>
        <w:spacing w:after="0" w:line="144"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Loan Parties;</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transactions permitted by Sections 6.01, 6.03, 6.04 or 6.07;</w:t>
      </w:r>
    </w:p>
    <w:p>
      <w:pPr>
        <w:spacing w:after="0" w:line="206" w:lineRule="exact"/>
        <w:rPr>
          <w:rFonts w:ascii="Times New Roman" w:cs="Times New Roman" w:eastAsia="Times New Roman" w:hAnsi="Times New Roman"/>
          <w:sz w:val="22"/>
          <w:szCs w:val="22"/>
          <w:color w:val="auto"/>
        </w:rPr>
      </w:pPr>
    </w:p>
    <w:p>
      <w:pPr>
        <w:jc w:val="both"/>
        <w:ind w:firstLine="1289"/>
        <w:spacing w:after="0" w:line="250"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pursuant to any contract or agreement or investment (including guarantee) in effect on the Effective Date and set forth on Schedule 6.07, as amended, modified or replaced from time to time, or similar transactions, so long as the amended, modified or new agreements, taken as a whole, are no more disadvantageous to the Lenders in any material respect than those in effect on the Effective Date (as determined by the Borrower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the modification, amendment or replacement of any such transaction in existence as of the Effective Date on substantially comparable terms, such threshold shall be calculated only with respect to the amount of any net increase in the value of such transaction as a result of such modification, amendment or replacement rather than the aggregate value;</w:t>
      </w:r>
    </w:p>
    <w:p>
      <w:pPr>
        <w:spacing w:after="0" w:line="166"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and customary regular fees to directors of Holdings and the Borrower who are not employees of Holdings and the Borrower and the provision of customary indemnities to directors, officers or employees of Holdings, the Borrower and their Subsidiaries in their capacities as such;</w:t>
      </w:r>
    </w:p>
    <w:p>
      <w:pPr>
        <w:spacing w:after="0" w:line="159"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agreements, plans, arrangements or payments pursuant to any employee, officer or director compensation or benefit, travel, relocation or expense advance plans or arrangements;</w:t>
      </w:r>
    </w:p>
    <w:p>
      <w:pPr>
        <w:spacing w:after="0" w:line="144"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connection with any Permitted Securitization Indebtedness;</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 loans provided to officers, directors or employees on terms consistent with past practice;</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licensing of intellectual property rights (whether as licensor or licensee);</w:t>
      </w:r>
    </w:p>
    <w:p>
      <w:pPr>
        <w:spacing w:after="0" w:line="206" w:lineRule="exact"/>
        <w:rPr>
          <w:rFonts w:ascii="Times New Roman" w:cs="Times New Roman" w:eastAsia="Times New Roman" w:hAnsi="Times New Roman"/>
          <w:sz w:val="22"/>
          <w:szCs w:val="22"/>
          <w:color w:val="auto"/>
        </w:rPr>
      </w:pPr>
    </w:p>
    <w:p>
      <w:pPr>
        <w:jc w:val="both"/>
        <w:ind w:firstLine="1289"/>
        <w:spacing w:after="0" w:line="252"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(including pursuant to joint venture agreements) with customers, clients, suppliers, any Person in which the Borrower or any Subsidiary has made an investment or holds an interest as a joint venture partner (and such Person is an Affiliate solely because of such Investment or interest) or others that are Affiliates of the Borrower,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20" w:h="16838" w:orient="portrait"/>
          <w:cols w:equalWidth="0" w:num="1">
            <w:col w:w="11260"/>
          </w:cols>
          <w:pgMar w:left="340" w:top="1417" w:right="318" w:bottom="1440" w:gutter="0" w:footer="0" w:header="0"/>
        </w:sectPr>
      </w:pPr>
    </w:p>
    <w:bookmarkStart w:id="111" w:name="page112"/>
    <w:bookmarkEnd w:id="111"/>
    <w:p>
      <w:pPr>
        <w:jc w:val="both"/>
        <w:ind w:firstLine="1289"/>
        <w:spacing w:after="0" w:line="257"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of real property entered into in the ordinary course of business on terms not materially less favorable to the Borrower and its Subsidiaries than could be obtained at the time in an arm’s length transaction with a Person who was not an Affiliate (as determined in good faith by management of the Borrower);</w:t>
      </w:r>
    </w:p>
    <w:p>
      <w:pPr>
        <w:spacing w:after="0" w:line="159"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Qualified Equity Interests by the Borrower or any Subsidiary and capital contributions to the Borrower from Affiliates;</w:t>
      </w:r>
    </w:p>
    <w:p>
      <w:pPr>
        <w:spacing w:after="0" w:line="144" w:lineRule="exact"/>
        <w:rPr>
          <w:rFonts w:ascii="Times New Roman" w:cs="Times New Roman" w:eastAsia="Times New Roman" w:hAnsi="Times New Roman"/>
          <w:sz w:val="22"/>
          <w:szCs w:val="22"/>
          <w:color w:val="auto"/>
        </w:rPr>
      </w:pPr>
    </w:p>
    <w:p>
      <w:pPr>
        <w:jc w:val="both"/>
        <w:ind w:firstLine="1289"/>
        <w:spacing w:after="0" w:line="253"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 which the Borrower or any Subsidiary delivers to the Administrative Agent a written opinion from a nationally or regionally recognized investment banking, accounting or appraisal firm as to (i) the fairness of the transaction to the Borrower and its Subsidiaries from a financial point of view or (ii) that such transaction is not materially less favorable to the Borrower and its Subsidiaries than could be obtained at the time in an arm’s length transaction with a Person who was not an Affiliate; or</w:t>
      </w:r>
    </w:p>
    <w:p>
      <w:pPr>
        <w:spacing w:after="0" w:line="165"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between a Person and an Affiliate of such Person existing at the time such Person is acquired by, or merged into, the Borrower or a Subsidiary and not entered into in contemplation of such acquisition or merger.</w:t>
      </w:r>
    </w:p>
    <w:p>
      <w:pPr>
        <w:spacing w:after="0" w:line="144"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Restricted Debt Payments</w:t>
      </w:r>
      <w:r>
        <w:rPr>
          <w:rFonts w:ascii="Times New Roman" w:cs="Times New Roman" w:eastAsia="Times New Roman" w:hAnsi="Times New Roman"/>
          <w:sz w:val="21"/>
          <w:szCs w:val="21"/>
          <w:color w:val="auto"/>
        </w:rPr>
        <w:t>. Neither Holdings nor the Borrower will, or will permit any Subsidiary (other than any Specified Subsidiary) of the Borrower to, voluntarily prepay, redeem, purchase, defease or otherwise satisfy prior to the scheduled maturity thereof in any manner any Subordinated Debt, or make any payment in violation of any subordination terms to which any Subordinated Debt is subject. For the avoidance of doubt, any mandatory or regularly scheduled payments, that are otherwise permitted by the terms of the respective subordination agreement, are not prohibited by this Section 6.09.</w:t>
      </w:r>
    </w:p>
    <w:p>
      <w:pPr>
        <w:spacing w:after="0" w:line="1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The Borrower will not permit (each of the clauses (a) through (d) below, a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40" w:hanging="651"/>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any fiscal quarter ending after the date hereof, the Leverage Ratio to exceed 2.5 to 1.0;</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06"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any fiscal quarter ending after the date hereof, the Tangible Net Worth of Holdings and its consolidated Subsidiaries to be less than the Tangible Net Worth Level at such time.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20" w:h="16838" w:orient="portrait"/>
          <w:cols w:equalWidth="0" w:num="1">
            <w:col w:w="11260"/>
          </w:cols>
          <w:pgMar w:left="340" w:top="1417" w:right="318" w:bottom="1440" w:gutter="0" w:footer="0" w:header="0"/>
        </w:sectPr>
      </w:pPr>
    </w:p>
    <w:bookmarkStart w:id="112" w:name="page113"/>
    <w:bookmarkEnd w:id="112"/>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VII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1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If any of the following events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shall occur:</w:t>
      </w:r>
    </w:p>
    <w:p>
      <w:pPr>
        <w:spacing w:after="0" w:line="220" w:lineRule="exact"/>
        <w:rPr>
          <w:sz w:val="20"/>
          <w:szCs w:val="20"/>
          <w:color w:val="auto"/>
        </w:rPr>
      </w:pPr>
    </w:p>
    <w:p>
      <w:pPr>
        <w:ind w:firstLine="1289"/>
        <w:spacing w:after="0" w:line="284"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when and as the same shall become due and payable, whether at the due date thereof or at a date fixed for prepayment thereof or otherwise;</w:t>
      </w:r>
    </w:p>
    <w:p>
      <w:pPr>
        <w:spacing w:after="0" w:line="130"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spacing w:after="0" w:line="159" w:lineRule="exact"/>
        <w:rPr>
          <w:rFonts w:ascii="Times New Roman" w:cs="Times New Roman" w:eastAsia="Times New Roman" w:hAnsi="Times New Roman"/>
          <w:sz w:val="22"/>
          <w:szCs w:val="22"/>
          <w:color w:val="auto"/>
        </w:rPr>
      </w:pPr>
    </w:p>
    <w:p>
      <w:pPr>
        <w:jc w:val="both"/>
        <w:ind w:firstLine="1289"/>
        <w:spacing w:after="0" w:line="253"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Holdings, the Borrower or any Subsidiary in this Agreement,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w:t>
      </w:r>
    </w:p>
    <w:p>
      <w:pPr>
        <w:spacing w:after="0" w:line="151" w:lineRule="exact"/>
        <w:rPr>
          <w:rFonts w:ascii="Times New Roman" w:cs="Times New Roman" w:eastAsia="Times New Roman" w:hAnsi="Times New Roman"/>
          <w:sz w:val="22"/>
          <w:szCs w:val="22"/>
          <w:color w:val="auto"/>
        </w:rPr>
      </w:pPr>
    </w:p>
    <w:p>
      <w:pPr>
        <w:ind w:firstLine="1289"/>
        <w:spacing w:after="0" w:line="284"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observe or perform any covenant, condition or agreement contained in Section 5.02(a), 5.03 (with respect to the Borrower’s existence only) or 5.08 or in Article VI;</w:t>
      </w:r>
    </w:p>
    <w:p>
      <w:pPr>
        <w:spacing w:after="0" w:line="130" w:lineRule="exact"/>
        <w:rPr>
          <w:rFonts w:ascii="Times New Roman" w:cs="Times New Roman" w:eastAsia="Times New Roman" w:hAnsi="Times New Roman"/>
          <w:sz w:val="22"/>
          <w:szCs w:val="22"/>
          <w:color w:val="auto"/>
        </w:rPr>
      </w:pPr>
    </w:p>
    <w:p>
      <w:pPr>
        <w:jc w:val="both"/>
        <w:ind w:firstLine="1289"/>
        <w:spacing w:after="0" w:line="252"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observe or perform any covenant, condition or agreement contained in this Agreement (other than those specified in clause (a), (b), (c) or (d) of this Article) or any other Loan Document, and such failure shall continue unremedied for a period of thirty (30) days after notice thereof from the Administrative Agent to the Borrower (which notice will be given at the request of any Lender);</w:t>
      </w:r>
    </w:p>
    <w:p>
      <w:pPr>
        <w:spacing w:after="0" w:line="165"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make any payment (whether of principal or interest) in respect of any Material Obligation, when and as the same shall become due and payable (whether by scheduled maturity, required prepayment, acceleration, demand, or otherwise) and such failure shall have continued after the applicable grace period, if any;</w:t>
      </w:r>
    </w:p>
    <w:p>
      <w:pPr>
        <w:spacing w:after="0" w:line="149" w:lineRule="exact"/>
        <w:rPr>
          <w:rFonts w:ascii="Times New Roman" w:cs="Times New Roman" w:eastAsia="Times New Roman" w:hAnsi="Times New Roman"/>
          <w:sz w:val="22"/>
          <w:szCs w:val="22"/>
          <w:color w:val="auto"/>
        </w:rPr>
      </w:pPr>
    </w:p>
    <w:p>
      <w:pPr>
        <w:jc w:val="both"/>
        <w:ind w:firstLine="1289"/>
        <w:spacing w:after="0" w:line="256"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condition or default occurs that results in any Material Obligation becoming due prior to its scheduled maturity or that enables or permits (with or without the giving of notice, the lapse of time or both but with all applicable grace periods in respect of such event or condition under the documentation representing such Material Obligation having expired) the holder or holders of such Material Obligation or any trustee 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20" w:h="16838" w:orient="portrait"/>
          <w:cols w:equalWidth="0" w:num="1">
            <w:col w:w="11260"/>
          </w:cols>
          <w:pgMar w:left="340" w:top="1440" w:right="318" w:bottom="1440" w:gutter="0" w:footer="0" w:header="0"/>
        </w:sectPr>
      </w:pPr>
    </w:p>
    <w:bookmarkStart w:id="113" w:name="page114"/>
    <w:bookmarkEnd w:id="11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agent on its or their behalf to cause such Material Obligation to become due, or to require the prepayment, repurchase, redemption or defeasance thereof, prior to its scheduled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(g) shall not apply to (x) any requirement to, or any offer to, repurchase, prepay or redeem any Material Obligation of a Person acquired in an acquisition permitted hereunder, to the extent such offer is required as a result of, or in connection with, such acquisition, (y) an early payment requirement, unwinding or termination with respect to any Hedging Agreement except an early payment, unwinding or termination that results from a default or non-compliance thereunder by the Borrower or any Subsidiary, or another event of the type that would constitute an Event of Default or (z) (i) any event or the satisfaction of any condition that permits holders of any Specified Convertible Notes to convert such Indebtedness pursuant to the terms of such Specified Convertible Notes or (ii) the conversion or exchange of any Specified Convertible Notes, in either case, into common stock of Holdings (or other securities or property following a merger event, reclassification or other change of the common stock of Holdings), cash or a combination thereof, pursuant to the terms of such Specified Convertible Notes;</w:t>
      </w:r>
    </w:p>
    <w:p>
      <w:pPr>
        <w:spacing w:after="0" w:line="175" w:lineRule="exact"/>
        <w:rPr>
          <w:sz w:val="20"/>
          <w:szCs w:val="20"/>
          <w:color w:val="auto"/>
        </w:rPr>
      </w:pPr>
    </w:p>
    <w:p>
      <w:pPr>
        <w:jc w:val="both"/>
        <w:ind w:firstLine="1289"/>
        <w:spacing w:after="0" w:line="251" w:lineRule="auto"/>
        <w:tabs>
          <w:tab w:leader="none" w:pos="1944" w:val="left"/>
        </w:tabs>
        <w:numPr>
          <w:ilvl w:val="0"/>
          <w:numId w:val="89"/>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u w:val="single" w:color="auto"/>
          <w:color w:val="0E32E1"/>
        </w:rPr>
        <w:t>an involuntary proceeding shall be commenced or an involuntary petition shall be filed seeking (i) liquidation, reorganization or other relief in respect of the Borrower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Significant Subsidiary or for a substantial part of its assets, and, in any such case, such proceeding or petition shall continue undismissed for 60 days or an order or decree approving or ordering any of the foregoing shall be entered;</w:t>
      </w:r>
    </w:p>
    <w:p>
      <w:pPr>
        <w:spacing w:after="0" w:line="167" w:lineRule="exact"/>
        <w:rPr>
          <w:rFonts w:ascii="Times New Roman" w:cs="Times New Roman" w:eastAsia="Times New Roman" w:hAnsi="Times New Roman"/>
          <w:sz w:val="22"/>
          <w:szCs w:val="22"/>
          <w:u w:val="single" w:color="auto"/>
          <w:color w:val="0E32E1"/>
        </w:rPr>
      </w:pPr>
    </w:p>
    <w:p>
      <w:pPr>
        <w:jc w:val="both"/>
        <w:ind w:firstLine="1289"/>
        <w:spacing w:after="0" w:line="250" w:lineRule="auto"/>
        <w:tabs>
          <w:tab w:leader="none" w:pos="1944" w:val="left"/>
        </w:tabs>
        <w:numPr>
          <w:ilvl w:val="0"/>
          <w:numId w:val="89"/>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(h)</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Holdings, the Borrower or any Significant Subsidiary shall (i) voluntarily commence any proceeding or</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 answer admitting the material allegations of a petition filed against it in any such proceeding or (v) make a general assignment for the benefit of creditors;</w:t>
      </w:r>
    </w:p>
    <w:p>
      <w:pPr>
        <w:spacing w:after="0" w:line="166" w:lineRule="exact"/>
        <w:rPr>
          <w:rFonts w:ascii="Times New Roman" w:cs="Times New Roman" w:eastAsia="Times New Roman" w:hAnsi="Times New Roman"/>
          <w:sz w:val="22"/>
          <w:szCs w:val="22"/>
          <w:u w:val="single" w:color="auto"/>
          <w:color w:val="0E32E1"/>
        </w:rPr>
      </w:pPr>
    </w:p>
    <w:p>
      <w:pPr>
        <w:ind w:firstLine="1289"/>
        <w:spacing w:after="0" w:line="271" w:lineRule="auto"/>
        <w:tabs>
          <w:tab w:leader="none" w:pos="1944" w:val="left"/>
        </w:tabs>
        <w:numPr>
          <w:ilvl w:val="0"/>
          <w:numId w:val="89"/>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(i)</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Holdings, the Borrower or any Significant Subsidiary shall become unable, admit in writing its inability</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or fail generally to pay its debts as they become due;</w:t>
      </w:r>
    </w:p>
    <w:p>
      <w:pPr>
        <w:spacing w:after="0" w:line="144" w:lineRule="exact"/>
        <w:rPr>
          <w:rFonts w:ascii="Times New Roman" w:cs="Times New Roman" w:eastAsia="Times New Roman" w:hAnsi="Times New Roman"/>
          <w:sz w:val="22"/>
          <w:szCs w:val="22"/>
          <w:u w:val="single" w:color="auto"/>
          <w:color w:val="0E32E1"/>
        </w:rPr>
      </w:pPr>
    </w:p>
    <w:p>
      <w:pPr>
        <w:jc w:val="both"/>
        <w:ind w:firstLine="1289"/>
        <w:spacing w:after="0" w:line="253" w:lineRule="auto"/>
        <w:tabs>
          <w:tab w:leader="none" w:pos="1944" w:val="left"/>
        </w:tabs>
        <w:numPr>
          <w:ilvl w:val="0"/>
          <w:numId w:val="89"/>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(j)</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one or more judgments for the payment of money in an aggregate amount equal to or exceeding</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$15,000,000 shall be rendered against Holdings, the Borrower, any Subsidiary or any combination thereof and the same shall remain undischarged for a period of 60 consecutive days during which execution shall not be effectively stayed or vacated; provided, that any such amount shall be calculated after deducting from the sum so payable any amount of such judgment or order that is covered by a valid and binding policy of insurance in favor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20" w:h="16838" w:orient="portrait"/>
          <w:cols w:equalWidth="0" w:num="1">
            <w:col w:w="11260"/>
          </w:cols>
          <w:pgMar w:left="340" w:top="1417" w:right="318"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Holdings, the Borrower or such Subsidiary (but only if the applicable insurer shall have been advised of such judgment and of the intent of Holdings, the Borrower or such Subsidiary to make a claim in respect of any amount payable by it in connection therewith and such insurer shall not have disputed coverage);</w:t>
      </w:r>
    </w:p>
    <w:p>
      <w:pPr>
        <w:spacing w:after="0" w:line="159" w:lineRule="exact"/>
        <w:rPr>
          <w:sz w:val="20"/>
          <w:szCs w:val="20"/>
          <w:color w:val="auto"/>
        </w:rPr>
      </w:pPr>
    </w:p>
    <w:p>
      <w:pPr>
        <w:ind w:firstLine="1289"/>
        <w:spacing w:after="0" w:line="271" w:lineRule="auto"/>
        <w:tabs>
          <w:tab w:leader="none" w:pos="1944" w:val="left"/>
        </w:tabs>
        <w:numPr>
          <w:ilvl w:val="0"/>
          <w:numId w:val="90"/>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(k)</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an ERISA Event shall have occurred that, when taken together with all other ERISA Events that have</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occurred, would reasonably be expected to result in a Material Adverse Effect;</w:t>
      </w:r>
    </w:p>
    <w:p>
      <w:pPr>
        <w:spacing w:after="0" w:line="144" w:lineRule="exact"/>
        <w:rPr>
          <w:rFonts w:ascii="Times New Roman" w:cs="Times New Roman" w:eastAsia="Times New Roman" w:hAnsi="Times New Roman"/>
          <w:sz w:val="22"/>
          <w:szCs w:val="22"/>
          <w:u w:val="single" w:color="auto"/>
          <w:color w:val="0E32E1"/>
        </w:rPr>
      </w:pPr>
    </w:p>
    <w:p>
      <w:pPr>
        <w:ind w:left="1940" w:hanging="651"/>
        <w:spacing w:after="0"/>
        <w:tabs>
          <w:tab w:leader="none" w:pos="1940" w:val="left"/>
        </w:tabs>
        <w:numPr>
          <w:ilvl w:val="0"/>
          <w:numId w:val="90"/>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(l)</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a Change in Control shall occur;</w:t>
      </w:r>
    </w:p>
    <w:p>
      <w:pPr>
        <w:spacing w:after="0" w:line="206" w:lineRule="exact"/>
        <w:rPr>
          <w:rFonts w:ascii="Times New Roman" w:cs="Times New Roman" w:eastAsia="Times New Roman" w:hAnsi="Times New Roman"/>
          <w:sz w:val="22"/>
          <w:szCs w:val="22"/>
          <w:u w:val="single" w:color="auto"/>
          <w:color w:val="0E32E1"/>
        </w:rPr>
      </w:pPr>
    </w:p>
    <w:p>
      <w:pPr>
        <w:ind w:firstLine="1289"/>
        <w:spacing w:after="0" w:line="271" w:lineRule="auto"/>
        <w:tabs>
          <w:tab w:leader="none" w:pos="1944" w:val="left"/>
        </w:tabs>
        <w:numPr>
          <w:ilvl w:val="0"/>
          <w:numId w:val="90"/>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(m)</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this Agreement or any other Loan Document is not in full force and effect, or the Borrower or any</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Guarantor claims to such effect in writing;</w:t>
      </w:r>
    </w:p>
    <w:p>
      <w:pPr>
        <w:spacing w:after="0" w:line="144" w:lineRule="exact"/>
        <w:rPr>
          <w:rFonts w:ascii="Times New Roman" w:cs="Times New Roman" w:eastAsia="Times New Roman" w:hAnsi="Times New Roman"/>
          <w:sz w:val="22"/>
          <w:szCs w:val="22"/>
          <w:u w:val="single" w:color="auto"/>
          <w:color w:val="0E32E1"/>
        </w:rPr>
      </w:pPr>
    </w:p>
    <w:p>
      <w:pPr>
        <w:jc w:val="both"/>
        <w:ind w:firstLine="1289"/>
        <w:spacing w:after="0" w:line="263" w:lineRule="auto"/>
        <w:tabs>
          <w:tab w:leader="none" w:pos="1944" w:val="left"/>
        </w:tabs>
        <w:numPr>
          <w:ilvl w:val="0"/>
          <w:numId w:val="90"/>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(n)</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(i) commencing February 28, 2022, the 3-Month Rolling Average Delinquent Receivable Ratio shall</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exceed 10% or (ii) the Cumulative Default Ratio for any three or more Quarterly Vintages (commencing with the Quarterly Vintage for the calendar quarter ending March 31, 2022) shall exceed 12%; or</w:t>
      </w:r>
    </w:p>
    <w:p>
      <w:pPr>
        <w:spacing w:after="0" w:line="153" w:lineRule="exact"/>
        <w:rPr>
          <w:rFonts w:ascii="Times New Roman" w:cs="Times New Roman" w:eastAsia="Times New Roman" w:hAnsi="Times New Roman"/>
          <w:sz w:val="22"/>
          <w:szCs w:val="22"/>
          <w:u w:val="single" w:color="auto"/>
          <w:color w:val="0E32E1"/>
        </w:rPr>
      </w:pPr>
    </w:p>
    <w:p>
      <w:pPr>
        <w:jc w:val="both"/>
        <w:ind w:firstLine="1289"/>
        <w:spacing w:after="0" w:line="257" w:lineRule="auto"/>
        <w:tabs>
          <w:tab w:leader="none" w:pos="1944" w:val="left"/>
        </w:tabs>
        <w:numPr>
          <w:ilvl w:val="0"/>
          <w:numId w:val="90"/>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EE2724"/>
          <w:strike w:val="1"/>
        </w:rPr>
        <w:t>(o)</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there shall occur any changes in laws or regulations applicable to the business of Holdings, the</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Borrower and its Subsidiaries, including without limitation, those with respect to consumer financing, that would reasonably expected to have a Material Adverse Effect.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Remedies Upon an Event of Default</w:t>
      </w:r>
      <w:r>
        <w:rPr>
          <w:rFonts w:ascii="Times New Roman" w:cs="Times New Roman" w:eastAsia="Times New Roman" w:hAnsi="Times New Roman"/>
          <w:sz w:val="22"/>
          <w:szCs w:val="22"/>
          <w:color w:val="auto"/>
        </w:rPr>
        <w:t>. If an Event of Default occurs (other than an event with respect to the Borrower described in Sections 7.01(h) or 7.01(i)),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193" w:lineRule="exact"/>
        <w:rPr>
          <w:sz w:val="20"/>
          <w:szCs w:val="20"/>
          <w:color w:val="auto"/>
        </w:rPr>
      </w:pPr>
    </w:p>
    <w:p>
      <w:pPr>
        <w:ind w:left="1940" w:hanging="651"/>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the Commitments, and thereupon the Commitments shall terminate immediately;</w:t>
      </w:r>
    </w:p>
    <w:p>
      <w:pPr>
        <w:spacing w:after="0" w:line="192" w:lineRule="exact"/>
        <w:rPr>
          <w:rFonts w:ascii="Times New Roman" w:cs="Times New Roman" w:eastAsia="Times New Roman" w:hAnsi="Times New Roman"/>
          <w:sz w:val="22"/>
          <w:szCs w:val="22"/>
          <w:color w:val="auto"/>
        </w:rPr>
      </w:pPr>
    </w:p>
    <w:p>
      <w:pPr>
        <w:jc w:val="both"/>
        <w:ind w:firstLine="1289"/>
        <w:spacing w:after="0" w:line="253"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any other Loan Document, shall become due and payable immediately, without presentment, demand, protest or other notice of any kind, all of which are hereby waived by the Borrower;</w:t>
      </w:r>
    </w:p>
    <w:p>
      <w:pPr>
        <w:spacing w:after="0" w:line="165"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all rights and remedies available to it and the Lenders under the Loan Documents and Applicable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20" w:h="16838" w:orient="portrait"/>
          <w:cols w:equalWidth="0" w:num="1">
            <w:col w:w="11260"/>
          </w:cols>
          <w:pgMar w:left="340" w:top="1417" w:right="318" w:bottom="1440" w:gutter="0" w:footer="0" w:header="0"/>
        </w:sectPr>
      </w:pPr>
    </w:p>
    <w:bookmarkStart w:id="115" w:name="page116"/>
    <w:bookmarkEnd w:id="115"/>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If an Event of Default described in Sections 7.01(h) or 7.01(i) occurs with respect to the Borrower, the Commitments shall automatically terminate and the principal of the Loans then outstanding, together with accrued interest thereon and all fees and other obligations of the Borrower accrued hereunder and under any other Loan Document including any break funding payment or prepayment premium, shall automatically become due and payable, in each case, without presentment, demand, protest or other notice of any kind, all of which are hereby waived by the Borrower.</w:t>
      </w:r>
    </w:p>
    <w:p>
      <w:pPr>
        <w:spacing w:after="0" w:line="1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Notwithstanding anything herein to the contrary, following the occurrence and during the continuance of an Event of Default, and notice thereof to the Administrative Agent by the Borrower or the Required Lenders, all payments received on account of the Obligations shall, subject to Section 2.20, be applied by the Administrative Agent as follows:</w:t>
      </w:r>
    </w:p>
    <w:p>
      <w:pPr>
        <w:spacing w:after="0" w:line="176" w:lineRule="exact"/>
        <w:rPr>
          <w:sz w:val="20"/>
          <w:szCs w:val="20"/>
          <w:color w:val="auto"/>
        </w:rPr>
      </w:pPr>
    </w:p>
    <w:p>
      <w:pPr>
        <w:jc w:val="both"/>
        <w:ind w:firstLine="1937"/>
        <w:spacing w:after="0" w:line="256"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 payable to the Administrative Agent (including fees and disbursements and other charges of counsel to the Administrative Agent payable under Section 9.03 and amounts pursuant to Section 2.12(b) payable to the Administrative Agent in its capacity as such);</w:t>
      </w:r>
    </w:p>
    <w:p>
      <w:pPr>
        <w:spacing w:after="0" w:line="162" w:lineRule="exact"/>
        <w:rPr>
          <w:rFonts w:ascii="Times New Roman" w:cs="Times New Roman" w:eastAsia="Times New Roman" w:hAnsi="Times New Roman"/>
          <w:sz w:val="22"/>
          <w:szCs w:val="22"/>
          <w:color w:val="auto"/>
        </w:rPr>
      </w:pPr>
    </w:p>
    <w:p>
      <w:pPr>
        <w:jc w:val="both"/>
        <w:ind w:firstLine="1937"/>
        <w:spacing w:after="0" w:line="252"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payment of that portion of the Obligations constituting fees, expenses, indemnities and other amounts (other than principal and interest) payable to the Lenders (including fees and disbursements and other charges of counsel to the Lenders payable under Section 9.03) arising under the Loan Documents, ratably among them in proportion to the respective amounts described in this clause (ii) payable to them;</w:t>
      </w:r>
    </w:p>
    <w:p>
      <w:pPr>
        <w:spacing w:after="0" w:line="165"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payment of that portion of the Obligations constituting accrued and unpaid interest on the Loans, ratably among the Lenders in proportion to the respective amounts described in this clause (iii) payable to them;</w:t>
      </w:r>
    </w:p>
    <w:p>
      <w:pPr>
        <w:spacing w:after="0" w:line="144"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payment of that portion of the Obligations constituting unpaid principal of the Loans;</w:t>
      </w:r>
    </w:p>
    <w:p>
      <w:pPr>
        <w:spacing w:after="0" w:line="206" w:lineRule="exact"/>
        <w:rPr>
          <w:rFonts w:ascii="Times New Roman" w:cs="Times New Roman" w:eastAsia="Times New Roman" w:hAnsi="Times New Roman"/>
          <w:sz w:val="22"/>
          <w:szCs w:val="22"/>
          <w:color w:val="auto"/>
        </w:rPr>
      </w:pPr>
    </w:p>
    <w:p>
      <w:pPr>
        <w:jc w:val="both"/>
        <w:ind w:firstLine="1937"/>
        <w:spacing w:after="0" w:line="257"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spacing w:after="0" w:line="159" w:lineRule="exact"/>
        <w:rPr>
          <w:rFonts w:ascii="Times New Roman" w:cs="Times New Roman" w:eastAsia="Times New Roman" w:hAnsi="Times New Roman"/>
          <w:sz w:val="22"/>
          <w:szCs w:val="22"/>
          <w:color w:val="auto"/>
        </w:rPr>
      </w:pPr>
    </w:p>
    <w:p>
      <w:pPr>
        <w:ind w:firstLine="1937"/>
        <w:spacing w:after="0" w:line="284" w:lineRule="auto"/>
        <w:tabs>
          <w:tab w:leader="none" w:pos="25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finally</w:t>
      </w:r>
      <w:r>
        <w:rPr>
          <w:rFonts w:ascii="Times New Roman" w:cs="Times New Roman" w:eastAsia="Times New Roman" w:hAnsi="Times New Roman"/>
          <w:sz w:val="22"/>
          <w:szCs w:val="22"/>
          <w:color w:val="auto"/>
        </w:rPr>
        <w:t>, the balance, if any, after all Obligations have been indefeasibly paid in full, to the Borrower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20" w:h="16838" w:orient="portrait"/>
          <w:cols w:equalWidth="0" w:num="1">
            <w:col w:w="11260"/>
          </w:cols>
          <w:pgMar w:left="340" w:top="1430" w:right="318" w:bottom="1440" w:gutter="0" w:footer="0" w:header="0"/>
        </w:sectPr>
      </w:pPr>
    </w:p>
    <w:bookmarkStart w:id="116" w:name="page117"/>
    <w:bookmarkEnd w:id="116"/>
    <w:p>
      <w:pPr>
        <w:spacing w:after="0" w:line="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VIII</w:t>
      </w:r>
    </w:p>
    <w:p>
      <w:pPr>
        <w:spacing w:after="0" w:line="2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THE ADMINISTRATIVE AGENT</w:t>
      </w:r>
    </w:p>
    <w:p>
      <w:pPr>
        <w:spacing w:after="0" w:line="21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66" w:lineRule="auto"/>
        <w:tabs>
          <w:tab w:leader="none" w:pos="194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1" w:lineRule="exact"/>
        <w:rPr>
          <w:rFonts w:ascii="Times New Roman" w:cs="Times New Roman" w:eastAsia="Times New Roman" w:hAnsi="Times New Roman"/>
          <w:sz w:val="21"/>
          <w:szCs w:val="21"/>
          <w:color w:val="auto"/>
        </w:rPr>
      </w:pPr>
    </w:p>
    <w:p>
      <w:pPr>
        <w:jc w:val="both"/>
        <w:ind w:firstLine="1289"/>
        <w:spacing w:after="0" w:line="246" w:lineRule="auto"/>
        <w:tabs>
          <w:tab w:leader="none" w:pos="19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Administrative Agent shall not be required to take any action that (i) the Administrative Agent in good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20" w:h="16838" w:orient="portrait"/>
          <w:cols w:equalWidth="0" w:num="1">
            <w:col w:w="11260"/>
          </w:cols>
          <w:pgMar w:left="340" w:top="1440" w:right="318" w:bottom="1440" w:gutter="0" w:footer="0" w:header="0"/>
        </w:sectPr>
      </w:pPr>
    </w:p>
    <w:bookmarkStart w:id="117" w:name="page118"/>
    <w:bookmarkEnd w:id="117"/>
    <w:p>
      <w:pPr>
        <w:jc w:val="both"/>
        <w:ind w:firstLine="1289"/>
        <w:spacing w:after="0" w:line="256"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149" w:lineRule="exact"/>
        <w:rPr>
          <w:rFonts w:ascii="Times New Roman" w:cs="Times New Roman" w:eastAsia="Times New Roman" w:hAnsi="Times New Roman"/>
          <w:sz w:val="22"/>
          <w:szCs w:val="22"/>
          <w:color w:val="auto"/>
        </w:rPr>
      </w:pPr>
    </w:p>
    <w:p>
      <w:pPr>
        <w:jc w:val="both"/>
        <w:ind w:firstLine="1937"/>
        <w:spacing w:after="0" w:line="250" w:lineRule="auto"/>
        <w:tabs>
          <w:tab w:leader="none" w:pos="259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w:t>
      </w:r>
      <w:r>
        <w:rPr>
          <w:rFonts w:ascii="Times New Roman" w:cs="Times New Roman" w:eastAsia="Times New Roman" w:hAnsi="Times New Roman"/>
          <w:sz w:val="22"/>
          <w:szCs w:val="22"/>
          <w:color w:val="0F0F0F"/>
        </w:rPr>
        <w:t>agrees that it will not assert any claim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F0F0F"/>
        </w:rPr>
        <w:t>against the Administrative Agent based on an alleged breach of fiduciary duty by the Administrative Agent in connection with this Agreement and/or the transactions contemplated hereby;</w:t>
      </w:r>
    </w:p>
    <w:p>
      <w:pPr>
        <w:spacing w:after="0" w:line="166"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any Loan Document shall require the Administrative Agent to account to any Lender for any sum or the profit element of any sum received by the Administrative Agent for its own account;</w:t>
      </w:r>
    </w:p>
    <w:p>
      <w:pPr>
        <w:spacing w:after="0" w:line="144" w:lineRule="exact"/>
        <w:rPr>
          <w:rFonts w:ascii="Times New Roman" w:cs="Times New Roman" w:eastAsia="Times New Roman" w:hAnsi="Times New Roman"/>
          <w:sz w:val="22"/>
          <w:szCs w:val="22"/>
          <w:color w:val="auto"/>
        </w:rPr>
      </w:pPr>
    </w:p>
    <w:p>
      <w:pPr>
        <w:jc w:val="both"/>
        <w:ind w:firstLine="1289"/>
        <w:spacing w:after="0" w:line="249"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8"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any Syndication Agent, any Documentation Agent, any Bookrunner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53"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20" w:h="16838" w:orient="portrait"/>
          <w:cols w:equalWidth="0" w:num="1">
            <w:col w:w="11260"/>
          </w:cols>
          <w:pgMar w:left="340" w:top="1417" w:right="318"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2"/>
          <w:szCs w:val="22"/>
          <w:color w:val="auto"/>
        </w:rPr>
        <w:t>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9" w:lineRule="exact"/>
        <w:rPr>
          <w:sz w:val="20"/>
          <w:szCs w:val="20"/>
          <w:color w:val="auto"/>
        </w:rPr>
      </w:pPr>
    </w:p>
    <w:p>
      <w:pPr>
        <w:jc w:val="both"/>
        <w:ind w:firstLine="1937"/>
        <w:spacing w:after="0" w:line="256" w:lineRule="auto"/>
        <w:tabs>
          <w:tab w:leader="none" w:pos="259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9.03) allowed in such judicial proceeding; and</w:t>
      </w:r>
    </w:p>
    <w:p>
      <w:pPr>
        <w:spacing w:after="0" w:line="162"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distribute the same;</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5" w:lineRule="exact"/>
        <w:rPr>
          <w:sz w:val="20"/>
          <w:szCs w:val="20"/>
          <w:color w:val="auto"/>
        </w:rPr>
      </w:pPr>
    </w:p>
    <w:p>
      <w:pPr>
        <w:jc w:val="both"/>
        <w:ind w:firstLine="1289"/>
        <w:spacing w:after="0" w:line="252" w:lineRule="auto"/>
        <w:tabs>
          <w:tab w:leader="none" w:pos="19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66"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Administrative Agent’s Reliance, Limitation of Liability,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50"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20" w:h="16838" w:orient="portrait"/>
          <w:cols w:equalWidth="0" w:num="1">
            <w:col w:w="11260"/>
          </w:cols>
          <w:pgMar w:left="340" w:top="1417" w:right="318" w:bottom="1440" w:gutter="0" w:footer="0" w:header="0"/>
        </w:sectPr>
      </w:pPr>
    </w:p>
    <w:bookmarkStart w:id="119" w:name="page120"/>
    <w:bookmarkEnd w:id="119"/>
    <w:p>
      <w:pPr>
        <w:jc w:val="both"/>
        <w:ind w:left="7"/>
        <w:spacing w:after="0" w:line="268" w:lineRule="auto"/>
        <w:rPr>
          <w:sz w:val="20"/>
          <w:szCs w:val="20"/>
          <w:color w:val="auto"/>
        </w:rPr>
      </w:pPr>
      <w:r>
        <w:rPr>
          <w:rFonts w:ascii="Times New Roman" w:cs="Times New Roman" w:eastAsia="Times New Roman" w:hAnsi="Times New Roman"/>
          <w:sz w:val="21"/>
          <w:szCs w:val="21"/>
          <w:color w:val="auto"/>
        </w:rPr>
        <w:t>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spacing w:after="0" w:line="150" w:lineRule="exact"/>
        <w:rPr>
          <w:sz w:val="20"/>
          <w:szCs w:val="20"/>
          <w:color w:val="auto"/>
        </w:rPr>
      </w:pPr>
    </w:p>
    <w:p>
      <w:pPr>
        <w:jc w:val="both"/>
        <w:ind w:left="7" w:firstLine="1289"/>
        <w:spacing w:after="0" w:line="259" w:lineRule="auto"/>
        <w:tabs>
          <w:tab w:leader="none" w:pos="1951"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w:t>
      </w:r>
    </w:p>
    <w:p>
      <w:pPr>
        <w:spacing w:after="0" w:line="10" w:lineRule="exact"/>
        <w:rPr>
          <w:rFonts w:ascii="Times New Roman" w:cs="Times New Roman" w:eastAsia="Times New Roman" w:hAnsi="Times New Roman"/>
          <w:sz w:val="21"/>
          <w:szCs w:val="21"/>
          <w:color w:val="auto"/>
        </w:rPr>
      </w:pPr>
    </w:p>
    <w:p>
      <w:pPr>
        <w:jc w:val="both"/>
        <w:ind w:left="7" w:hanging="7"/>
        <w:spacing w:after="0" w:line="263" w:lineRule="auto"/>
        <w:tabs>
          <w:tab w:leader="none" w:pos="32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54" w:lineRule="exact"/>
        <w:rPr>
          <w:rFonts w:ascii="Times New Roman" w:cs="Times New Roman" w:eastAsia="Times New Roman" w:hAnsi="Times New Roman"/>
          <w:sz w:val="21"/>
          <w:szCs w:val="21"/>
          <w:color w:val="auto"/>
        </w:rPr>
      </w:pPr>
    </w:p>
    <w:p>
      <w:pPr>
        <w:jc w:val="both"/>
        <w:ind w:left="7" w:firstLine="1289"/>
        <w:spacing w:after="0" w:line="248" w:lineRule="auto"/>
        <w:tabs>
          <w:tab w:leader="none" w:pos="195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90</w:t>
      </w:r>
    </w:p>
    <w:p>
      <w:pPr>
        <w:sectPr>
          <w:pgSz w:w="11920" w:h="16838" w:orient="portrait"/>
          <w:cols w:equalWidth="0" w:num="1">
            <w:col w:w="11267"/>
          </w:cols>
          <w:pgMar w:left="333" w:top="1417" w:right="318" w:bottom="1440" w:gutter="0" w:footer="0" w:header="0"/>
        </w:sectPr>
      </w:pPr>
    </w:p>
    <w:bookmarkStart w:id="120" w:name="page121"/>
    <w:bookmarkEnd w:id="120"/>
    <w:p>
      <w:pPr>
        <w:jc w:val="both"/>
        <w:spacing w:after="0" w:line="257" w:lineRule="auto"/>
        <w:rPr>
          <w:sz w:val="20"/>
          <w:szCs w:val="20"/>
          <w:color w:val="auto"/>
        </w:rPr>
      </w:pPr>
      <w:r>
        <w:rPr>
          <w:rFonts w:ascii="Times New Roman" w:cs="Times New Roman" w:eastAsia="Times New Roman" w:hAnsi="Times New Roman"/>
          <w:sz w:val="22"/>
          <w:szCs w:val="22"/>
          <w:color w:val="auto"/>
        </w:rPr>
        <w:t>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Posting of Communications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56" w:lineRule="auto"/>
        <w:tabs>
          <w:tab w:leader="none" w:pos="19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2"/>
          <w:szCs w:val="22"/>
          <w:u w:val="single" w:color="auto"/>
          <w:color w:val="auto"/>
        </w:rPr>
        <w:t>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Electronic Platform</w:t>
      </w:r>
      <w:r>
        <w:rPr>
          <w:rFonts w:ascii="Times New Roman" w:cs="Times New Roman" w:eastAsia="Times New Roman" w:hAnsi="Times New Roman"/>
          <w:sz w:val="22"/>
          <w:szCs w:val="22"/>
          <w:color w:val="auto"/>
        </w:rPr>
        <w:t>”).</w:t>
      </w:r>
    </w:p>
    <w:p>
      <w:pPr>
        <w:spacing w:after="0" w:line="162"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42" w:lineRule="exact"/>
        <w:rPr>
          <w:rFonts w:ascii="Times New Roman" w:cs="Times New Roman" w:eastAsia="Times New Roman" w:hAnsi="Times New Roman"/>
          <w:sz w:val="21"/>
          <w:szCs w:val="21"/>
          <w:color w:val="auto"/>
        </w:rPr>
      </w:pPr>
    </w:p>
    <w:p>
      <w:pPr>
        <w:jc w:val="both"/>
        <w:ind w:firstLine="1289"/>
        <w:spacing w:after="0" w:line="261" w:lineRule="auto"/>
        <w:tabs>
          <w:tab w:leader="none" w:pos="194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BOOKRUNNER, ANY DOCUMENTATION AGENT, ANY SYNDICATION AGENT OR ANY OF THEIR RESPECTIVE RELATED PARTIES (COLLECTIVELY, “</w:t>
      </w:r>
      <w:r>
        <w:rPr>
          <w:rFonts w:ascii="Times New Roman" w:cs="Times New Roman" w:eastAsia="Times New Roman" w:hAnsi="Times New Roman"/>
          <w:sz w:val="21"/>
          <w:szCs w:val="21"/>
          <w:u w:val="single" w:color="auto"/>
          <w:color w:val="auto"/>
        </w:rPr>
        <w:t>APPLICABLE PARTIES</w:t>
      </w:r>
      <w:r>
        <w:rPr>
          <w:rFonts w:ascii="Times New Roman" w:cs="Times New Roman" w:eastAsia="Times New Roman" w:hAnsi="Times New Roman"/>
          <w:sz w:val="21"/>
          <w:szCs w:val="21"/>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20" w:h="16838" w:orient="portrait"/>
          <w:cols w:equalWidth="0" w:num="1">
            <w:col w:w="11260"/>
          </w:cols>
          <w:pgMar w:left="340" w:top="1417" w:right="318" w:bottom="1440" w:gutter="0" w:footer="0" w:header="0"/>
        </w:sectPr>
      </w:pPr>
    </w:p>
    <w:bookmarkStart w:id="121" w:name="page122"/>
    <w:bookmarkEnd w:id="121"/>
    <w:p>
      <w:pPr>
        <w:jc w:val="both"/>
        <w:spacing w:after="0" w:line="271" w:lineRule="auto"/>
        <w:rPr>
          <w:sz w:val="20"/>
          <w:szCs w:val="20"/>
          <w:color w:val="auto"/>
        </w:rPr>
      </w:pPr>
      <w:r>
        <w:rPr>
          <w:rFonts w:ascii="Times New Roman" w:cs="Times New Roman" w:eastAsia="Times New Roman" w:hAnsi="Times New Roman"/>
          <w:sz w:val="22"/>
          <w:szCs w:val="22"/>
          <w:color w:val="auto"/>
        </w:rPr>
        <w:t>ADMINISTRATIVE AGENT’S TRANSMISSION OF COMMUNICATIONS THROUGH THE INTERNET OR THE APPROVED ELECTRONIC PLATFORM.</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the Borrower pursuant to any Loan Document or the transactions contemplated therein which is distributed by the Administrative Agent or any Lender or by means of electronic communications pursuant to this Section, including through an Approved Electronic Platform.</w:t>
      </w:r>
    </w:p>
    <w:p>
      <w:pPr>
        <w:spacing w:after="0" w:line="161" w:lineRule="exact"/>
        <w:rPr>
          <w:sz w:val="20"/>
          <w:szCs w:val="20"/>
          <w:color w:val="auto"/>
        </w:rPr>
      </w:pPr>
    </w:p>
    <w:p>
      <w:pPr>
        <w:jc w:val="both"/>
        <w:ind w:firstLine="1289"/>
        <w:spacing w:after="0" w:line="253"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(as applicable) email address to which the foregoing notice may be sent by electronic transmission and (ii) that the foregoing notice may be sent to such email address.</w:t>
      </w:r>
    </w:p>
    <w:p>
      <w:pPr>
        <w:spacing w:after="0" w:line="165" w:lineRule="exact"/>
        <w:rPr>
          <w:rFonts w:ascii="Times New Roman" w:cs="Times New Roman" w:eastAsia="Times New Roman" w:hAnsi="Times New Roman"/>
          <w:sz w:val="22"/>
          <w:szCs w:val="22"/>
          <w:color w:val="auto"/>
        </w:rPr>
      </w:pPr>
    </w:p>
    <w:p>
      <w:pPr>
        <w:jc w:val="both"/>
        <w:ind w:firstLine="1289"/>
        <w:spacing w:after="0" w:line="257"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9"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or any Lender to give any notice or other communication pursuant to any Loan Document in any other manner specified in such Loan Document.</w:t>
      </w:r>
    </w:p>
    <w:p>
      <w:pPr>
        <w:spacing w:after="0" w:line="14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The Administrative Agent Individually</w:t>
      </w:r>
      <w:r>
        <w:rPr>
          <w:rFonts w:ascii="Times New Roman" w:cs="Times New Roman" w:eastAsia="Times New Roman" w:hAnsi="Times New Roman"/>
          <w:sz w:val="21"/>
          <w:szCs w:val="21"/>
          <w:color w:val="auto"/>
        </w:rPr>
        <w:t>. 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17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57" w:lineRule="auto"/>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20" w:h="16838" w:orient="portrait"/>
          <w:cols w:equalWidth="0" w:num="1">
            <w:col w:w="11260"/>
          </w:cols>
          <w:pgMar w:left="340" w:top="1417" w:right="318" w:bottom="1440" w:gutter="0" w:footer="0" w:header="0"/>
        </w:sectPr>
      </w:pPr>
    </w:p>
    <w:bookmarkStart w:id="122" w:name="page123"/>
    <w:bookmarkEnd w:id="122"/>
    <w:p>
      <w:pPr>
        <w:jc w:val="both"/>
        <w:spacing w:after="0" w:line="248" w:lineRule="auto"/>
        <w:rPr>
          <w:sz w:val="20"/>
          <w:szCs w:val="20"/>
          <w:color w:val="auto"/>
        </w:rPr>
      </w:pPr>
      <w:r>
        <w:rPr>
          <w:rFonts w:ascii="Times New Roman" w:cs="Times New Roman" w:eastAsia="Times New Roman" w:hAnsi="Times New Roman"/>
          <w:sz w:val="22"/>
          <w:szCs w:val="22"/>
          <w:color w:val="auto"/>
        </w:rPr>
        <w:t>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under Sections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71" w:lineRule="exact"/>
        <w:rPr>
          <w:sz w:val="20"/>
          <w:szCs w:val="20"/>
          <w:color w:val="auto"/>
        </w:rPr>
      </w:pPr>
    </w:p>
    <w:p>
      <w:pPr>
        <w:jc w:val="both"/>
        <w:ind w:firstLine="1289"/>
        <w:spacing w:after="0" w:line="248" w:lineRule="auto"/>
        <w:tabs>
          <w:tab w:leader="none" w:pos="19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 all payments required to be made hereunder or under any other Loan Document to the Administrative Agent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4"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Acknowledgements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75" w:lineRule="auto"/>
        <w:tabs>
          <w:tab w:leader="none" w:pos="194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not for the purpose of purchasing,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20" w:h="16838" w:orient="portrait"/>
          <w:cols w:equalWidth="0" w:num="1">
            <w:col w:w="11260"/>
          </w:cols>
          <w:pgMar w:left="340" w:top="1417" w:right="318" w:bottom="1440" w:gutter="0" w:footer="0" w:header="0"/>
        </w:sectPr>
      </w:pPr>
    </w:p>
    <w:bookmarkStart w:id="123" w:name="page124"/>
    <w:bookmarkEnd w:id="123"/>
    <w:p>
      <w:pPr>
        <w:jc w:val="both"/>
        <w:ind w:left="7"/>
        <w:spacing w:after="0" w:line="248" w:lineRule="auto"/>
        <w:rPr>
          <w:sz w:val="20"/>
          <w:szCs w:val="20"/>
          <w:color w:val="auto"/>
        </w:rPr>
      </w:pPr>
      <w:r>
        <w:rPr>
          <w:rFonts w:ascii="Times New Roman" w:cs="Times New Roman" w:eastAsia="Times New Roman" w:hAnsi="Times New Roman"/>
          <w:sz w:val="22"/>
          <w:szCs w:val="22"/>
          <w:color w:val="auto"/>
        </w:rPr>
        <w:t>acquiring or holding any other type of financial instrument (and each Lender agrees not to assert a claim in contravention of the foregoing), (iii) it has, independently and without reliance upon the Administrative Agent, any Arranger, any Bookrunner, any Syndication Agent, any 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Bookrunner, any Syndication Agent, any Documentation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4" w:lineRule="exact"/>
        <w:rPr>
          <w:sz w:val="20"/>
          <w:szCs w:val="20"/>
          <w:color w:val="auto"/>
        </w:rPr>
      </w:pPr>
    </w:p>
    <w:p>
      <w:pPr>
        <w:jc w:val="both"/>
        <w:ind w:left="7" w:firstLine="1289"/>
        <w:spacing w:after="0" w:line="250" w:lineRule="auto"/>
        <w:tabs>
          <w:tab w:leader="none" w:pos="195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67" w:lineRule="exact"/>
        <w:rPr>
          <w:sz w:val="20"/>
          <w:szCs w:val="20"/>
          <w:color w:val="auto"/>
        </w:rPr>
      </w:pPr>
    </w:p>
    <w:p>
      <w:pPr>
        <w:ind w:left="647"/>
        <w:spacing w:after="0"/>
        <w:tabs>
          <w:tab w:leader="none" w:pos="2567"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47" w:hanging="651"/>
        <w:spacing w:after="0"/>
        <w:tabs>
          <w:tab w:leader="none" w:pos="1947"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w:t>
      </w:r>
    </w:p>
    <w:p>
      <w:pPr>
        <w:spacing w:after="0" w:line="40" w:lineRule="exact"/>
        <w:rPr>
          <w:rFonts w:ascii="Times New Roman" w:cs="Times New Roman" w:eastAsia="Times New Roman" w:hAnsi="Times New Roman"/>
          <w:sz w:val="21"/>
          <w:szCs w:val="21"/>
          <w:color w:val="auto"/>
        </w:rPr>
      </w:pPr>
    </w:p>
    <w:p>
      <w:pPr>
        <w:jc w:val="both"/>
        <w:ind w:left="7" w:hanging="7"/>
        <w:spacing w:after="0" w:line="251" w:lineRule="auto"/>
        <w:tabs>
          <w:tab w:leader="none" w:pos="3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from the date such Person became a Lender party hereto to the date such Person ceases being a Lender party hereto, for the benefit of, the Administrative Agent, each Arranger and each Bookrunner and their respective Affiliates, and not, for the avoidance of doubt, to or for the benefit of the Borrower, that at least one of the following is and will be true:</w:t>
      </w:r>
    </w:p>
    <w:p>
      <w:pPr>
        <w:spacing w:after="0" w:line="165" w:lineRule="exact"/>
        <w:rPr>
          <w:rFonts w:ascii="Times New Roman" w:cs="Times New Roman" w:eastAsia="Times New Roman" w:hAnsi="Times New Roman"/>
          <w:sz w:val="22"/>
          <w:szCs w:val="22"/>
          <w:color w:val="auto"/>
        </w:rPr>
      </w:pPr>
    </w:p>
    <w:p>
      <w:pPr>
        <w:ind w:left="7" w:firstLine="1937"/>
        <w:spacing w:after="0" w:line="271" w:lineRule="auto"/>
        <w:tabs>
          <w:tab w:leader="none" w:pos="2599"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or the Commitments,</w:t>
      </w:r>
    </w:p>
    <w:p>
      <w:pPr>
        <w:spacing w:after="0" w:line="144" w:lineRule="exact"/>
        <w:rPr>
          <w:rFonts w:ascii="Times New Roman" w:cs="Times New Roman" w:eastAsia="Times New Roman" w:hAnsi="Times New Roman"/>
          <w:sz w:val="22"/>
          <w:szCs w:val="22"/>
          <w:color w:val="auto"/>
        </w:rPr>
      </w:pPr>
    </w:p>
    <w:p>
      <w:pPr>
        <w:jc w:val="both"/>
        <w:ind w:left="7" w:firstLine="1937"/>
        <w:spacing w:after="0" w:line="257" w:lineRule="auto"/>
        <w:tabs>
          <w:tab w:leader="none" w:pos="2599"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94</w:t>
      </w:r>
    </w:p>
    <w:p>
      <w:pPr>
        <w:sectPr>
          <w:pgSz w:w="11920" w:h="16838" w:orient="portrait"/>
          <w:cols w:equalWidth="0" w:num="1">
            <w:col w:w="11267"/>
          </w:cols>
          <w:pgMar w:left="333" w:top="1417" w:right="318"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22"/>
          <w:szCs w:val="22"/>
          <w:color w:val="auto"/>
        </w:rPr>
        <w:t>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49" w:lineRule="exact"/>
        <w:rPr>
          <w:sz w:val="20"/>
          <w:szCs w:val="20"/>
          <w:color w:val="auto"/>
        </w:rPr>
      </w:pPr>
    </w:p>
    <w:p>
      <w:pPr>
        <w:jc w:val="both"/>
        <w:ind w:firstLine="1937"/>
        <w:spacing w:after="0" w:line="252" w:lineRule="auto"/>
        <w:tabs>
          <w:tab w:leader="none" w:pos="2592"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5"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44" w:lineRule="exact"/>
        <w:rPr>
          <w:rFonts w:ascii="Times New Roman" w:cs="Times New Roman" w:eastAsia="Times New Roman" w:hAnsi="Times New Roman"/>
          <w:sz w:val="22"/>
          <w:szCs w:val="22"/>
          <w:color w:val="auto"/>
        </w:rPr>
      </w:pPr>
    </w:p>
    <w:p>
      <w:pPr>
        <w:jc w:val="both"/>
        <w:ind w:firstLine="1289"/>
        <w:spacing w:after="0" w:line="248" w:lineRule="auto"/>
        <w:tabs>
          <w:tab w:leader="none" w:pos="19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Bookrunner and each Arranger and their respective Affiliates, and not, for the avoidance of doubt, to or for the benefit of the Borrower, that none of the Administrative Agent, or any Arranger, Bookrunner, any 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71"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each Arranger, Bookrunner,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20" w:h="16838" w:orient="portrait"/>
          <w:cols w:equalWidth="0" w:num="1">
            <w:col w:w="11260"/>
          </w:cols>
          <w:pgMar w:left="340" w:top="1417" w:right="318" w:bottom="1440" w:gutter="0" w:footer="0" w:header="0"/>
        </w:sectPr>
      </w:pPr>
    </w:p>
    <w:bookmarkStart w:id="125" w:name="page126"/>
    <w:bookmarkEnd w:id="125"/>
    <w:p>
      <w:pPr>
        <w:spacing w:after="0" w:line="271" w:lineRule="auto"/>
        <w:rPr>
          <w:sz w:val="20"/>
          <w:szCs w:val="20"/>
          <w:color w:val="auto"/>
        </w:rPr>
      </w:pPr>
      <w:r>
        <w:rPr>
          <w:rFonts w:ascii="Times New Roman" w:cs="Times New Roman" w:eastAsia="Times New Roman" w:hAnsi="Times New Roman"/>
          <w:sz w:val="22"/>
          <w:szCs w:val="22"/>
          <w:color w:val="auto"/>
        </w:rPr>
        <w:t>fees, fronting fees, deal-away or alternate transaction fees, amendment fees, processing fees, term out premiums, banker’s acceptance fees, breakage or other early termination fees or fees similar to the foregoing.</w:t>
      </w:r>
    </w:p>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IX</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89"/>
        <w:spacing w:after="0" w:line="257" w:lineRule="auto"/>
        <w:tabs>
          <w:tab w:leader="none" w:pos="194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59"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w:t>
      </w:r>
    </w:p>
    <w:p>
      <w:pPr>
        <w:spacing w:after="0" w:line="219" w:lineRule="exact"/>
        <w:rPr>
          <w:rFonts w:ascii="Times New Roman" w:cs="Times New Roman" w:eastAsia="Times New Roman" w:hAnsi="Times New Roman"/>
          <w:sz w:val="22"/>
          <w:szCs w:val="22"/>
          <w:color w:val="auto"/>
        </w:rPr>
      </w:pPr>
    </w:p>
    <w:p>
      <w:pPr>
        <w:ind w:left="2580" w:right="5880"/>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650 California Street San Francisco, CA 94108 Attention of Chief Legal Officer Email: [***]</w:t>
      </w:r>
    </w:p>
    <w:p>
      <w:pPr>
        <w:ind w:left="2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w:t>
      </w:r>
    </w:p>
    <w:p>
      <w:pPr>
        <w:spacing w:after="0" w:line="273" w:lineRule="exact"/>
        <w:rPr>
          <w:rFonts w:ascii="Times New Roman" w:cs="Times New Roman" w:eastAsia="Times New Roman" w:hAnsi="Times New Roman"/>
          <w:sz w:val="22"/>
          <w:szCs w:val="22"/>
          <w:color w:val="auto"/>
        </w:rPr>
      </w:pPr>
    </w:p>
    <w:p>
      <w:pPr>
        <w:ind w:right="260" w:firstLine="1937"/>
        <w:spacing w:after="0" w:line="296" w:lineRule="auto"/>
        <w:tabs>
          <w:tab w:leader="none" w:pos="259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for purposes of borrowing notices, conversion notices, prepayment notices and payments of interest and fees, to</w:t>
      </w:r>
    </w:p>
    <w:p>
      <w:pPr>
        <w:spacing w:after="0" w:line="14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Attention: William Coshburn</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400 Jefferson Park</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New Jersey, Whippany 07981</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Telephone: [***]</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Fax: [***]</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Email: [***]</w:t>
      </w:r>
    </w:p>
    <w:p>
      <w:pPr>
        <w:spacing w:after="0" w:line="274" w:lineRule="exact"/>
        <w:rPr>
          <w:sz w:val="20"/>
          <w:szCs w:val="20"/>
          <w:color w:val="auto"/>
        </w:rPr>
      </w:pPr>
    </w:p>
    <w:p>
      <w:pPr>
        <w:ind w:left="2580" w:hanging="643"/>
        <w:spacing w:after="0"/>
        <w:tabs>
          <w:tab w:leader="none" w:pos="25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for purposes of compliance certificates and financial statements or</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general queries, to</w:t>
      </w:r>
    </w:p>
    <w:p>
      <w:pPr>
        <w:spacing w:after="0" w:line="200" w:lineRule="exact"/>
        <w:rPr>
          <w:sz w:val="20"/>
          <w:szCs w:val="20"/>
          <w:color w:val="auto"/>
        </w:rPr>
      </w:pPr>
    </w:p>
    <w:p>
      <w:pPr>
        <w:spacing w:after="0" w:line="26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Attention: May Huang</w:t>
      </w:r>
    </w:p>
    <w:p>
      <w:pPr>
        <w:spacing w:after="0" w:line="31" w:lineRule="exact"/>
        <w:rPr>
          <w:sz w:val="20"/>
          <w:szCs w:val="20"/>
          <w:color w:val="auto"/>
        </w:rPr>
      </w:pPr>
    </w:p>
    <w:p>
      <w:pPr>
        <w:ind w:left="2580" w:right="6800" w:firstLine="5"/>
        <w:spacing w:after="0" w:line="296" w:lineRule="auto"/>
        <w:tabs>
          <w:tab w:leader="none" w:pos="295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7th Avenue New York, NY 10019</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20" w:h="16838" w:orient="portrait"/>
          <w:cols w:equalWidth="0" w:num="1">
            <w:col w:w="11260"/>
          </w:cols>
          <w:pgMar w:left="340" w:top="1417" w:right="318" w:bottom="1440" w:gutter="0" w:footer="0" w:header="0"/>
        </w:sectPr>
      </w:pPr>
    </w:p>
    <w:bookmarkStart w:id="126" w:name="page127"/>
    <w:bookmarkEnd w:id="126"/>
    <w:p>
      <w:pPr>
        <w:ind w:left="2580"/>
        <w:spacing w:after="0"/>
        <w:rPr>
          <w:sz w:val="20"/>
          <w:szCs w:val="20"/>
          <w:color w:val="auto"/>
        </w:rPr>
      </w:pPr>
      <w:r>
        <w:rPr>
          <w:rFonts w:ascii="Times New Roman" w:cs="Times New Roman" w:eastAsia="Times New Roman" w:hAnsi="Times New Roman"/>
          <w:sz w:val="22"/>
          <w:szCs w:val="22"/>
          <w:color w:val="auto"/>
        </w:rPr>
        <w:t>Telephone: [***]</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Fax: [***]</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36" w:lineRule="exact"/>
        <w:rPr>
          <w:sz w:val="20"/>
          <w:szCs w:val="20"/>
          <w:color w:val="auto"/>
        </w:rPr>
      </w:pPr>
    </w:p>
    <w:p>
      <w:pPr>
        <w:jc w:val="both"/>
        <w:ind w:left="1940"/>
        <w:spacing w:after="0"/>
        <w:tabs>
          <w:tab w:leader="none" w:pos="25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if to any other Lender, to it at its address (or telecopy number) set forth in its Administrative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Questionnaire.</w:t>
      </w:r>
    </w:p>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77" w:lineRule="exact"/>
        <w:rPr>
          <w:sz w:val="20"/>
          <w:szCs w:val="20"/>
          <w:color w:val="auto"/>
        </w:rPr>
      </w:pPr>
    </w:p>
    <w:p>
      <w:pPr>
        <w:jc w:val="both"/>
        <w:ind w:firstLine="1289"/>
        <w:spacing w:after="0" w:line="251" w:lineRule="auto"/>
        <w:tabs>
          <w:tab w:leader="none" w:pos="19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Borrower and the Lenders hereunder may be delivered or furnished by using Approved Electronic Platforms pursuant to procedures approved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67" w:lineRule="exact"/>
        <w:rPr>
          <w:rFonts w:ascii="Times New Roman" w:cs="Times New Roman" w:eastAsia="Times New Roman" w:hAnsi="Times New Roman"/>
          <w:sz w:val="22"/>
          <w:szCs w:val="22"/>
          <w:color w:val="auto"/>
        </w:rPr>
      </w:pPr>
    </w:p>
    <w:p>
      <w:pPr>
        <w:jc w:val="both"/>
        <w:ind w:firstLine="1289"/>
        <w:spacing w:after="0" w:line="249" w:lineRule="auto"/>
        <w:tabs>
          <w:tab w:leader="none" w:pos="19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8" w:lineRule="exact"/>
        <w:rPr>
          <w:rFonts w:ascii="Times New Roman" w:cs="Times New Roman" w:eastAsia="Times New Roman" w:hAnsi="Times New Roman"/>
          <w:sz w:val="22"/>
          <w:szCs w:val="22"/>
          <w:color w:val="auto"/>
        </w:rPr>
      </w:pPr>
    </w:p>
    <w:p>
      <w:pPr>
        <w:ind w:firstLine="1289"/>
        <w:spacing w:after="0" w:line="271" w:lineRule="auto"/>
        <w:tabs>
          <w:tab w:leader="none" w:pos="19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telecopy number for notices and other communications hereunder by notice to the other parties hereto.</w:t>
      </w:r>
    </w:p>
    <w:p>
      <w:pPr>
        <w:spacing w:after="0" w:line="144"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u w:val="single" w:color="auto"/>
          <w:color w:val="auto"/>
        </w:rPr>
        <w:t>Waivers; Amendments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289"/>
        <w:spacing w:after="0" w:line="271"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the Administrative Agent or any Lender in exercising any right or power hereunder shall operate as a waiver thereof, nor shall any single 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20" w:h="16838" w:orient="portrait"/>
          <w:cols w:equalWidth="0" w:num="1">
            <w:col w:w="11260"/>
          </w:cols>
          <w:pgMar w:left="340" w:top="1430" w:right="318" w:bottom="1440" w:gutter="0" w:footer="0" w:header="0"/>
        </w:sectPr>
      </w:pPr>
    </w:p>
    <w:bookmarkStart w:id="127" w:name="page128"/>
    <w:bookmarkEnd w:id="127"/>
    <w:p>
      <w:pPr>
        <w:jc w:val="both"/>
        <w:spacing w:after="0" w:line="262" w:lineRule="auto"/>
        <w:rPr>
          <w:sz w:val="20"/>
          <w:szCs w:val="20"/>
          <w:color w:val="auto"/>
        </w:rPr>
      </w:pPr>
      <w:r>
        <w:rPr>
          <w:rFonts w:ascii="Times New Roman" w:cs="Times New Roman" w:eastAsia="Times New Roman" w:hAnsi="Times New Roman"/>
          <w:sz w:val="21"/>
          <w:szCs w:val="21"/>
          <w:color w:val="auto"/>
        </w:rPr>
        <w:t>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or Event of Default at the time.</w:t>
      </w:r>
    </w:p>
    <w:p>
      <w:pPr>
        <w:spacing w:after="0" w:line="159" w:lineRule="exact"/>
        <w:rPr>
          <w:sz w:val="20"/>
          <w:szCs w:val="20"/>
          <w:color w:val="auto"/>
        </w:rPr>
      </w:pPr>
    </w:p>
    <w:p>
      <w:pPr>
        <w:jc w:val="both"/>
        <w:ind w:firstLine="1289"/>
        <w:spacing w:after="0" w:line="247"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and Section 9.02(c)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agreement shall (i) increase the Commitment of any Lender without the written consent of such Lender,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Section 2.09(c) or 2.18(b) or (c) in a manner that would alter the ratable reduction of Commitments or the pro rata sharing of payments required thereby, without the written consent of each Lender, (v) change the payment waterfall provisions of Section 2.20(b) or 7.03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(vii) release all or substantially all of the value of the Guaranty, without the written consent of each Lender, (viii) amend or waive any condition precedent set forth in Article IV, without the written consent of each Lender or (ix) subordinate any of the Obligations to any other Indebtedness or obligations, without the written consent of each Lender;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 such agreement shall amend, modify or otherwise affect the rights or duties of the Administrative Agent hereunder without the prior written consent of the Administrative Agent.</w:t>
      </w:r>
    </w:p>
    <w:p>
      <w:pPr>
        <w:spacing w:after="0" w:line="187" w:lineRule="exact"/>
        <w:rPr>
          <w:rFonts w:ascii="Times New Roman" w:cs="Times New Roman" w:eastAsia="Times New Roman" w:hAnsi="Times New Roman"/>
          <w:sz w:val="22"/>
          <w:szCs w:val="22"/>
          <w:color w:val="auto"/>
        </w:rPr>
      </w:pPr>
    </w:p>
    <w:p>
      <w:pPr>
        <w:jc w:val="both"/>
        <w:ind w:firstLine="1289"/>
        <w:spacing w:after="0" w:line="250"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20" w:h="16838" w:orient="portrait"/>
          <w:cols w:equalWidth="0" w:num="1">
            <w:col w:w="11260"/>
          </w:cols>
          <w:pgMar w:left="340" w:top="1417" w:right="318" w:bottom="1440" w:gutter="0" w:footer="0" w:header="0"/>
        </w:sectPr>
      </w:pPr>
    </w:p>
    <w:bookmarkStart w:id="128" w:name="page129"/>
    <w:bookmarkEnd w:id="128"/>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u w:val="single" w:color="auto"/>
          <w:color w:val="auto"/>
        </w:rPr>
        <w:t>Expenses; Limitation of Liability; Indemnity,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63" w:lineRule="auto"/>
        <w:tabs>
          <w:tab w:leader="none" w:pos="194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The Borrower shall pay (i) all reasonable and documented out of pocket expenses incurred by the Administrative Agent and its Affiliates, including the reasonable fees, charges and disbursements of counsel for the Administrative Agent, in connection with the syndication of the credit facility provided for herein, the preparation and administration of this Agreement and the other Loan Documents or any amendments, modifications or waivers of the provisions hereof or thereof and (ii) all reasonable and documented out-of-pocket expenses incurred by the Administrative Agent or any Lender, including the fees, charges and disbursements of any counsel for the Administrative Agent or any Lender, in connection with the enforcement or protection of its rights in connection with this Agreement and the other Loan Documents, including its rights under this Section, or in connection with the Loans made hereunder, including all such reasonable and documented out-of-pocket expenses incurred during any workout, restructuring or negotiations in respect of such Loans.</w:t>
      </w:r>
    </w:p>
    <w:p>
      <w:pPr>
        <w:spacing w:after="0" w:line="156" w:lineRule="exact"/>
        <w:rPr>
          <w:rFonts w:ascii="Times New Roman" w:cs="Times New Roman" w:eastAsia="Times New Roman" w:hAnsi="Times New Roman"/>
          <w:sz w:val="21"/>
          <w:szCs w:val="21"/>
          <w:color w:val="auto"/>
        </w:rPr>
      </w:pPr>
    </w:p>
    <w:p>
      <w:pPr>
        <w:jc w:val="both"/>
        <w:ind w:firstLine="1289"/>
        <w:spacing w:after="0" w:line="261" w:lineRule="auto"/>
        <w:tabs>
          <w:tab w:leader="none" w:pos="194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xml:space="preserve"> To the extent permitted by applicable law (i) the Borrower shall not assert, and the Borrower hereby waives, any claim against the Administrative Agent, any Arranger, any Bookrunner, any Syndication Agent, any Documentation Agent and any Lender, and any Related Party of any of the foregoing Persons (each such Person being called a “</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62"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xml:space="preserve"> The Borrower shall indemnify the Administrative Agent, each Arranger, each Bookrunner, each Syndication Agent, each Documentation Agent and each Lender,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(ii) any Loan or the use of the proceeds therefrom, (iii) any actual or alleged presence or release of Hazardous Materials on or from 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20" w:h="16838" w:orient="portrait"/>
          <w:cols w:equalWidth="0" w:num="1">
            <w:col w:w="11260"/>
          </w:cols>
          <w:pgMar w:left="340" w:top="1417" w:right="318" w:bottom="1440" w:gutter="0" w:footer="0" w:header="0"/>
        </w:sectPr>
      </w:pPr>
    </w:p>
    <w:bookmarkStart w:id="129" w:name="page130"/>
    <w:bookmarkEnd w:id="12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property owned or operated by Holdings, the Borrower or any of their Subsidiaries, or any Environmental Liability related in any way to Holdings, the Borrower or any of their Subsidiaries or (iv)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indemnity shall not, as to any Indemnitee, be available to the extent that such Liabilities or related expenses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by a court of competent jurisdiction by final and nonappealable judgment to have resulted primarily from the bad faith, gross negligence or willful misconduct of such Indemnitee. This Section 9.03(c) shall not apply with respect to Taxes other than any Taxes that represent losses, claims or damages arising from any non-Tax claim.</w:t>
      </w:r>
    </w:p>
    <w:p>
      <w:pPr>
        <w:spacing w:after="0" w:line="168" w:lineRule="exact"/>
        <w:rPr>
          <w:sz w:val="20"/>
          <w:szCs w:val="20"/>
          <w:color w:val="auto"/>
        </w:rPr>
      </w:pPr>
    </w:p>
    <w:p>
      <w:pPr>
        <w:jc w:val="both"/>
        <w:ind w:firstLine="1289"/>
        <w:spacing w:after="0" w:line="248" w:lineRule="auto"/>
        <w:tabs>
          <w:tab w:leader="none" w:pos="19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Reimbursement.</w:t>
      </w:r>
      <w:r>
        <w:rPr>
          <w:rFonts w:ascii="Times New Roman" w:cs="Times New Roman" w:eastAsia="Times New Roman" w:hAnsi="Times New Roman"/>
          <w:sz w:val="22"/>
          <w:szCs w:val="22"/>
          <w:color w:val="auto"/>
        </w:rPr>
        <w:t xml:space="preserve"> Each Lender severally agrees to pay any amount required to be paid by the Borrower under paragraphs (a), (b) or (c) of this Section 9.03 to the Administrative Agent, and each Related Party of any of the foregoing Persons (each, an “</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w:t>
      </w:r>
      <w:r>
        <w:rPr>
          <w:rFonts w:ascii="Times New Roman" w:cs="Times New Roman" w:eastAsia="Times New Roman" w:hAnsi="Times New Roman"/>
          <w:sz w:val="22"/>
          <w:szCs w:val="22"/>
          <w:color w:val="EE2724"/>
          <w:strike w:val="1"/>
        </w:rPr>
        <w:t>, from and against any and all Liabilities and related expenses, including the fees, charges and disbursements of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w:t>
      </w:r>
      <w:r>
        <w:rPr>
          <w:rFonts w:ascii="Times New Roman" w:cs="Times New Roman" w:eastAsia="Times New Roman" w:hAnsi="Times New Roman"/>
          <w:sz w:val="22"/>
          <w:szCs w:val="22"/>
          <w:color w:val="000000"/>
          <w:strike w:val="1"/>
        </w:rPr>
        <w:t>;</w:t>
      </w:r>
      <w:r>
        <w:rPr>
          <w:rFonts w:ascii="Times New Roman" w:cs="Times New Roman" w:eastAsia="Times New Roman" w:hAnsi="Times New Roman"/>
          <w:sz w:val="22"/>
          <w:szCs w:val="22"/>
          <w:color w:val="EE2724"/>
          <w:strike w:val="1"/>
        </w:rPr>
        <w:t xml:space="preserve"> </w:t>
      </w:r>
      <w:r>
        <w:rPr>
          <w:rFonts w:ascii="Times New Roman" w:cs="Times New Roman" w:eastAsia="Times New Roman" w:hAnsi="Times New Roman"/>
          <w:sz w:val="22"/>
          <w:szCs w:val="22"/>
          <w:i w:val="1"/>
          <w:iCs w:val="1"/>
          <w:color w:val="000000"/>
          <w:strike w:val="1"/>
        </w:rPr>
        <w:t>provided</w:t>
      </w:r>
      <w:r>
        <w:rPr>
          <w:rFonts w:ascii="Times New Roman" w:cs="Times New Roman" w:eastAsia="Times New Roman" w:hAnsi="Times New Roman"/>
          <w:sz w:val="22"/>
          <w:szCs w:val="22"/>
          <w:color w:val="EE2724"/>
          <w:strike w:val="1"/>
        </w:rPr>
        <w:t xml:space="preserve"> </w:t>
      </w:r>
      <w:r>
        <w:rPr>
          <w:rFonts w:ascii="Times New Roman" w:cs="Times New Roman" w:eastAsia="Times New Roman" w:hAnsi="Times New Roman"/>
          <w:sz w:val="22"/>
          <w:szCs w:val="22"/>
          <w:color w:val="000000"/>
          <w:strike w:val="1"/>
        </w:rPr>
        <w:t xml:space="preserve">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2"/>
          <w:szCs w:val="22"/>
          <w:i w:val="1"/>
          <w:iCs w:val="1"/>
          <w:color w:val="000000"/>
          <w:strike w:val="1"/>
        </w:rPr>
        <w:t>provided further</w:t>
      </w:r>
      <w:r>
        <w:rPr>
          <w:rFonts w:ascii="Times New Roman" w:cs="Times New Roman" w:eastAsia="Times New Roman" w:hAnsi="Times New Roman"/>
          <w:sz w:val="22"/>
          <w:szCs w:val="22"/>
          <w:color w:val="000000"/>
          <w:strike w:val="1"/>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59"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Section 9.03 shall be payable promptly after written demand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therefor.</w:t>
      </w:r>
    </w:p>
    <w:p>
      <w:pPr>
        <w:spacing w:after="0" w:line="180"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9.04.</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89"/>
        <w:spacing w:after="0" w:line="257" w:lineRule="auto"/>
        <w:tabs>
          <w:tab w:leader="none" w:pos="19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20" w:h="16838" w:orient="portrait"/>
          <w:cols w:equalWidth="0" w:num="1">
            <w:col w:w="11260"/>
          </w:cols>
          <w:pgMar w:left="340" w:top="1417" w:right="318" w:bottom="1440" w:gutter="0" w:footer="0" w:header="0"/>
        </w:sectPr>
      </w:pPr>
    </w:p>
    <w:bookmarkStart w:id="130" w:name="page131"/>
    <w:bookmarkEnd w:id="130"/>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w:t>
      </w:r>
      <w:r>
        <w:rPr>
          <w:rFonts w:ascii="Times New Roman" w:cs="Times New Roman" w:eastAsia="Times New Roman" w:hAnsi="Times New Roman"/>
          <w:sz w:val="22"/>
          <w:szCs w:val="22"/>
          <w:color w:val="0E32E1"/>
        </w:rPr>
        <w:t>and the Lenders</w:t>
      </w:r>
      <w:r>
        <w:rPr>
          <w:rFonts w:ascii="Times New Roman" w:cs="Times New Roman" w:eastAsia="Times New Roman" w:hAnsi="Times New Roman"/>
          <w:sz w:val="22"/>
          <w:szCs w:val="22"/>
          <w:color w:val="auto"/>
        </w:rPr>
        <w:t>)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-201295</wp:posOffset>
            </wp:positionV>
            <wp:extent cx="930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w:t>
      </w:r>
    </w:p>
    <w:p>
      <w:pPr>
        <w:spacing w:after="0" w:line="206" w:lineRule="exact"/>
        <w:rPr>
          <w:sz w:val="20"/>
          <w:szCs w:val="20"/>
          <w:color w:val="auto"/>
        </w:rPr>
      </w:pPr>
    </w:p>
    <w:p>
      <w:pPr>
        <w:jc w:val="both"/>
        <w:ind w:firstLine="1937"/>
        <w:spacing w:after="0" w:line="252" w:lineRule="auto"/>
        <w:tabs>
          <w:tab w:leader="none" w:pos="259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61" w:lineRule="exact"/>
        <w:rPr>
          <w:rFonts w:ascii="Times New Roman" w:cs="Times New Roman" w:eastAsia="Times New Roman" w:hAnsi="Times New Roman"/>
          <w:sz w:val="22"/>
          <w:szCs w:val="22"/>
          <w:color w:val="auto"/>
        </w:rPr>
      </w:pPr>
    </w:p>
    <w:p>
      <w:pPr>
        <w:jc w:val="both"/>
        <w:ind w:left="640" w:firstLine="1945"/>
        <w:spacing w:after="0" w:line="254" w:lineRule="auto"/>
        <w:tabs>
          <w:tab w:leader="none" w:pos="3232"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deemed to have consented to an assignment of all or a portion of the Revolving Loans and Commitments unless it shall have objected thereto by written notice to the Administrative Agent within ten (10) Business Days after having received notice thereof;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 consent of the Borrower shall be required for an assignment to a Lender or an Affiliate of a Lender or, if an Event of Default under Sections 7.01(a), (b), (h) or (i) has occurred and is continuing, any other assignee;</w:t>
      </w:r>
    </w:p>
    <w:p>
      <w:pPr>
        <w:spacing w:after="0" w:line="173" w:lineRule="exact"/>
        <w:rPr>
          <w:rFonts w:ascii="Times New Roman" w:cs="Times New Roman" w:eastAsia="Times New Roman" w:hAnsi="Times New Roman"/>
          <w:sz w:val="22"/>
          <w:szCs w:val="22"/>
          <w:color w:val="auto"/>
        </w:rPr>
      </w:pPr>
    </w:p>
    <w:p>
      <w:pPr>
        <w:ind w:left="640" w:firstLine="1945"/>
        <w:spacing w:after="0" w:line="275" w:lineRule="auto"/>
        <w:tabs>
          <w:tab w:leader="none" w:pos="3232"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 Lender or an Affiliate of a Lender; and</w:t>
      </w:r>
    </w:p>
    <w:p>
      <w:pPr>
        <w:spacing w:after="0" w:line="166"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192" w:lineRule="exact"/>
        <w:rPr>
          <w:rFonts w:ascii="Times New Roman" w:cs="Times New Roman" w:eastAsia="Times New Roman" w:hAnsi="Times New Roman"/>
          <w:sz w:val="22"/>
          <w:szCs w:val="22"/>
          <w:color w:val="auto"/>
        </w:rPr>
      </w:pPr>
    </w:p>
    <w:p>
      <w:pPr>
        <w:jc w:val="both"/>
        <w:ind w:left="640" w:firstLine="1945"/>
        <w:spacing w:after="0" w:line="268" w:lineRule="auto"/>
        <w:tabs>
          <w:tab w:leader="none" w:pos="3232"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consent of the Borrower shall be required if an Event of Default under Sections 7.01(a), (b), (h) or (i) has occurred and is continuing;</w:t>
      </w:r>
    </w:p>
    <w:p>
      <w:pPr>
        <w:spacing w:after="0" w:line="164" w:lineRule="exact"/>
        <w:rPr>
          <w:rFonts w:ascii="Times New Roman" w:cs="Times New Roman" w:eastAsia="Times New Roman" w:hAnsi="Times New Roman"/>
          <w:sz w:val="21"/>
          <w:szCs w:val="21"/>
          <w:color w:val="auto"/>
        </w:rPr>
      </w:pPr>
    </w:p>
    <w:p>
      <w:pPr>
        <w:ind w:left="640" w:firstLine="1945"/>
        <w:spacing w:after="0" w:line="271" w:lineRule="auto"/>
        <w:tabs>
          <w:tab w:leader="none" w:pos="3232"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20" w:h="16838" w:orient="portrait"/>
          <w:cols w:equalWidth="0" w:num="1">
            <w:col w:w="11260"/>
          </w:cols>
          <w:pgMar w:left="340" w:top="1417" w:right="318" w:bottom="1440" w:gutter="0" w:footer="0" w:header="0"/>
        </w:sectPr>
      </w:pPr>
    </w:p>
    <w:bookmarkStart w:id="131" w:name="page132"/>
    <w:bookmarkEnd w:id="131"/>
    <w:p>
      <w:pPr>
        <w:jc w:val="both"/>
        <w:ind w:left="640" w:firstLine="1945"/>
        <w:spacing w:after="0" w:line="256" w:lineRule="auto"/>
        <w:tabs>
          <w:tab w:leader="none" w:pos="323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6" w:lineRule="exact"/>
        <w:rPr>
          <w:rFonts w:ascii="Times New Roman" w:cs="Times New Roman" w:eastAsia="Times New Roman" w:hAnsi="Times New Roman"/>
          <w:sz w:val="22"/>
          <w:szCs w:val="22"/>
          <w:color w:val="auto"/>
        </w:rPr>
      </w:pPr>
    </w:p>
    <w:p>
      <w:pPr>
        <w:jc w:val="both"/>
        <w:ind w:left="640" w:firstLine="1945"/>
        <w:spacing w:after="0" w:line="253" w:lineRule="auto"/>
        <w:tabs>
          <w:tab w:leader="none" w:pos="323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its securities) will be made available and who may receive such information in accordance with the assignee’s compliance procedures and applicable laws, including Federal and state securities laws.</w:t>
      </w:r>
    </w:p>
    <w:p>
      <w:pPr>
        <w:spacing w:after="0" w:line="178" w:lineRule="exact"/>
        <w:rPr>
          <w:rFonts w:ascii="Times New Roman" w:cs="Times New Roman" w:eastAsia="Times New Roman" w:hAnsi="Times New Roman"/>
          <w:sz w:val="22"/>
          <w:szCs w:val="22"/>
          <w:color w:val="auto"/>
        </w:rPr>
      </w:pPr>
    </w:p>
    <w:p>
      <w:pPr>
        <w:jc w:val="both"/>
        <w:ind w:firstLine="1937"/>
        <w:spacing w:after="0" w:line="261" w:lineRule="auto"/>
        <w:tabs>
          <w:tab w:leader="none" w:pos="259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61" w:lineRule="exact"/>
        <w:rPr>
          <w:rFonts w:ascii="Times New Roman" w:cs="Times New Roman" w:eastAsia="Times New Roman" w:hAnsi="Times New Roman"/>
          <w:sz w:val="21"/>
          <w:szCs w:val="21"/>
          <w:color w:val="auto"/>
        </w:rPr>
      </w:pPr>
    </w:p>
    <w:p>
      <w:pPr>
        <w:jc w:val="both"/>
        <w:ind w:firstLine="1937"/>
        <w:spacing w:after="0" w:line="250" w:lineRule="auto"/>
        <w:tabs>
          <w:tab w:leader="none" w:pos="259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73" w:lineRule="exact"/>
        <w:rPr>
          <w:rFonts w:ascii="Times New Roman" w:cs="Times New Roman" w:eastAsia="Times New Roman" w:hAnsi="Times New Roman"/>
          <w:sz w:val="22"/>
          <w:szCs w:val="22"/>
          <w:color w:val="auto"/>
        </w:rPr>
      </w:pPr>
    </w:p>
    <w:p>
      <w:pPr>
        <w:jc w:val="both"/>
        <w:ind w:firstLine="1937"/>
        <w:spacing w:after="0" w:line="257" w:lineRule="auto"/>
        <w:tabs>
          <w:tab w:leader="none" w:pos="259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(x) a duly completed Assignment and Assumption executed by an assigning Lender and an assignee or (y) to the extent applicable, an agreement incorporating an Assignment and Assumption by reference pursuant to an Approved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20" w:h="16838" w:orient="portrait"/>
          <w:cols w:equalWidth="0" w:num="1">
            <w:col w:w="11260"/>
          </w:cols>
          <w:pgMar w:left="340" w:top="1417" w:right="318" w:bottom="1440" w:gutter="0" w:footer="0" w:header="0"/>
        </w:sectPr>
      </w:pPr>
    </w:p>
    <w:bookmarkStart w:id="132" w:name="page133"/>
    <w:bookmarkEnd w:id="132"/>
    <w:p>
      <w:pPr>
        <w:jc w:val="both"/>
        <w:ind w:left="7"/>
        <w:spacing w:after="0" w:line="250" w:lineRule="auto"/>
        <w:rPr>
          <w:sz w:val="20"/>
          <w:szCs w:val="20"/>
          <w:color w:val="auto"/>
        </w:rPr>
      </w:pPr>
      <w:r>
        <w:rPr>
          <w:rFonts w:ascii="Times New Roman" w:cs="Times New Roman" w:eastAsia="Times New Roman" w:hAnsi="Times New Roman"/>
          <w:sz w:val="22"/>
          <w:szCs w:val="22"/>
          <w:color w:val="auto"/>
        </w:rPr>
        <w:t xml:space="preserve">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3" w:lineRule="exact"/>
        <w:rPr>
          <w:sz w:val="20"/>
          <w:szCs w:val="20"/>
          <w:color w:val="auto"/>
        </w:rPr>
      </w:pPr>
    </w:p>
    <w:p>
      <w:pPr>
        <w:jc w:val="both"/>
        <w:ind w:left="7" w:firstLine="1289"/>
        <w:spacing w:after="0" w:line="260" w:lineRule="auto"/>
        <w:tabs>
          <w:tab w:leader="none" w:pos="1951"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without the consent of, or notice to, the Borrower or the Administrative Agent,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clauses (i),</w:t>
      </w:r>
    </w:p>
    <w:p>
      <w:pPr>
        <w:spacing w:after="0" w:line="1" w:lineRule="exact"/>
        <w:rPr>
          <w:rFonts w:ascii="Times New Roman" w:cs="Times New Roman" w:eastAsia="Times New Roman" w:hAnsi="Times New Roman"/>
          <w:sz w:val="21"/>
          <w:szCs w:val="21"/>
          <w:color w:val="auto"/>
        </w:rPr>
      </w:pPr>
    </w:p>
    <w:p>
      <w:pPr>
        <w:jc w:val="both"/>
        <w:ind w:left="7" w:hanging="7"/>
        <w:spacing w:after="0" w:line="246" w:lineRule="auto"/>
        <w:tabs>
          <w:tab w:leader="none" w:pos="34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(iii) the first proviso to Section 9.02(b) that affects such Participant. The Borrower agrees that each Participant shall be entitled to the benefits of Sections 2.15, 2.16 and 2.17 (subject to the requirements and limitations therein, including the requirements under Sections 2.17(f) (it being understood that the documentation required under Section 2.17(f) shall be delivered to the participating Lender and the information)) to the same extent as if it were a Lender and had acquired its interest by assignment pursuant to paragraph (b) of this Section;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 agrees to be subject to the provisions of Section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Section 2.18(c) as though it were a Lender. Each Lender that sells a participation shall, acting solely for this purpose as a non-fiduciary agent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103</w:t>
      </w:r>
    </w:p>
    <w:p>
      <w:pPr>
        <w:sectPr>
          <w:pgSz w:w="11920" w:h="16838" w:orient="portrait"/>
          <w:cols w:equalWidth="0" w:num="1">
            <w:col w:w="11267"/>
          </w:cols>
          <w:pgMar w:left="333" w:top="1417" w:right="318" w:bottom="1440" w:gutter="0" w:footer="0" w:header="0"/>
        </w:sectPr>
      </w:pPr>
    </w:p>
    <w:bookmarkStart w:id="133" w:name="page134"/>
    <w:bookmarkEnd w:id="133"/>
    <w:p>
      <w:pPr>
        <w:jc w:val="both"/>
        <w:spacing w:after="0" w:line="249" w:lineRule="auto"/>
        <w:rPr>
          <w:sz w:val="20"/>
          <w:szCs w:val="20"/>
          <w:color w:val="auto"/>
        </w:rPr>
      </w:pPr>
      <w:r>
        <w:rPr>
          <w:rFonts w:ascii="Times New Roman" w:cs="Times New Roman" w:eastAsia="Times New Roman" w:hAnsi="Times New Roman"/>
          <w:sz w:val="22"/>
          <w:szCs w:val="22"/>
          <w:color w:val="auto"/>
        </w:rPr>
        <w:t>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sz w:val="20"/>
          <w:szCs w:val="20"/>
          <w:color w:val="auto"/>
        </w:rPr>
      </w:pPr>
    </w:p>
    <w:p>
      <w:pPr>
        <w:jc w:val="both"/>
        <w:ind w:firstLine="1289"/>
        <w:spacing w:after="0" w:line="253"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2.15, 2.16, 2.17 and 9.03 and Article VIII shall survive and remain in full force and effect regardless of the consummation of the transactions contemplated hereby, the repayment of the Loans and the Commitments or the termination of this Agreement or any provision hereof.</w:t>
      </w:r>
    </w:p>
    <w:p>
      <w:pPr>
        <w:spacing w:after="0" w:line="202"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u w:val="single" w:color="auto"/>
          <w:color w:val="auto"/>
        </w:rPr>
        <w:t>Counterparts; Integration; Effectiveness; Electronic Execution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89"/>
        <w:spacing w:after="0" w:line="252" w:lineRule="auto"/>
        <w:tabs>
          <w:tab w:leader="none" w:pos="19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20" w:h="16838" w:orient="portrait"/>
          <w:cols w:equalWidth="0" w:num="1">
            <w:col w:w="11260"/>
          </w:cols>
          <w:pgMar w:left="340" w:top="1417" w:right="318" w:bottom="1440" w:gutter="0" w:footer="0" w:header="0"/>
        </w:sectPr>
      </w:pPr>
    </w:p>
    <w:bookmarkStart w:id="134" w:name="page135"/>
    <w:bookmarkEnd w:id="134"/>
    <w:p>
      <w:pPr>
        <w:jc w:val="both"/>
        <w:spacing w:after="0" w:line="253" w:lineRule="auto"/>
        <w:rPr>
          <w:sz w:val="20"/>
          <w:szCs w:val="20"/>
          <w:color w:val="auto"/>
        </w:rPr>
      </w:pPr>
      <w:r>
        <w:rPr>
          <w:rFonts w:ascii="Times New Roman" w:cs="Times New Roman" w:eastAsia="Times New Roman" w:hAnsi="Times New Roman"/>
          <w:sz w:val="22"/>
          <w:szCs w:val="22"/>
          <w:color w:val="auto"/>
        </w:rPr>
        <w:t>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5" w:lineRule="exact"/>
        <w:rPr>
          <w:sz w:val="20"/>
          <w:szCs w:val="20"/>
          <w:color w:val="auto"/>
        </w:rPr>
      </w:pPr>
    </w:p>
    <w:p>
      <w:pPr>
        <w:jc w:val="both"/>
        <w:ind w:firstLine="1289"/>
        <w:spacing w:after="0" w:line="259" w:lineRule="auto"/>
        <w:tabs>
          <w:tab w:leader="none" w:pos="194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20" w:h="16838" w:orient="portrait"/>
          <w:cols w:equalWidth="0" w:num="1">
            <w:col w:w="11260"/>
          </w:cols>
          <w:pgMar w:left="340" w:top="1417" w:right="318" w:bottom="1440" w:gutter="0" w:footer="0" w:header="0"/>
        </w:sectPr>
      </w:pPr>
    </w:p>
    <w:bookmarkStart w:id="135" w:name="page136"/>
    <w:bookmarkEnd w:id="135"/>
    <w:p>
      <w:pPr>
        <w:jc w:val="both"/>
        <w:spacing w:after="0" w:line="249" w:lineRule="auto"/>
        <w:rPr>
          <w:sz w:val="20"/>
          <w:szCs w:val="20"/>
          <w:color w:val="auto"/>
        </w:rPr>
      </w:pPr>
      <w:r>
        <w:rPr>
          <w:rFonts w:ascii="Times New Roman" w:cs="Times New Roman" w:eastAsia="Times New Roman" w:hAnsi="Times New Roman"/>
          <w:sz w:val="22"/>
          <w:szCs w:val="22"/>
          <w:color w:val="auto"/>
        </w:rPr>
        <w:t>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u w:val="single" w:color="auto"/>
          <w:color w:val="0E32E1"/>
        </w:rPr>
        <w:t xml:space="preserve">SECTION 9.08. </w:t>
      </w:r>
      <w:r>
        <w:rPr>
          <w:rFonts w:ascii="Times New Roman" w:cs="Times New Roman" w:eastAsia="Times New Roman" w:hAnsi="Times New Roman"/>
          <w:sz w:val="22"/>
          <w:szCs w:val="22"/>
          <w:u w:val="single" w:color="auto"/>
          <w:color w:val="EE2724"/>
          <w:strike w:val="1"/>
        </w:rPr>
        <w:t>Reserved</w:t>
      </w:r>
      <w:r>
        <w:rPr>
          <w:rFonts w:ascii="Times New Roman" w:cs="Times New Roman" w:eastAsia="Times New Roman" w:hAnsi="Times New Roman"/>
          <w:sz w:val="22"/>
          <w:szCs w:val="22"/>
          <w:u w:val="single" w:color="auto"/>
          <w:color w:val="0E32E1"/>
        </w:rPr>
        <w:t xml:space="preserve">Right of Setoff. If an Event of Default shall have occurred and be continuing, each Lender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to or for the credit or the account of Holdings or the Borrower against any of and all the obligations then due of Holdings or the Borrower now or hereafter existing under this Agreement held by such Lender, irrespective of whether or not such Lender shall have made any demand under this Agreement and although such obligations of Holdings or the Borrower are owed to a branch or office of such Lender different from the branch or office holding such deposit or obligated on such obligations. Each Lender agrees to notify the Borrower and the Administrative Agent promptly after any such setoff and application; </w:t>
      </w:r>
      <w:r>
        <w:rPr>
          <w:rFonts w:ascii="Times New Roman" w:cs="Times New Roman" w:eastAsia="Times New Roman" w:hAnsi="Times New Roman"/>
          <w:sz w:val="22"/>
          <w:szCs w:val="22"/>
          <w:i w:val="1"/>
          <w:iCs w:val="1"/>
          <w:u w:val="single" w:color="auto"/>
          <w:color w:val="0E32E1"/>
        </w:rPr>
        <w:t>provided</w:t>
      </w:r>
      <w:r>
        <w:rPr>
          <w:rFonts w:ascii="Times New Roman" w:cs="Times New Roman" w:eastAsia="Times New Roman" w:hAnsi="Times New Roman"/>
          <w:sz w:val="22"/>
          <w:szCs w:val="22"/>
          <w:u w:val="single" w:color="auto"/>
          <w:color w:val="0E32E1"/>
        </w:rPr>
        <w:t xml:space="preserve"> that the failure to give or any delay in giving such notice shall not affect the validity of any such setoff and application under this Section. The rights of each Lender under this Section are in addition to other rights and remedies (including other rights of setoff) that such Lender may have.</w:t>
      </w:r>
    </w:p>
    <w:p>
      <w:pPr>
        <w:spacing w:after="0" w:line="15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9.09.</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289"/>
        <w:spacing w:after="0" w:line="271" w:lineRule="auto"/>
        <w:tabs>
          <w:tab w:leader="none" w:pos="19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shall be construed in accordance with and governed by the law of the State of New York.</w:t>
      </w:r>
    </w:p>
    <w:p>
      <w:pPr>
        <w:spacing w:after="0" w:line="144" w:lineRule="exact"/>
        <w:rPr>
          <w:rFonts w:ascii="Times New Roman" w:cs="Times New Roman" w:eastAsia="Times New Roman" w:hAnsi="Times New Roman"/>
          <w:sz w:val="22"/>
          <w:szCs w:val="22"/>
          <w:color w:val="auto"/>
        </w:rPr>
      </w:pPr>
    </w:p>
    <w:p>
      <w:pPr>
        <w:jc w:val="both"/>
        <w:ind w:firstLine="1289"/>
        <w:spacing w:after="0" w:line="263" w:lineRule="auto"/>
        <w:tabs>
          <w:tab w:leader="none" w:pos="19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20" w:h="16838" w:orient="portrait"/>
          <w:cols w:equalWidth="0" w:num="1">
            <w:col w:w="11260"/>
          </w:cols>
          <w:pgMar w:left="340" w:top="1417" w:right="318" w:bottom="1440" w:gutter="0" w:footer="0" w:header="0"/>
        </w:sectPr>
      </w:pPr>
    </w:p>
    <w:bookmarkStart w:id="136" w:name="page137"/>
    <w:bookmarkEnd w:id="136"/>
    <w:p>
      <w:pPr>
        <w:ind w:left="7"/>
        <w:spacing w:after="0" w:line="271" w:lineRule="auto"/>
        <w:rPr>
          <w:sz w:val="20"/>
          <w:szCs w:val="20"/>
          <w:color w:val="auto"/>
        </w:rPr>
      </w:pPr>
      <w:r>
        <w:rPr>
          <w:rFonts w:ascii="Times New Roman" w:cs="Times New Roman" w:eastAsia="Times New Roman" w:hAnsi="Times New Roman"/>
          <w:sz w:val="22"/>
          <w:szCs w:val="22"/>
          <w:color w:val="auto"/>
        </w:rPr>
        <w:t>transactions contemplated hereby or thereby shall be construed in accordance with and governed by the law of the State of New York.</w:t>
      </w:r>
    </w:p>
    <w:p>
      <w:pPr>
        <w:spacing w:after="0" w:line="144" w:lineRule="exact"/>
        <w:rPr>
          <w:sz w:val="20"/>
          <w:szCs w:val="20"/>
          <w:color w:val="auto"/>
        </w:rPr>
      </w:pPr>
    </w:p>
    <w:p>
      <w:pPr>
        <w:jc w:val="both"/>
        <w:ind w:left="7" w:firstLine="1289"/>
        <w:spacing w:after="0" w:line="248" w:lineRule="auto"/>
        <w:tabs>
          <w:tab w:leader="none" w:pos="195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w:t>
      </w:r>
      <w:r>
        <w:rPr>
          <w:rFonts w:ascii="Times New Roman" w:cs="Times New Roman" w:eastAsia="Times New Roman" w:hAnsi="Times New Roman"/>
          <w:sz w:val="22"/>
          <w:szCs w:val="22"/>
          <w:u w:val="single" w:color="auto"/>
          <w:color w:val="0E32E1"/>
        </w:rPr>
        <w:t>(whether in tort, contract, law or equity)</w:t>
      </w:r>
      <w:r>
        <w:rPr>
          <w:rFonts w:ascii="Times New Roman" w:cs="Times New Roman" w:eastAsia="Times New Roman" w:hAnsi="Times New Roman"/>
          <w:sz w:val="22"/>
          <w:szCs w:val="22"/>
          <w:color w:val="auto"/>
        </w:rPr>
        <w:t xml:space="preserve">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against the Borrower or its properties in the courts of any jurisdiction.</w:t>
      </w:r>
    </w:p>
    <w:p>
      <w:pPr>
        <w:spacing w:after="0" w:line="165" w:lineRule="exact"/>
        <w:rPr>
          <w:rFonts w:ascii="Times New Roman" w:cs="Times New Roman" w:eastAsia="Times New Roman" w:hAnsi="Times New Roman"/>
          <w:sz w:val="22"/>
          <w:szCs w:val="22"/>
          <w:color w:val="auto"/>
        </w:rPr>
      </w:pPr>
    </w:p>
    <w:p>
      <w:pPr>
        <w:jc w:val="both"/>
        <w:ind w:left="7" w:firstLine="1289"/>
        <w:spacing w:after="0" w:line="253" w:lineRule="auto"/>
        <w:tabs>
          <w:tab w:leader="none" w:pos="195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65" w:lineRule="exact"/>
        <w:rPr>
          <w:rFonts w:ascii="Times New Roman" w:cs="Times New Roman" w:eastAsia="Times New Roman" w:hAnsi="Times New Roman"/>
          <w:sz w:val="22"/>
          <w:szCs w:val="22"/>
          <w:color w:val="auto"/>
        </w:rPr>
      </w:pPr>
    </w:p>
    <w:p>
      <w:pPr>
        <w:jc w:val="both"/>
        <w:ind w:left="7" w:firstLine="1289"/>
        <w:spacing w:after="0" w:line="257" w:lineRule="auto"/>
        <w:tabs>
          <w:tab w:leader="none" w:pos="195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59" w:lineRule="exact"/>
        <w:rPr>
          <w:sz w:val="20"/>
          <w:szCs w:val="20"/>
          <w:color w:val="auto"/>
        </w:rPr>
      </w:pPr>
    </w:p>
    <w:p>
      <w:pPr>
        <w:jc w:val="both"/>
        <w:ind w:left="7"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7" w:hanging="7"/>
        <w:spacing w:after="0" w:line="248" w:lineRule="auto"/>
        <w:tabs>
          <w:tab w:leader="none" w:pos="3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107</w:t>
      </w:r>
    </w:p>
    <w:p>
      <w:pPr>
        <w:sectPr>
          <w:pgSz w:w="11920" w:h="16838" w:orient="portrait"/>
          <w:cols w:equalWidth="0" w:num="1">
            <w:col w:w="11267"/>
          </w:cols>
          <w:pgMar w:left="333" w:top="1417" w:right="318"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AMONG OTHER THINGS, THE MUTUAL WAIVERS AND CERTIFICATIONS IN THIS SECTION.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and the Lenders agrees to maintain the confidentiality of the Information (as defined below), except that Information may be disclosed (a) to its and its Affiliates’ directors, officers, employees and agents, including accountants, legal counsel</w:t>
      </w:r>
      <w:r>
        <w:rPr>
          <w:rFonts w:ascii="Times New Roman" w:cs="Times New Roman" w:eastAsia="Times New Roman" w:hAnsi="Times New Roman"/>
          <w:sz w:val="21"/>
          <w:szCs w:val="21"/>
          <w:u w:val="single" w:color="auto"/>
          <w:color w:val="0E32E1"/>
        </w:rPr>
        <w:t>, credit insurers or reinsurers</w:t>
      </w:r>
      <w:r>
        <w:rPr>
          <w:rFonts w:ascii="Times New Roman" w:cs="Times New Roman" w:eastAsia="Times New Roman" w:hAnsi="Times New Roman"/>
          <w:sz w:val="21"/>
          <w:szCs w:val="21"/>
          <w:color w:val="auto"/>
        </w:rPr>
        <w:t xml:space="preserve">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(c) to the extent required by applicable laws or regulations or by any subpoena or similar legal process,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consent of the Borrower or (i) to the extent such Information (1) becomes publicly available other than as a result of a breach of this Section, (2) is independently developed by the Administrative Agent or any Lender or any of their Affiliates or (3) becomes available to the Administrative Agent or any Lender on a non-confidential basis from a source other than the Borrower. For the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Borrower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Any Person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20" w:h="16838" w:orient="portrait"/>
          <w:cols w:equalWidth="0" w:num="1">
            <w:col w:w="11260"/>
          </w:cols>
          <w:pgMar w:left="340" w:top="1417" w:right="318" w:bottom="1440" w:gutter="0" w:footer="0" w:header="0"/>
        </w:sectPr>
      </w:pPr>
    </w:p>
    <w:bookmarkStart w:id="138" w:name="page139"/>
    <w:bookmarkEnd w:id="13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r>
        <w:rPr>
          <w:rFonts w:ascii="Times New Roman" w:cs="Times New Roman" w:eastAsia="Times New Roman" w:hAnsi="Times New Roman"/>
          <w:sz w:val="22"/>
          <w:szCs w:val="22"/>
          <w:u w:val="single" w:color="auto"/>
          <w:color w:val="0E32E1"/>
        </w:rPr>
        <w:t>For the avoidance of doubt, nothing herein prohibits any individual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communicating or disclosing information regarding suspected violations of laws, rules, or regulations to a governmental regulatory, or self-regulatory authority without any notification to any person.</w:t>
      </w:r>
    </w:p>
    <w:p>
      <w:pPr>
        <w:spacing w:after="0" w:line="179"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Material Non-Public Information</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289"/>
        <w:spacing w:after="0" w:line="250"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6" w:lineRule="exact"/>
        <w:rPr>
          <w:rFonts w:ascii="Times New Roman" w:cs="Times New Roman" w:eastAsia="Times New Roman" w:hAnsi="Times New Roman"/>
          <w:sz w:val="22"/>
          <w:szCs w:val="22"/>
          <w:color w:val="auto"/>
        </w:rPr>
      </w:pPr>
    </w:p>
    <w:p>
      <w:pPr>
        <w:jc w:val="both"/>
        <w:ind w:firstLine="1289"/>
        <w:spacing w:after="0" w:line="251"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20" w:h="16838" w:orient="portrait"/>
          <w:cols w:equalWidth="0" w:num="1">
            <w:col w:w="11260"/>
          </w:cols>
          <w:pgMar w:left="340" w:top="1417" w:right="318" w:bottom="1440" w:gutter="0" w:footer="0" w:header="0"/>
        </w:sectPr>
      </w:pPr>
    </w:p>
    <w:bookmarkStart w:id="139" w:name="page140"/>
    <w:bookmarkEnd w:id="139"/>
    <w:p>
      <w:pPr>
        <w:spacing w:after="0" w:line="271" w:lineRule="auto"/>
        <w:rPr>
          <w:sz w:val="20"/>
          <w:szCs w:val="20"/>
          <w:color w:val="auto"/>
        </w:rPr>
      </w:pPr>
      <w:r>
        <w:rPr>
          <w:rFonts w:ascii="Times New Roman" w:cs="Times New Roman" w:eastAsia="Times New Roman" w:hAnsi="Times New Roman"/>
          <w:sz w:val="22"/>
          <w:szCs w:val="22"/>
          <w:color w:val="auto"/>
        </w:rPr>
        <w:t>increased (but not above the Maximum Rate therefor) until such cumulated amount, together with interest thereon at the NYFRB Rate to the date of repayment, shall have been received by such Lender.</w:t>
      </w:r>
    </w:p>
    <w:p>
      <w:pPr>
        <w:spacing w:after="0" w:line="158"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u w:val="single" w:color="auto"/>
          <w:color w:val="auto"/>
        </w:rPr>
        <w:t>No Fiduciary Duty, Etc</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89"/>
        <w:spacing w:after="0" w:line="248"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75" w:lineRule="exact"/>
        <w:rPr>
          <w:rFonts w:ascii="Times New Roman" w:cs="Times New Roman" w:eastAsia="Times New Roman" w:hAnsi="Times New Roman"/>
          <w:sz w:val="22"/>
          <w:szCs w:val="22"/>
          <w:color w:val="auto"/>
        </w:rPr>
      </w:pPr>
    </w:p>
    <w:p>
      <w:pPr>
        <w:jc w:val="both"/>
        <w:ind w:firstLine="1289"/>
        <w:spacing w:after="0" w:line="262" w:lineRule="auto"/>
        <w:tabs>
          <w:tab w:leader="none" w:pos="194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9" w:lineRule="exact"/>
        <w:rPr>
          <w:rFonts w:ascii="Times New Roman" w:cs="Times New Roman" w:eastAsia="Times New Roman" w:hAnsi="Times New Roman"/>
          <w:sz w:val="21"/>
          <w:szCs w:val="21"/>
          <w:color w:val="auto"/>
        </w:rPr>
      </w:pPr>
    </w:p>
    <w:p>
      <w:pPr>
        <w:jc w:val="both"/>
        <w:ind w:firstLine="1289"/>
        <w:spacing w:after="0" w:line="250"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20" w:h="16838" w:orient="portrait"/>
          <w:cols w:equalWidth="0" w:num="1">
            <w:col w:w="11260"/>
          </w:cols>
          <w:pgMar w:left="340" w:top="1417" w:right="318" w:bottom="1440" w:gutter="0" w:footer="0" w:header="0"/>
        </w:sectPr>
      </w:pPr>
    </w:p>
    <w:bookmarkStart w:id="140" w:name="page141"/>
    <w:bookmarkEnd w:id="140"/>
    <w:p>
      <w:pPr>
        <w:jc w:val="both"/>
        <w:spacing w:after="0" w:line="271" w:lineRule="auto"/>
        <w:rPr>
          <w:sz w:val="20"/>
          <w:szCs w:val="20"/>
          <w:color w:val="auto"/>
        </w:rPr>
      </w:pPr>
      <w:r>
        <w:rPr>
          <w:rFonts w:ascii="Times New Roman" w:cs="Times New Roman" w:eastAsia="Times New Roman" w:hAnsi="Times New Roman"/>
          <w:sz w:val="22"/>
          <w:szCs w:val="22"/>
          <w:color w:val="auto"/>
        </w:rPr>
        <w:t>use in connection with the transactions contemplated by the Loan Documents, or to furnish to the Borrower, confidential information obtained from other companies.</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USA PATRIOT Act of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and the requirements of the Beneficial Ownership Regulation hereby notifies the Borrower and the Guarantors that pursuant to the requirements of the Patriot Act and the Beneficial Ownership Regulation,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Patriot Act and the Beneficial Ownership Regulation.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ind w:firstLine="1289"/>
        <w:spacing w:after="0" w:line="284" w:lineRule="auto"/>
        <w:tabs>
          <w:tab w:leader="none" w:pos="19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16" w:lineRule="exact"/>
        <w:rPr>
          <w:rFonts w:ascii="Times New Roman" w:cs="Times New Roman" w:eastAsia="Times New Roman" w:hAnsi="Times New Roman"/>
          <w:sz w:val="22"/>
          <w:szCs w:val="22"/>
          <w:color w:val="auto"/>
        </w:rPr>
      </w:pPr>
    </w:p>
    <w:p>
      <w:pPr>
        <w:ind w:left="1940" w:hanging="651"/>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580" w:hanging="643"/>
        <w:spacing w:after="0"/>
        <w:tabs>
          <w:tab w:leader="none" w:pos="25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firstLine="1937"/>
        <w:spacing w:after="0" w:line="256" w:lineRule="auto"/>
        <w:tabs>
          <w:tab w:leader="none" w:pos="259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2" w:lineRule="exact"/>
        <w:rPr>
          <w:rFonts w:ascii="Times New Roman" w:cs="Times New Roman" w:eastAsia="Times New Roman" w:hAnsi="Times New Roman"/>
          <w:sz w:val="22"/>
          <w:szCs w:val="22"/>
          <w:color w:val="auto"/>
        </w:rPr>
      </w:pPr>
    </w:p>
    <w:p>
      <w:pPr>
        <w:ind w:firstLine="1937"/>
        <w:spacing w:after="0" w:line="271" w:lineRule="auto"/>
        <w:tabs>
          <w:tab w:leader="none" w:pos="259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44"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89"/>
        <w:spacing w:after="0" w:line="282" w:lineRule="auto"/>
        <w:tabs>
          <w:tab w:leader="none" w:pos="194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acknowledges and agrees that if the Administrative Agent notifies such Lender that the Administrative Agent has determined in its sole discretion that any funds (or any portion thereof) received by such Lender (any of the foregoing, an “</w:t>
      </w:r>
      <w:r>
        <w:rPr>
          <w:rFonts w:ascii="Times New Roman" w:cs="Times New Roman" w:eastAsia="Times New Roman" w:hAnsi="Times New Roman"/>
          <w:sz w:val="22"/>
          <w:szCs w:val="22"/>
          <w:u w:val="single" w:color="auto"/>
          <w:color w:val="auto"/>
        </w:rPr>
        <w:t>Erroneous Payment Recipient</w:t>
      </w:r>
      <w:r>
        <w:rPr>
          <w:rFonts w:ascii="Times New Roman" w:cs="Times New Roman" w:eastAsia="Times New Roman" w:hAnsi="Times New Roman"/>
          <w:sz w:val="22"/>
          <w:szCs w:val="22"/>
          <w:color w:val="auto"/>
        </w:rPr>
        <w:t>”) from the Administrative Agent (or any of its Affiliates) were erroneously transmitted to, or otherwise erroneously or mistakenly received by, such Erroneous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20" w:h="16838" w:orient="portrait"/>
          <w:cols w:equalWidth="0" w:num="1">
            <w:col w:w="11260"/>
          </w:cols>
          <w:pgMar w:left="340" w:top="1417" w:right="318" w:bottom="1440" w:gutter="0" w:footer="0" w:header="0"/>
        </w:sectPr>
      </w:pPr>
    </w:p>
    <w:bookmarkStart w:id="141" w:name="page142"/>
    <w:bookmarkEnd w:id="141"/>
    <w:p>
      <w:pPr>
        <w:jc w:val="both"/>
        <w:spacing w:after="0" w:line="279" w:lineRule="auto"/>
        <w:rPr>
          <w:sz w:val="20"/>
          <w:szCs w:val="20"/>
          <w:color w:val="auto"/>
        </w:rPr>
      </w:pPr>
      <w:r>
        <w:rPr>
          <w:rFonts w:ascii="Times New Roman" w:cs="Times New Roman" w:eastAsia="Times New Roman" w:hAnsi="Times New Roman"/>
          <w:sz w:val="22"/>
          <w:szCs w:val="22"/>
          <w:color w:val="auto"/>
        </w:rPr>
        <w:t>Payment Recipient (whether or not known to such Erroneous Payment Recipient) (whether as a payment, prepayment or repayment of principal, interest, fees or otherwise; individually and collectively,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and demands the return of such Payment, such Erroneous Payment Recipient shall promptly, but in no event later than one Business Day thereafter, return to the Administrative Agent the amount of any such Payment as to which such a demand was made. A notice of the Administrative Agent to any Erroneous Payment Recipient under this Section shall be conclusive, absent manifest error.</w:t>
      </w:r>
    </w:p>
    <w:p>
      <w:pPr>
        <w:spacing w:after="0" w:line="150" w:lineRule="exact"/>
        <w:rPr>
          <w:sz w:val="20"/>
          <w:szCs w:val="20"/>
          <w:color w:val="auto"/>
        </w:rPr>
      </w:pPr>
    </w:p>
    <w:p>
      <w:pPr>
        <w:jc w:val="both"/>
        <w:ind w:firstLine="1289"/>
        <w:spacing w:after="0" w:line="262" w:lineRule="auto"/>
        <w:tabs>
          <w:tab w:leader="none" w:pos="194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of clause (a) above, each Erroneous Payment Recipient further acknowledges and agrees that if such Erroneous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(y) that was not preceded or accompanied by a Payment Notice, or (z) that such Erroneous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Erroneous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58"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required to be returned by an Erroneous Payment Recipient under this Section shall be made in same day finds in the currency so received, together with interest thereon in respect of each day from and including the date such Payment (or portion thereof) was received by such Erroneous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Erroneous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71" w:lineRule="exact"/>
        <w:rPr>
          <w:rFonts w:ascii="Times New Roman" w:cs="Times New Roman" w:eastAsia="Times New Roman" w:hAnsi="Times New Roman"/>
          <w:sz w:val="22"/>
          <w:szCs w:val="22"/>
          <w:color w:val="auto"/>
        </w:rPr>
      </w:pPr>
    </w:p>
    <w:p>
      <w:pPr>
        <w:jc w:val="both"/>
        <w:ind w:firstLine="1289"/>
        <w:spacing w:after="0" w:line="251"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20" w:h="16838" w:orient="portrait"/>
          <w:cols w:equalWidth="0" w:num="1">
            <w:col w:w="11260"/>
          </w:cols>
          <w:pgMar w:left="340" w:top="1430" w:right="318" w:bottom="1440" w:gutter="0" w:footer="0" w:header="0"/>
        </w:sectPr>
      </w:pPr>
    </w:p>
    <w:bookmarkStart w:id="142" w:name="page143"/>
    <w:bookmarkEnd w:id="142"/>
    <w:p>
      <w:pPr>
        <w:jc w:val="both"/>
        <w:ind w:firstLine="1289"/>
        <w:spacing w:after="0" w:line="256"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9.18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20" w:h="16838" w:orient="portrait"/>
          <w:cols w:equalWidth="0" w:num="1">
            <w:col w:w="11260"/>
          </w:cols>
          <w:pgMar w:left="340" w:top="1417" w:right="318" w:bottom="1440" w:gutter="0" w:footer="0" w:header="0"/>
        </w:sectPr>
      </w:pPr>
    </w:p>
    <w:bookmarkStart w:id="143" w:name="page144"/>
    <w:bookmarkEnd w:id="143"/>
    <w:p>
      <w:pPr>
        <w:ind w:firstLine="648"/>
        <w:spacing w:after="0" w:line="296"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respective authorized officers as of the day and year first above written.</w:t>
      </w:r>
    </w:p>
    <w:p>
      <w:pPr>
        <w:spacing w:after="0" w:line="22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147955</wp:posOffset>
            </wp:positionV>
            <wp:extent cx="20313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5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w:t>
      </w:r>
    </w:p>
    <w:p>
      <w:pPr>
        <w:spacing w:after="0" w:line="2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w:t>
      </w:r>
    </w:p>
    <w:p>
      <w:pPr>
        <w:sectPr>
          <w:pgSz w:w="11920" w:h="16838" w:orient="portrait"/>
          <w:cols w:equalWidth="0" w:num="1">
            <w:col w:w="10680"/>
          </w:cols>
          <w:pgMar w:left="340" w:top="1430" w:right="898" w:bottom="1440" w:gutter="0" w:footer="0" w:header="0"/>
        </w:sectPr>
      </w:pPr>
    </w:p>
    <w:bookmarkStart w:id="144" w:name="page145"/>
    <w:bookmarkEnd w:id="144"/>
    <w:p>
      <w:pPr>
        <w:spacing w:after="0" w:line="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BARCLAYS BANK PLC, individually and</w:t>
      </w:r>
    </w:p>
    <w:p>
      <w:pPr>
        <w:spacing w:after="0" w:line="4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147955</wp:posOffset>
            </wp:positionV>
            <wp:extent cx="2031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w:t>
      </w:r>
    </w:p>
    <w:p>
      <w:pPr>
        <w:spacing w:after="0" w:line="2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Title:</w:t>
      </w:r>
    </w:p>
    <w:p>
      <w:pPr>
        <w:sectPr>
          <w:pgSz w:w="11920" w:h="16838" w:orient="portrait"/>
          <w:cols w:equalWidth="0" w:num="1">
            <w:col w:w="9038"/>
          </w:cols>
          <w:pgMar w:left="1440" w:top="1440" w:right="1440" w:bottom="1440" w:gutter="0" w:footer="0" w:header="0"/>
        </w:sectPr>
      </w:pPr>
    </w:p>
    <w:bookmarkStart w:id="145" w:name="page146"/>
    <w:bookmarkEnd w:id="145"/>
    <w:p>
      <w:pPr>
        <w:spacing w:after="0" w:line="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[LENDER], as a Lender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147955</wp:posOffset>
            </wp:positionV>
            <wp:extent cx="2031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w:t>
      </w:r>
    </w:p>
    <w:p>
      <w:pPr>
        <w:spacing w:after="0" w:line="2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Title:</w:t>
      </w:r>
    </w:p>
    <w:sectPr>
      <w:pgSz w:w="11920" w:h="16838" w:orient="portrait"/>
      <w:cols w:equalWidth="0" w:num="1">
        <w:col w:w="9038"/>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lowerLetter"/>
      <w:start w:val="4"/>
    </w:lvl>
  </w:abstractNum>
  <w:abstractNum w:abstractNumId="2">
    <w:nsid w:val="6590700B"/>
    <w:multiLevelType w:val="hybridMultilevel"/>
    <w:lvl w:ilvl="0">
      <w:lvlJc w:val="left"/>
      <w:lvlText w:val="%1."/>
      <w:numFmt w:val="upperLetter"/>
      <w:start w:val="1"/>
    </w:lvl>
  </w:abstractNum>
  <w:abstractNum w:abstractNumId="3">
    <w:nsid w:val="15014ACB"/>
    <w:multiLevelType w:val="hybridMultilevel"/>
    <w:lvl w:ilvl="0">
      <w:lvlJc w:val="left"/>
      <w:lvlText w:val="%1."/>
      <w:numFmt w:val="upperLetter"/>
      <w:start w:val="1"/>
    </w:lvl>
  </w:abstractNum>
  <w:abstractNum w:abstractNumId="4">
    <w:nsid w:val="5F5E7FD0"/>
    <w:multiLevelType w:val="hybridMultilevel"/>
    <w:lvl w:ilvl="0">
      <w:lvlJc w:val="left"/>
      <w:lvlText w:val="%1."/>
      <w:numFmt w:val="upperLetter"/>
      <w:start w:val="1"/>
    </w:lvl>
  </w:abstractNum>
  <w:abstractNum w:abstractNumId="5">
    <w:nsid w:val="98A3148"/>
    <w:multiLevelType w:val="hybridMultilevel"/>
    <w:lvl w:ilvl="0">
      <w:lvlJc w:val="left"/>
      <w:lvlText w:val="%1."/>
      <w:numFmt w:val="upperLetter"/>
      <w:start w:val="5"/>
    </w:lvl>
  </w:abstractNum>
  <w:abstractNum w:abstractNumId="6">
    <w:nsid w:val="799D0247"/>
    <w:multiLevelType w:val="hybridMultilevel"/>
    <w:lvl w:ilvl="0">
      <w:lvlJc w:val="left"/>
      <w:lvlText w:val="%1."/>
      <w:numFmt w:val="upperLetter"/>
      <w:start w:val="1"/>
    </w:lvl>
  </w:abstractNum>
  <w:abstractNum w:abstractNumId="7">
    <w:nsid w:val="6B94764"/>
    <w:multiLevelType w:val="hybridMultilevel"/>
    <w:lvl w:ilvl="0">
      <w:lvlJc w:val="left"/>
      <w:lvlText w:val="%1."/>
      <w:numFmt w:val="upperLetter"/>
      <w:start w:val="1"/>
    </w:lvl>
  </w:abstractNum>
  <w:abstractNum w:abstractNumId="8">
    <w:nsid w:val="42C296BD"/>
    <w:multiLevelType w:val="hybridMultilevel"/>
    <w:lvl w:ilvl="0">
      <w:lvlJc w:val="left"/>
      <w:lvlText w:val="%1."/>
      <w:numFmt w:val="upperLetter"/>
      <w:start w:val="5"/>
    </w:lvl>
  </w:abstractNum>
  <w:abstractNum w:abstractNumId="9">
    <w:nsid w:val="168E121F"/>
    <w:multiLevelType w:val="hybridMultilevel"/>
    <w:lvl w:ilvl="0">
      <w:lvlJc w:val="left"/>
      <w:lvlText w:val="%1."/>
      <w:numFmt w:val="upperLetter"/>
      <w:start w:val="6"/>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lowerRoman"/>
      <w:start w:val="1"/>
    </w:lvl>
  </w:abstractNum>
  <w:abstractNum w:abstractNumId="12">
    <w:nsid w:val="5DC79EA8"/>
    <w:multiLevelType w:val="hybridMultilevel"/>
    <w:lvl w:ilvl="0">
      <w:lvlJc w:val="left"/>
      <w:lvlText w:val="(%1)"/>
      <w:numFmt w:val="decimal"/>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1)"/>
      <w:numFmt w:val="decimal"/>
      <w:start w:val="2"/>
    </w:lvl>
  </w:abstractNum>
  <w:abstractNum w:abstractNumId="15">
    <w:nsid w:val="51D9C564"/>
    <w:multiLevelType w:val="hybridMultilevel"/>
    <w:lvl w:ilvl="0">
      <w:lvlJc w:val="left"/>
      <w:lvlText w:val="(%1)"/>
      <w:numFmt w:val="decimal"/>
      <w:start w:val="90"/>
    </w:lvl>
  </w:abstractNum>
  <w:abstractNum w:abstractNumId="16">
    <w:nsid w:val="613EFDC5"/>
    <w:multiLevelType w:val="hybridMultilevel"/>
    <w:lvl w:ilvl="0">
      <w:lvlJc w:val="left"/>
      <w:lvlText w:val="(%1)"/>
      <w:numFmt w:val="lowerLetter"/>
      <w:start w:val="2"/>
    </w:lvl>
  </w:abstractNum>
  <w:abstractNum w:abstractNumId="17">
    <w:nsid w:val="BF72B14"/>
    <w:multiLevelType w:val="hybridMultilevel"/>
    <w:lvl w:ilvl="0">
      <w:lvlJc w:val="left"/>
      <w:lvlText w:val="(%1)"/>
      <w:numFmt w:val="lowerLetter"/>
      <w:start w:val="1"/>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lowerLetter"/>
      <w:start w:val="9"/>
    </w:lvl>
  </w:abstractNum>
  <w:abstractNum w:abstractNumId="20">
    <w:nsid w:val="A0382C5"/>
    <w:multiLevelType w:val="hybridMultilevel"/>
    <w:lvl w:ilvl="0">
      <w:lvlJc w:val="left"/>
      <w:lvlText w:val="(%1)"/>
      <w:numFmt w:val="lowerRoman"/>
      <w:start w:val="1"/>
    </w:lvl>
  </w:abstractNum>
  <w:abstractNum w:abstractNumId="21">
    <w:nsid w:val="8F2B15E"/>
    <w:multiLevelType w:val="hybridMultilevel"/>
    <w:lvl w:ilvl="0">
      <w:lvlJc w:val="left"/>
      <w:lvlText w:val="(%1)"/>
      <w:numFmt w:val="lowerLetter"/>
      <w:start w:val="1"/>
    </w:lvl>
  </w:abstractNum>
  <w:abstractNum w:abstractNumId="22">
    <w:nsid w:val="1A32234B"/>
    <w:multiLevelType w:val="hybridMultilevel"/>
    <w:lvl w:ilvl="0">
      <w:lvlJc w:val="left"/>
      <w:lvlText w:val="(%1)"/>
      <w:numFmt w:val="lowerLetter"/>
      <w:start w:val="2"/>
    </w:lvl>
  </w:abstractNum>
  <w:abstractNum w:abstractNumId="23">
    <w:nsid w:val="3B0FD379"/>
    <w:multiLevelType w:val="hybridMultilevel"/>
    <w:lvl w:ilvl="0">
      <w:lvlJc w:val="left"/>
      <w:lvlText w:val="(%1)"/>
      <w:numFmt w:val="lowerLetter"/>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Roman"/>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2"/>
    </w:lvl>
  </w:abstractNum>
  <w:abstractNum w:abstractNumId="28">
    <w:nsid w:val="14330624"/>
    <w:multiLevelType w:val="hybridMultilevel"/>
    <w:lvl w:ilvl="0">
      <w:lvlJc w:val="left"/>
      <w:lvlText w:val="(%1)"/>
      <w:numFmt w:val="lowerLetter"/>
      <w:start w:val="1"/>
    </w:lvl>
    <w:lvl w:ilvl="1">
      <w:lvlJc w:val="left"/>
      <w:lvlText w:val="(%2)"/>
      <w:numFmt w:val="lowerLetter"/>
      <w:start w:val="9"/>
    </w:lvl>
  </w:abstractNum>
  <w:abstractNum w:abstractNumId="29">
    <w:nsid w:val="7FFFCA11"/>
    <w:multiLevelType w:val="hybridMultilevel"/>
    <w:lvl w:ilvl="0">
      <w:lvlJc w:val="left"/>
      <w:lvlText w:val="(%1)"/>
      <w:numFmt w:val="lowerRoman"/>
      <w:start w:val="2"/>
    </w:lvl>
  </w:abstractNum>
  <w:abstractNum w:abstractNumId="30">
    <w:nsid w:val="1A27709E"/>
    <w:multiLevelType w:val="hybridMultilevel"/>
    <w:lvl w:ilvl="0">
      <w:lvlJc w:val="left"/>
      <w:lvlText w:val="(%1)"/>
      <w:numFmt w:val="lowerRoman"/>
      <w:start w:val="3"/>
    </w:lvl>
  </w:abstractNum>
  <w:abstractNum w:abstractNumId="31">
    <w:nsid w:val="71EA1109"/>
    <w:multiLevelType w:val="hybridMultilevel"/>
    <w:lvl w:ilvl="0">
      <w:lvlJc w:val="left"/>
      <w:lvlText w:val="(%1)"/>
      <w:numFmt w:val="lowerLetter"/>
      <w:start w:val="4"/>
    </w:lvl>
  </w:abstractNum>
  <w:abstractNum w:abstractNumId="32">
    <w:nsid w:val="100F59DC"/>
    <w:multiLevelType w:val="hybridMultilevel"/>
    <w:lvl w:ilvl="0">
      <w:lvlJc w:val="left"/>
      <w:lvlText w:val="%1"/>
      <w:numFmt w:val="lowerLetter"/>
      <w:start w:val="1"/>
    </w:lvl>
    <w:lvl w:ilvl="1">
      <w:lvlJc w:val="left"/>
      <w:lvlText w:val="(%2)"/>
      <w:numFmt w:val="lowerLetter"/>
      <w:start w:val="1"/>
    </w:lvl>
  </w:abstractNum>
  <w:abstractNum w:abstractNumId="33">
    <w:nsid w:val="7FB7E0AA"/>
    <w:multiLevelType w:val="hybridMultilevel"/>
    <w:lvl w:ilvl="0">
      <w:lvlJc w:val="left"/>
      <w:lvlText w:val="(%1)"/>
      <w:numFmt w:val="lowerLetter"/>
      <w:start w:val="9"/>
    </w:lvl>
    <w:lvl w:ilvl="1">
      <w:lvlJc w:val="left"/>
      <w:lvlText w:val="(%2)"/>
      <w:numFmt w:val="lowerLetter"/>
      <w:start w:val="3"/>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1)"/>
      <w:numFmt w:val="lowerLetter"/>
      <w:start w:val="1"/>
    </w:lvl>
    <w:lvl w:ilvl="1">
      <w:lvlJc w:val="left"/>
      <w:lvlText w:val="(%2)"/>
      <w:numFmt w:val="lowerRoman"/>
      <w:start w:val="1"/>
    </w:lvl>
  </w:abstractNum>
  <w:abstractNum w:abstractNumId="39">
    <w:nsid w:val="4C04A8AF"/>
    <w:multiLevelType w:val="hybridMultilevel"/>
    <w:lvl w:ilvl="0">
      <w:lvlJc w:val="left"/>
      <w:lvlText w:val="%1"/>
      <w:numFmt w:val="lowerLetter"/>
      <w:start w:val="1"/>
    </w:lvl>
    <w:lvl w:ilvl="1">
      <w:lvlJc w:val="left"/>
      <w:lvlText w:val="(%2)"/>
      <w:numFmt w:val="lowerLetter"/>
      <w:start w:val="2"/>
    </w:lvl>
  </w:abstractNum>
  <w:abstractNum w:abstractNumId="40">
    <w:nsid w:val="1716703B"/>
    <w:multiLevelType w:val="hybridMultilevel"/>
    <w:lvl w:ilvl="0">
      <w:lvlJc w:val="left"/>
      <w:lvlText w:val="(%1)"/>
      <w:numFmt w:val="lowerLetter"/>
      <w:start w:val="24"/>
    </w:lvl>
    <w:lvl w:ilvl="1">
      <w:lvlJc w:val="left"/>
      <w:lvlText w:val="(%2)"/>
      <w:numFmt w:val="lowerLetter"/>
      <w:start w:val="3"/>
    </w:lvl>
  </w:abstractNum>
  <w:abstractNum w:abstractNumId="41">
    <w:nsid w:val="14E17E33"/>
    <w:multiLevelType w:val="hybridMultilevel"/>
    <w:lvl w:ilvl="0">
      <w:lvlJc w:val="left"/>
      <w:lvlText w:val="(%1)"/>
      <w:numFmt w:val="lowerLetter"/>
      <w:start w:val="4"/>
    </w:lvl>
  </w:abstractNum>
  <w:abstractNum w:abstractNumId="42">
    <w:nsid w:val="3222E7CD"/>
    <w:multiLevelType w:val="hybridMultilevel"/>
    <w:lvl w:ilvl="0">
      <w:lvlJc w:val="left"/>
      <w:lvlText w:val="(%1)"/>
      <w:numFmt w:val="lowerLetter"/>
      <w:start w:val="1"/>
    </w:lvl>
    <w:lvl w:ilvl="1">
      <w:lvlJc w:val="left"/>
      <w:lvlText w:val="(%2)"/>
      <w:numFmt w:val="lowerRoman"/>
      <w:start w:val="1"/>
    </w:lvl>
  </w:abstractNum>
  <w:abstractNum w:abstractNumId="43">
    <w:nsid w:val="74DE0EE3"/>
    <w:multiLevelType w:val="hybridMultilevel"/>
    <w:lvl w:ilvl="0">
      <w:lvlJc w:val="left"/>
      <w:lvlText w:val="(%1)"/>
      <w:numFmt w:val="lowerLetter"/>
      <w:start w:val="2"/>
    </w:lvl>
  </w:abstractNum>
  <w:abstractNum w:abstractNumId="44">
    <w:nsid w:val="68EBC550"/>
    <w:multiLevelType w:val="hybridMultilevel"/>
    <w:lvl w:ilvl="0">
      <w:lvlJc w:val="left"/>
      <w:lvlText w:val="(%1)"/>
      <w:numFmt w:val="lowerLetter"/>
      <w:start w:val="1"/>
    </w:lvl>
  </w:abstractNum>
  <w:abstractNum w:abstractNumId="45">
    <w:nsid w:val="2DF6D648"/>
    <w:multiLevelType w:val="hybridMultilevel"/>
    <w:lvl w:ilvl="0">
      <w:lvlJc w:val="left"/>
      <w:lvlText w:val="(%1)"/>
      <w:numFmt w:val="lowerLetter"/>
      <w:start w:val="2"/>
    </w:lvl>
  </w:abstractNum>
  <w:abstractNum w:abstractNumId="46">
    <w:nsid w:val="46B7D447"/>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7">
    <w:nsid w:val="4A2AC315"/>
    <w:multiLevelType w:val="hybridMultilevel"/>
    <w:lvl w:ilvl="0">
      <w:lvlJc w:val="left"/>
      <w:lvlText w:val="%1"/>
      <w:numFmt w:val="upperLetter"/>
      <w:start w:val="1"/>
    </w:lvl>
    <w:lvl w:ilvl="1">
      <w:lvlJc w:val="left"/>
      <w:lvlText w:val="(%2)"/>
      <w:numFmt w:val="decimal"/>
      <w:start w:val="2"/>
    </w:lvl>
  </w:abstractNum>
  <w:abstractNum w:abstractNumId="48">
    <w:nsid w:val="39EE015C"/>
    <w:multiLevelType w:val="hybridMultilevel"/>
    <w:lvl w:ilvl="0">
      <w:lvlJc w:val="left"/>
      <w:lvlText w:val="(%1)"/>
      <w:numFmt w:val="upperLetter"/>
      <w:start w:val="3"/>
    </w:lvl>
    <w:lvl w:ilvl="1">
      <w:lvlJc w:val="left"/>
      <w:lvlText w:val="%2"/>
      <w:numFmt w:val="decimal"/>
      <w:start w:val="1"/>
    </w:lvl>
  </w:abstractNum>
  <w:abstractNum w:abstractNumId="49">
    <w:nsid w:val="57FC4FBB"/>
    <w:multiLevelType w:val="hybridMultilevel"/>
    <w:lvl w:ilvl="0">
      <w:lvlJc w:val="left"/>
      <w:lvlText w:val="(%1)"/>
      <w:numFmt w:val="lowerLetter"/>
      <w:start w:val="7"/>
    </w:lvl>
  </w:abstractNum>
  <w:abstractNum w:abstractNumId="50">
    <w:nsid w:val="CC1016F"/>
    <w:multiLevelType w:val="hybridMultilevel"/>
    <w:lvl w:ilvl="0">
      <w:lvlJc w:val="left"/>
      <w:lvlText w:val="(%1)"/>
      <w:numFmt w:val="lowerLetter"/>
      <w:start w:val="1"/>
    </w:lvl>
  </w:abstractNum>
  <w:abstractNum w:abstractNumId="51">
    <w:nsid w:val="43F18422"/>
    <w:multiLevelType w:val="hybridMultilevel"/>
    <w:lvl w:ilvl="0">
      <w:lvlJc w:val="left"/>
      <w:lvlText w:val="(%1)"/>
      <w:numFmt w:val="lowerLetter"/>
      <w:start w:val="2"/>
    </w:lvl>
  </w:abstractNum>
  <w:abstractNum w:abstractNumId="52">
    <w:nsid w:val="60EF0119"/>
    <w:multiLevelType w:val="hybridMultilevel"/>
    <w:lvl w:ilvl="0">
      <w:lvlJc w:val="left"/>
      <w:lvlText w:val="(%1)"/>
      <w:numFmt w:val="lowerLetter"/>
      <w:start w:val="4"/>
    </w:lvl>
  </w:abstractNum>
  <w:abstractNum w:abstractNumId="53">
    <w:nsid w:val="26F324BA"/>
    <w:multiLevelType w:val="hybridMultilevel"/>
    <w:lvl w:ilvl="0">
      <w:lvlJc w:val="left"/>
      <w:lvlText w:val="(%1)"/>
      <w:numFmt w:val="lowerLetter"/>
      <w:start w:val="1"/>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3"/>
    </w:lvl>
  </w:abstractNum>
  <w:abstractNum w:abstractNumId="56">
    <w:nsid w:val="7055A5F5"/>
    <w:multiLevelType w:val="hybridMultilevel"/>
    <w:lvl w:ilvl="0">
      <w:lvlJc w:val="left"/>
      <w:lvlText w:val="(%1)"/>
      <w:numFmt w:val="lowerLetter"/>
      <w:start w:val="1"/>
    </w:lvl>
    <w:lvl w:ilvl="1">
      <w:lvlJc w:val="left"/>
      <w:lvlText w:val="(%2)"/>
      <w:numFmt w:val="lowerLetter"/>
      <w:start w:val="9"/>
    </w:lvl>
  </w:abstractNum>
  <w:abstractNum w:abstractNumId="57">
    <w:nsid w:val="5FB8370B"/>
    <w:multiLevelType w:val="hybridMultilevel"/>
    <w:lvl w:ilvl="0">
      <w:lvlJc w:val="left"/>
      <w:lvlText w:val="%1"/>
      <w:numFmt w:val="lowerLetter"/>
      <w:start w:val="1"/>
    </w:lvl>
    <w:lvl w:ilvl="1">
      <w:lvlJc w:val="left"/>
      <w:lvlText w:val="(%2)"/>
      <w:numFmt w:val="lowerRoman"/>
      <w:start w:val="2"/>
    </w:lvl>
  </w:abstractNum>
  <w:abstractNum w:abstractNumId="58">
    <w:nsid w:val="50801EE1"/>
    <w:multiLevelType w:val="hybridMultilevel"/>
    <w:lvl w:ilvl="0">
      <w:lvlJc w:val="left"/>
      <w:lvlText w:val="(%1)"/>
      <w:numFmt w:val="lowerLetter"/>
      <w:start w:val="3"/>
    </w:lvl>
    <w:lvl w:ilvl="1">
      <w:lvlJc w:val="left"/>
      <w:lvlText w:val="%2"/>
      <w:numFmt w:val="lowerRoman"/>
      <w:start w:val="1"/>
    </w:lvl>
  </w:abstractNum>
  <w:abstractNum w:abstractNumId="59">
    <w:nsid w:val="488AC1A"/>
    <w:multiLevelType w:val="hybridMultilevel"/>
    <w:lvl w:ilvl="0">
      <w:lvlJc w:val="left"/>
      <w:lvlText w:val="(%1)"/>
      <w:numFmt w:val="lowerLetter"/>
      <w:start w:val="4"/>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1"/>
    </w:lvl>
    <w:lvl w:ilvl="1">
      <w:lvlJc w:val="left"/>
      <w:lvlText w:val="(%2)"/>
      <w:numFmt w:val="lowerLetter"/>
      <w:start w:val="1"/>
    </w:lvl>
  </w:abstractNum>
  <w:abstractNum w:abstractNumId="63">
    <w:nsid w:val="6FC75AF8"/>
    <w:multiLevelType w:val="hybridMultilevel"/>
    <w:lvl w:ilvl="0">
      <w:lvlJc w:val="left"/>
      <w:lvlText w:val="(%1)"/>
      <w:numFmt w:val="lowerLetter"/>
      <w:start w:val="9"/>
    </w:lvl>
    <w:lvl w:ilvl="1">
      <w:lvlJc w:val="left"/>
      <w:lvlText w:val="(%2)"/>
      <w:numFmt w:val="lowerLetter"/>
      <w:start w:val="2"/>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1"/>
    </w:lvl>
    <w:lvl w:ilvl="1">
      <w:lvlJc w:val="left"/>
      <w:lvlText w:val="(%2)"/>
      <w:numFmt w:val="lowerLetter"/>
      <w:start w:val="2"/>
    </w:lvl>
  </w:abstractNum>
  <w:abstractNum w:abstractNumId="68">
    <w:nsid w:val="7DE67713"/>
    <w:multiLevelType w:val="hybridMultilevel"/>
    <w:lvl w:ilvl="0">
      <w:lvlJc w:val="left"/>
      <w:lvlText w:val="(%1)"/>
      <w:numFmt w:val="lowerLetter"/>
      <w:start w:val="3"/>
    </w:lvl>
    <w:lvl w:ilvl="1">
      <w:lvlJc w:val="left"/>
      <w:lvlText w:val="(%2)"/>
      <w:numFmt w:val="lowerLetter"/>
      <w:start w:val="5"/>
    </w:lvl>
  </w:abstractNum>
  <w:abstractNum w:abstractNumId="69">
    <w:nsid w:val="555C55B5"/>
    <w:multiLevelType w:val="hybridMultilevel"/>
    <w:lvl w:ilvl="0">
      <w:lvlJc w:val="left"/>
      <w:lvlText w:val="(%1)"/>
      <w:numFmt w:val="lowerLetter"/>
      <w:start w:val="8"/>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1"/>
    </w:lvl>
  </w:abstractNum>
  <w:abstractNum w:abstractNumId="72">
    <w:nsid w:val="6A3DD3E8"/>
    <w:multiLevelType w:val="hybridMultilevel"/>
    <w:lvl w:ilvl="0">
      <w:lvlJc w:val="left"/>
      <w:lvlText w:val="(%1)"/>
      <w:numFmt w:val="lowerLetter"/>
      <w:start w:val="35"/>
    </w:lvl>
    <w:lvl w:ilvl="1">
      <w:lvlJc w:val="left"/>
      <w:lvlText w:val="(%2)"/>
      <w:numFmt w:val="lowerLetter"/>
      <w:start w:val="4"/>
    </w:lvl>
  </w:abstractNum>
  <w:abstractNum w:abstractNumId="73">
    <w:nsid w:val="71C91298"/>
    <w:multiLevelType w:val="hybridMultilevel"/>
    <w:lvl w:ilvl="0">
      <w:lvlJc w:val="left"/>
      <w:lvlText w:val="(%1)"/>
      <w:numFmt w:val="upperLetter"/>
      <w:start w:val="1"/>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11"/>
    </w:lvl>
  </w:abstractNum>
  <w:abstractNum w:abstractNumId="77">
    <w:nsid w:val="5092CA79"/>
    <w:multiLevelType w:val="hybridMultilevel"/>
    <w:lvl w:ilvl="0">
      <w:lvlJc w:val="left"/>
      <w:lvlText w:val="(%1)"/>
      <w:numFmt w:val="lowerLetter"/>
      <w:start w:val="12"/>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lowerLetter"/>
      <w:start w:val="4"/>
    </w:lvl>
  </w:abstractNum>
  <w:abstractNum w:abstractNumId="80">
    <w:nsid w:val="288F1A34"/>
    <w:multiLevelType w:val="hybridMultilevel"/>
    <w:lvl w:ilvl="0">
      <w:lvlJc w:val="left"/>
      <w:lvlText w:val="(%1)"/>
      <w:numFmt w:val="lowerLetter"/>
      <w:start w:val="14"/>
    </w:lvl>
  </w:abstractNum>
  <w:abstractNum w:abstractNumId="81">
    <w:nsid w:val="2A155DBC"/>
    <w:multiLevelType w:val="hybridMultilevel"/>
    <w:lvl w:ilvl="0">
      <w:lvlJc w:val="left"/>
      <w:lvlText w:val="%1"/>
      <w:numFmt w:val="lowerLetter"/>
      <w:start w:val="1"/>
    </w:lvl>
    <w:lvl w:ilvl="1">
      <w:lvlJc w:val="left"/>
      <w:lvlText w:val="(%2)"/>
      <w:numFmt w:val="lowerLetter"/>
      <w:start w:val="1"/>
    </w:lvl>
  </w:abstractNum>
  <w:abstractNum w:abstractNumId="82">
    <w:nsid w:val="1D9F6E5F"/>
    <w:multiLevelType w:val="hybridMultilevel"/>
    <w:lvl w:ilvl="0">
      <w:lvlJc w:val="left"/>
      <w:lvlText w:val="(%1)"/>
      <w:numFmt w:val="lowerLetter"/>
      <w:start w:val="22"/>
    </w:lvl>
    <w:lvl w:ilvl="1">
      <w:lvlJc w:val="left"/>
      <w:lvlText w:val="(%2)"/>
      <w:numFmt w:val="lowerLetter"/>
      <w:start w:val="2"/>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lowerLetter"/>
      <w:start w:val="12"/>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1)"/>
      <w:numFmt w:val="lowerLetter"/>
      <w:start w:val="8"/>
    </w:lvl>
  </w:abstractNum>
  <w:abstractNum w:abstractNumId="89">
    <w:nsid w:val="23D86AAC"/>
    <w:multiLevelType w:val="hybridMultilevel"/>
    <w:lvl w:ilvl="0">
      <w:lvlJc w:val="left"/>
      <w:lvlText w:val="(%1)"/>
      <w:numFmt w:val="lowerLetter"/>
      <w:start w:val="12"/>
    </w:lvl>
  </w:abstractNum>
  <w:abstractNum w:abstractNumId="90">
    <w:nsid w:val="45E6D486"/>
    <w:multiLevelType w:val="hybridMultilevel"/>
    <w:lvl w:ilvl="0">
      <w:lvlJc w:val="left"/>
      <w:lvlText w:val="(%1)"/>
      <w:numFmt w:val="lowerLetter"/>
      <w:start w:val="1"/>
    </w:lvl>
  </w:abstractNum>
  <w:abstractNum w:abstractNumId="91">
    <w:nsid w:val="5C10FE21"/>
    <w:multiLevelType w:val="hybridMultilevel"/>
    <w:lvl w:ilvl="0">
      <w:lvlJc w:val="left"/>
      <w:lvlText w:val="(%1)"/>
      <w:numFmt w:val="lowerRoman"/>
      <w:start w:val="1"/>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lowerLetter"/>
      <w:start w:val="3"/>
    </w:lvl>
    <w:lvl w:ilvl="1">
      <w:lvlJc w:val="left"/>
      <w:lvlText w:val="(%2)"/>
      <w:numFmt w:val="lowerRoman"/>
      <w:start w:val="1"/>
    </w:lvl>
  </w:abstractNum>
  <w:abstractNum w:abstractNumId="94">
    <w:nsid w:val="4BD8591A"/>
    <w:multiLevelType w:val="hybridMultilevel"/>
    <w:lvl w:ilvl="0">
      <w:lvlJc w:val="left"/>
      <w:lvlText w:val="(%1)"/>
      <w:numFmt w:val="lowerRoman"/>
      <w:start w:val="1"/>
    </w:lvl>
  </w:abstractNum>
  <w:abstractNum w:abstractNumId="95">
    <w:nsid w:val="78DF6A55"/>
    <w:multiLevelType w:val="hybridMultilevel"/>
    <w:lvl w:ilvl="0">
      <w:lvlJc w:val="left"/>
      <w:lvlText w:val="(%1)"/>
      <w:numFmt w:val="lowerLetter"/>
      <w:start w:val="7"/>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1"/>
    </w:lvl>
    <w:lvl w:ilvl="1">
      <w:lvlJc w:val="left"/>
      <w:lvlText w:val="(%2)"/>
      <w:numFmt w:val="lowerLetter"/>
      <w:start w:val="2"/>
    </w:lvl>
  </w:abstractNum>
  <w:abstractNum w:abstractNumId="98">
    <w:nsid w:val="6C80EC70"/>
    <w:multiLevelType w:val="hybridMultilevel"/>
    <w:lvl w:ilvl="0">
      <w:lvlJc w:val="left"/>
      <w:lvlText w:val="(%1)"/>
      <w:numFmt w:val="lowerLetter"/>
      <w:start w:val="22"/>
    </w:lvl>
    <w:lvl w:ilvl="1">
      <w:lvlJc w:val="left"/>
      <w:lvlText w:val="(%2)"/>
      <w:numFmt w:val="lowerLetter"/>
      <w:start w:val="3"/>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4"/>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2"/>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2"/>
    </w:lvl>
  </w:abstractNum>
  <w:abstractNum w:abstractNumId="105">
    <w:nsid w:val="5675FF3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6">
    <w:nsid w:val="3DD15094"/>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07">
    <w:nsid w:val="3DB012B3"/>
    <w:multiLevelType w:val="hybridMultilevel"/>
    <w:lvl w:ilvl="0">
      <w:lvlJc w:val="left"/>
      <w:lvlText w:val="%1"/>
      <w:numFmt w:val="lowerLetter"/>
      <w:start w:val="1"/>
    </w:lvl>
    <w:lvl w:ilvl="1">
      <w:lvlJc w:val="left"/>
      <w:lvlText w:val="(%2)"/>
      <w:numFmt w:val="lowerRoman"/>
      <w:start w:val="3"/>
    </w:lvl>
  </w:abstractNum>
  <w:abstractNum w:abstractNumId="108">
    <w:nsid w:val="2708C9AF"/>
    <w:multiLevelType w:val="hybridMultilevel"/>
    <w:lvl w:ilvl="0">
      <w:lvlJc w:val="left"/>
      <w:lvlText w:val="(%1)"/>
      <w:numFmt w:val="lowerLetter"/>
      <w:start w:val="2"/>
    </w:lvl>
    <w:lvl w:ilvl="1">
      <w:lvlJc w:val="left"/>
      <w:lvlText w:val="%2"/>
      <w:numFmt w:val="lowerRoman"/>
      <w:start w:val="1"/>
    </w:lvl>
  </w:abstractNum>
  <w:abstractNum w:abstractNumId="109">
    <w:nsid w:val="5B25ACE2"/>
    <w:multiLevelType w:val="hybridMultilevel"/>
    <w:lvl w:ilvl="0">
      <w:lvlJc w:val="left"/>
      <w:lvlText w:val="(%1)"/>
      <w:numFmt w:val="lowerLetter"/>
      <w:start w:val="1"/>
    </w:lvl>
    <w:lvl w:ilvl="1">
      <w:lvlJc w:val="left"/>
      <w:lvlText w:val="(%2)"/>
      <w:numFmt w:val="lowerRoman"/>
      <w:start w:val="1"/>
    </w:lvl>
  </w:abstractNum>
  <w:abstractNum w:abstractNumId="110">
    <w:nsid w:val="175DFCF0"/>
    <w:multiLevelType w:val="hybridMultilevel"/>
    <w:lvl w:ilvl="0">
      <w:lvlJc w:val="left"/>
      <w:lvlText w:val="(%1)"/>
      <w:numFmt w:val="lowerRoman"/>
      <w:start w:val="3"/>
    </w:lvl>
  </w:abstractNum>
  <w:abstractNum w:abstractNumId="111">
    <w:nsid w:val="4F97E3E4"/>
    <w:multiLevelType w:val="hybridMultilevel"/>
    <w:lvl w:ilvl="0">
      <w:lvlJc w:val="left"/>
      <w:lvlText w:val="%1"/>
      <w:numFmt w:val="decimal"/>
      <w:start w:val="745"/>
    </w:lvl>
  </w:abstractNum>
  <w:abstractNum w:abstractNumId="112">
    <w:nsid w:val="53B0A9E"/>
    <w:multiLevelType w:val="hybridMultilevel"/>
    <w:lvl w:ilvl="0">
      <w:lvlJc w:val="left"/>
      <w:lvlText w:val="(%1)"/>
      <w:numFmt w:val="lowerLetter"/>
      <w:start w:val="2"/>
    </w:lvl>
  </w:abstractNum>
  <w:abstractNum w:abstractNumId="113">
    <w:nsid w:val="34FD6B4F"/>
    <w:multiLevelType w:val="hybridMultilevel"/>
    <w:lvl w:ilvl="0">
      <w:lvlJc w:val="left"/>
      <w:lvlText w:val="(%1)"/>
      <w:numFmt w:val="lowerLetter"/>
      <w:start w:val="1"/>
    </w:lvl>
  </w:abstractNum>
  <w:abstractNum w:abstractNumId="114">
    <w:nsid w:val="5915FF32"/>
    <w:multiLevelType w:val="hybridMultilevel"/>
    <w:lvl w:ilvl="0">
      <w:lvlJc w:val="left"/>
      <w:lvlText w:val="(%1)"/>
      <w:numFmt w:val="lowerLetter"/>
      <w:start w:val="2"/>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lowerLetter"/>
      <w:start w:val="4"/>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Roman"/>
      <w:start w:val="1"/>
    </w:lvl>
    <w:lvl w:ilvl="1">
      <w:lvlJc w:val="left"/>
      <w:lvlText w:val="(%2)"/>
      <w:numFmt w:val="upperLetter"/>
      <w:start w:val="1"/>
    </w:lvl>
  </w:abstractNum>
  <w:abstractNum w:abstractNumId="119">
    <w:nsid w:val="4DF72E4E"/>
    <w:multiLevelType w:val="hybridMultilevel"/>
    <w:lvl w:ilvl="0">
      <w:lvlJc w:val="left"/>
      <w:lvlText w:val="%1"/>
      <w:numFmt w:val="lowerRoman"/>
      <w:start w:val="1"/>
    </w:lvl>
    <w:lvl w:ilvl="1">
      <w:lvlJc w:val="left"/>
      <w:lvlText w:val="(%2)"/>
      <w:numFmt w:val="upperLetter"/>
      <w:start w:val="3"/>
    </w:lvl>
  </w:abstractNum>
  <w:abstractNum w:abstractNumId="120">
    <w:nsid w:val="5046B5A9"/>
    <w:multiLevelType w:val="hybridMultilevel"/>
    <w:lvl w:ilvl="0">
      <w:lvlJc w:val="left"/>
      <w:lvlText w:val="(%1)"/>
      <w:numFmt w:val="lowerRoman"/>
      <w:start w:val="3"/>
    </w:lvl>
    <w:lvl w:ilvl="1">
      <w:lvlJc w:val="left"/>
      <w:lvlText w:val="%2"/>
      <w:numFmt w:val="upperLetter"/>
      <w:start w:val="1"/>
    </w:lvl>
  </w:abstractNum>
  <w:abstractNum w:abstractNumId="121">
    <w:nsid w:val="5D888A08"/>
    <w:multiLevelType w:val="hybridMultilevel"/>
    <w:lvl w:ilvl="0">
      <w:lvlJc w:val="left"/>
      <w:lvlText w:val="%1"/>
      <w:numFmt w:val="lowerLetter"/>
      <w:start w:val="1"/>
    </w:lvl>
    <w:lvl w:ilvl="1">
      <w:lvlJc w:val="left"/>
      <w:lvlText w:val="(%2)"/>
      <w:numFmt w:val="lowerLetter"/>
      <w:start w:val="3"/>
    </w:lvl>
  </w:abstractNum>
  <w:abstractNum w:abstractNumId="122">
    <w:nsid w:val="2A082C70"/>
    <w:multiLevelType w:val="hybridMultilevel"/>
    <w:lvl w:ilvl="0">
      <w:lvlJc w:val="left"/>
      <w:lvlText w:val="(%1)"/>
      <w:numFmt w:val="lowerLetter"/>
      <w:start w:val="35"/>
    </w:lvl>
    <w:lvl w:ilvl="1">
      <w:lvlJc w:val="left"/>
      <w:lvlText w:val="%2"/>
      <w:numFmt w:val="lowerLetter"/>
      <w:start w:val="1"/>
    </w:lvl>
  </w:abstractNum>
  <w:abstractNum w:abstractNumId="123">
    <w:nsid w:val="5EC6AFD4"/>
    <w:multiLevelType w:val="hybridMultilevel"/>
    <w:lvl w:ilvl="0">
      <w:lvlJc w:val="left"/>
      <w:lvlText w:val="(%1)"/>
      <w:numFmt w:val="lowerLetter"/>
      <w:start w:val="4"/>
    </w:lvl>
  </w:abstractNum>
  <w:abstractNum w:abstractNumId="124">
    <w:nsid w:val="19E21BB2"/>
    <w:multiLevelType w:val="hybridMultilevel"/>
    <w:lvl w:ilvl="0">
      <w:lvlJc w:val="left"/>
      <w:lvlText w:val="(%1)"/>
      <w:numFmt w:val="lowerLetter"/>
      <w:start w:val="1"/>
    </w:lvl>
  </w:abstractNum>
  <w:abstractNum w:abstractNumId="125">
    <w:nsid w:val="75E0858A"/>
    <w:multiLevelType w:val="hybridMultilevel"/>
    <w:lvl w:ilvl="0">
      <w:lvlJc w:val="left"/>
      <w:lvlText w:val="(%1)"/>
      <w:numFmt w:val="lowerLetter"/>
      <w:start w:val="2"/>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lowerLetter"/>
      <w:start w:val="3"/>
    </w:lvl>
  </w:abstractNum>
  <w:abstractNum w:abstractNumId="128">
    <w:nsid w:val="20EE1348"/>
    <w:multiLevelType w:val="hybridMultilevel"/>
    <w:lvl w:ilvl="0">
      <w:lvlJc w:val="left"/>
      <w:lvlText w:val="(%1)"/>
      <w:numFmt w:val="upperLetter"/>
      <w:start w:val="2"/>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lowerLetter"/>
      <w:start w:val="1"/>
    </w:lvl>
    <w:lvl w:ilvl="1">
      <w:lvlJc w:val="left"/>
      <w:lvlText w:val="(%2)"/>
      <w:numFmt w:val="lowerRoman"/>
      <w:start w:val="1"/>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1)"/>
      <w:numFmt w:val="lowerLetter"/>
      <w:start w:val="2"/>
    </w:lvl>
  </w:abstractNum>
  <w:abstractNum w:abstractNumId="134">
    <w:nsid w:val="BFFAE1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2026-06-25T15:36:44Z</dcterms:created>
  <dcterms:modified xsi:type="dcterms:W3CDTF">2026-06-25T15:36:44Z</dcterms:modified>
</cp:coreProperties>
</file>