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Affirm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00827B106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508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00827B106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7 Pages</w:t>
      </w:r>
    </w:p>
    <w:p>
      <w:pPr>
        <w:spacing w:after="0" w:line="171"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GIC Private Limited</w:t>
      </w:r>
    </w:p>
    <w:p>
      <w:pPr>
        <w:spacing w:after="0" w:line="3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Republic of Singapore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4,499,514</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22,891,450</w:t>
            </w:r>
            <w:r>
              <w:rPr>
                <w:rFonts w:ascii="Arial" w:cs="Arial" w:eastAsia="Arial" w:hAnsi="Arial"/>
                <w:sz w:val="26"/>
                <w:szCs w:val="26"/>
                <w:color w:val="auto"/>
                <w:vertAlign w:val="superscript"/>
              </w:rPr>
              <w:t>(1)(2)</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4,499,514</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22,891,450</w:t>
      </w:r>
      <w:r>
        <w:rPr>
          <w:rFonts w:ascii="Arial" w:cs="Arial" w:eastAsia="Arial" w:hAnsi="Arial"/>
          <w:sz w:val="26"/>
          <w:szCs w:val="26"/>
          <w:color w:val="auto"/>
          <w:vertAlign w:val="superscript"/>
        </w:rPr>
        <w:t>(1)(2)</w:t>
      </w:r>
    </w:p>
    <w:p>
      <w:pPr>
        <w:ind w:left="604" w:hanging="357"/>
        <w:spacing w:after="0"/>
        <w:tabs>
          <w:tab w:leader="none" w:pos="6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27,390,964</w:t>
      </w:r>
      <w:r>
        <w:rPr>
          <w:rFonts w:ascii="Arial" w:cs="Arial" w:eastAsia="Arial" w:hAnsi="Arial"/>
          <w:sz w:val="26"/>
          <w:szCs w:val="26"/>
          <w:color w:val="auto"/>
          <w:vertAlign w:val="superscript"/>
        </w:rPr>
        <w:t>(1)(2)</w:t>
      </w: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03"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35"/>
          <w:szCs w:val="35"/>
          <w:color w:val="auto"/>
          <w:vertAlign w:val="subscript"/>
        </w:rPr>
        <w:t>11.36%</w:t>
      </w:r>
      <w:r>
        <w:rPr>
          <w:rFonts w:ascii="Arial" w:cs="Arial" w:eastAsia="Arial" w:hAnsi="Arial"/>
          <w:sz w:val="13"/>
          <w:szCs w:val="13"/>
          <w:color w:val="auto"/>
        </w:rPr>
        <w:t>(2)(3)(4)</w:t>
      </w:r>
    </w:p>
    <w:p>
      <w:pPr>
        <w:spacing w:after="0" w:line="69"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 w:lineRule="exact"/>
        <w:rPr>
          <w:rFonts w:ascii="Arial" w:cs="Arial" w:eastAsia="Arial" w:hAnsi="Arial"/>
          <w:sz w:val="18"/>
          <w:szCs w:val="18"/>
          <w:color w:val="auto"/>
        </w:rPr>
      </w:pPr>
    </w:p>
    <w:p>
      <w:pPr>
        <w:ind w:left="424" w:right="200" w:hanging="424"/>
        <w:spacing w:after="0" w:line="271"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(i) 11,003,703 shares of Class B Common Stock, par value $0.00001 per share (“Class B Common Stock”), of Affirm Holdings, Inc. (the “Issuer”) and (ii) 11,887,747 shares of Class A Common Stock, par value $0.00001 per share (“Class A Common Stock”), of the Issuer, including 61,650 shares of Class A Common Stock that were received as part of distributions from funds.</w:t>
      </w: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share of Class B Common Stock is convertible at any time into one share of Class A Common Stock.</w:t>
      </w:r>
    </w:p>
    <w:p>
      <w:pPr>
        <w:spacing w:after="0" w:line="9" w:lineRule="exact"/>
        <w:rPr>
          <w:rFonts w:ascii="Arial" w:cs="Arial" w:eastAsia="Arial" w:hAnsi="Arial"/>
          <w:sz w:val="18"/>
          <w:szCs w:val="18"/>
          <w:color w:val="auto"/>
        </w:rPr>
      </w:pPr>
    </w:p>
    <w:p>
      <w:pPr>
        <w:ind w:left="424" w:right="20" w:hanging="424"/>
        <w:spacing w:after="0" w:line="265"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the quotient obtained by dividing (a) the aggregate number of shares of Class A Common Stock and Class B Common Stock beneficially owned by the Reporting Person as set forth in Row 9 by (b) the sum of (i) 230,046,307 shares of Class A Common Stock outstanding as of November 3, 2022, according to the Form 10-Q filed by the Issuer with the Securities and Exchange Commission (the “SEC”) on November 8, 2022 and (ii) 11,003,703 shares of Class B Common Stock beneficially owned by the Reporting Person.</w:t>
      </w:r>
    </w:p>
    <w:p>
      <w:pPr>
        <w:ind w:left="424" w:right="80" w:hanging="424"/>
        <w:spacing w:after="0" w:line="25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shares of Class B Common Stock beneficially owned by the Reporting Person as set for in footnote (1) are treated as converted into Class A Common Stock only for the purpose of computing the percentage ownership of the Reporting Person. The percentage reported does not reflect the fifteen for one voting power of the Class B Common Stock because these shares are treated as converted into Class A Common Stock for the purpose of this report.</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tabs>
          <w:tab w:leader="none" w:pos="508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00827B106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7 Pages</w:t>
      </w:r>
    </w:p>
    <w:p>
      <w:pPr>
        <w:spacing w:after="0" w:line="171"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GIC Special Investments Private Limited</w:t>
      </w:r>
    </w:p>
    <w:p>
      <w:pPr>
        <w:spacing w:after="0" w:line="36"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Republic of Singapore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 xml:space="preserve">22,891,450 </w:t>
            </w:r>
            <w:r>
              <w:rPr>
                <w:rFonts w:ascii="Arial" w:cs="Arial" w:eastAsia="Arial" w:hAnsi="Arial"/>
                <w:sz w:val="26"/>
                <w:szCs w:val="26"/>
                <w:color w:val="auto"/>
                <w:vertAlign w:val="superscript"/>
              </w:rPr>
              <w:t>(1)(2)</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 xml:space="preserve">22,891,450 </w:t>
      </w:r>
      <w:r>
        <w:rPr>
          <w:rFonts w:ascii="Arial" w:cs="Arial" w:eastAsia="Arial" w:hAnsi="Arial"/>
          <w:sz w:val="26"/>
          <w:szCs w:val="26"/>
          <w:color w:val="auto"/>
          <w:vertAlign w:val="superscript"/>
        </w:rPr>
        <w:t>(1)(2)</w:t>
      </w:r>
    </w:p>
    <w:p>
      <w:pPr>
        <w:ind w:left="604" w:hanging="357"/>
        <w:spacing w:after="0"/>
        <w:tabs>
          <w:tab w:leader="none" w:pos="6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22,891,450</w:t>
      </w:r>
      <w:r>
        <w:rPr>
          <w:rFonts w:ascii="Arial" w:cs="Arial" w:eastAsia="Arial" w:hAnsi="Arial"/>
          <w:sz w:val="26"/>
          <w:szCs w:val="26"/>
          <w:color w:val="auto"/>
          <w:vertAlign w:val="superscript"/>
        </w:rPr>
        <w:t>(1)(2)</w:t>
      </w: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03"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35"/>
          <w:szCs w:val="35"/>
          <w:color w:val="auto"/>
          <w:vertAlign w:val="subscript"/>
        </w:rPr>
        <w:t>9.50%</w:t>
      </w:r>
      <w:r>
        <w:rPr>
          <w:rFonts w:ascii="Arial" w:cs="Arial" w:eastAsia="Arial" w:hAnsi="Arial"/>
          <w:sz w:val="13"/>
          <w:szCs w:val="13"/>
          <w:color w:val="auto"/>
        </w:rPr>
        <w:t>(2)(3)(4)</w:t>
      </w:r>
    </w:p>
    <w:p>
      <w:pPr>
        <w:spacing w:after="0" w:line="69"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 w:lineRule="exact"/>
        <w:rPr>
          <w:rFonts w:ascii="Arial" w:cs="Arial" w:eastAsia="Arial" w:hAnsi="Arial"/>
          <w:sz w:val="18"/>
          <w:szCs w:val="18"/>
          <w:color w:val="auto"/>
        </w:rPr>
      </w:pPr>
    </w:p>
    <w:p>
      <w:pPr>
        <w:ind w:left="424" w:right="38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11,003,703 shares of Class B Common Stock and (ii) 11,887,747 shares of Class A Common Stock, including 61,650 shares of Class A Common Stock that were received as part of distributions from funds.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share of Class B Common Stock is convertible at any time into one share of Class A Common Stock.</w:t>
      </w:r>
    </w:p>
    <w:p>
      <w:pPr>
        <w:spacing w:after="0" w:line="9"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the quotient obtained by dividing (a) the aggregate number of shares of Class A Common Stock and Class B Common Stock beneficially owned by the Reporting Person as set forth in Row 9 by (b) the sum of (i) 230,046,307 shares of Class A Common Stock outstanding as of November 3, 2022, according to the Form 10-Q filed by the Issuer with the SEC on November 8, 2022 and (ii) 11,003,703 shares of Class B Common Stock beneficially owned by the Reporting Person.</w:t>
      </w:r>
    </w:p>
    <w:p>
      <w:pPr>
        <w:spacing w:after="0" w:line="1" w:lineRule="exact"/>
        <w:rPr>
          <w:rFonts w:ascii="Arial" w:cs="Arial" w:eastAsia="Arial" w:hAnsi="Arial"/>
          <w:sz w:val="18"/>
          <w:szCs w:val="18"/>
          <w:color w:val="auto"/>
        </w:rPr>
      </w:pPr>
    </w:p>
    <w:p>
      <w:pPr>
        <w:ind w:left="424" w:right="80" w:hanging="424"/>
        <w:spacing w:after="0" w:line="25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of Class B Common Stock beneficially owned by the Reporting Person as set for in footnote (1) are treated as converted into Class A Common Stock only for the purpose of computing the percentage ownership of the Reporting Person. The percentage reported does not reflect the fifteen for one voting power of the Class B Common Stock because these shares are treated as converted into Class A Common Stock for the purpose of this report.</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tabs>
          <w:tab w:leader="none" w:pos="508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00827B106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7 Pages</w:t>
      </w:r>
    </w:p>
    <w:p>
      <w:pPr>
        <w:spacing w:after="0" w:line="171"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Jasmine Ventures Pte. Ltd.</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Republic of Singapore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 xml:space="preserve">22,015,106 </w:t>
            </w:r>
            <w:r>
              <w:rPr>
                <w:rFonts w:ascii="Arial" w:cs="Arial" w:eastAsia="Arial" w:hAnsi="Arial"/>
                <w:sz w:val="26"/>
                <w:szCs w:val="26"/>
                <w:color w:val="auto"/>
                <w:vertAlign w:val="superscript"/>
              </w:rPr>
              <w:t>(1)(2)</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 xml:space="preserve">22,015,106 </w:t>
      </w:r>
      <w:r>
        <w:rPr>
          <w:rFonts w:ascii="Arial" w:cs="Arial" w:eastAsia="Arial" w:hAnsi="Arial"/>
          <w:sz w:val="26"/>
          <w:szCs w:val="26"/>
          <w:color w:val="auto"/>
          <w:vertAlign w:val="superscript"/>
        </w:rPr>
        <w:t>(1)(2)</w:t>
      </w:r>
    </w:p>
    <w:p>
      <w:pPr>
        <w:ind w:left="604" w:hanging="357"/>
        <w:spacing w:after="0"/>
        <w:tabs>
          <w:tab w:leader="none" w:pos="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22,015,106</w:t>
      </w:r>
      <w:r>
        <w:rPr>
          <w:rFonts w:ascii="Arial" w:cs="Arial" w:eastAsia="Arial" w:hAnsi="Arial"/>
          <w:sz w:val="26"/>
          <w:szCs w:val="26"/>
          <w:color w:val="auto"/>
          <w:vertAlign w:val="superscript"/>
        </w:rPr>
        <w:t>(1)(2)</w:t>
      </w:r>
    </w:p>
    <w:p>
      <w:pPr>
        <w:ind w:left="624" w:hanging="467"/>
        <w:spacing w:after="0"/>
        <w:tabs>
          <w:tab w:leader="none" w:pos="6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03"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35"/>
          <w:szCs w:val="35"/>
          <w:color w:val="auto"/>
          <w:vertAlign w:val="subscript"/>
        </w:rPr>
        <w:t>9.13%</w:t>
      </w:r>
      <w:r>
        <w:rPr>
          <w:rFonts w:ascii="Arial" w:cs="Arial" w:eastAsia="Arial" w:hAnsi="Arial"/>
          <w:sz w:val="13"/>
          <w:szCs w:val="13"/>
          <w:color w:val="auto"/>
        </w:rPr>
        <w:t>(2)(3)(4)</w:t>
      </w:r>
    </w:p>
    <w:p>
      <w:pPr>
        <w:spacing w:after="0" w:line="69"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 w:lineRule="exact"/>
        <w:rPr>
          <w:rFonts w:ascii="Arial" w:cs="Arial" w:eastAsia="Arial" w:hAnsi="Arial"/>
          <w:sz w:val="18"/>
          <w:szCs w:val="18"/>
          <w:color w:val="auto"/>
        </w:rPr>
      </w:pPr>
    </w:p>
    <w:p>
      <w:pPr>
        <w:ind w:left="424" w:right="380" w:hanging="424"/>
        <w:spacing w:after="0" w:line="258"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11,003,703 shares of Class B Common Stock and (ii) 11,887,747 shares of Class A Common Stock, including 61,650 shares of Class A Common Stock that were received as part of distributions from funds.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share of Class B Common Stock is convertible at any time into one share of Class A Common Stock.</w:t>
      </w:r>
    </w:p>
    <w:p>
      <w:pPr>
        <w:spacing w:after="0" w:line="9"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quotient obtained by dividing (a) the aggregate number of shares of Class A Common Stock and Class B Common Stock beneficially owned by the Reporting Person as set forth in Row 9 by (b) the sum of (i) 230,046,307 shares of Class A Common Stock outstanding as of November 3, 2022, according to the Form 10-Q filed by the Issuer with the SEC on November 8, 2022 and (ii) 11,003,703 shares of Class B Common Stock beneficially owned by the Reporting Person.</w:t>
      </w:r>
    </w:p>
    <w:p>
      <w:pPr>
        <w:spacing w:after="0" w:line="1" w:lineRule="exact"/>
        <w:rPr>
          <w:rFonts w:ascii="Arial" w:cs="Arial" w:eastAsia="Arial" w:hAnsi="Arial"/>
          <w:sz w:val="18"/>
          <w:szCs w:val="18"/>
          <w:color w:val="auto"/>
        </w:rPr>
      </w:pPr>
    </w:p>
    <w:p>
      <w:pPr>
        <w:ind w:left="424" w:right="80" w:hanging="424"/>
        <w:spacing w:after="0" w:line="253"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shares of Class B Common Stock beneficially owned by the Reporting Person as set for in footnote (1) are treated as converted into Class A Common Stock only for the purpose of computing the percentage ownership of the Reporting Person. The percentage reported does not reflect the fifteen for one voting power of the Class B Common Stock because these shares are treated as converted into Class A Common Stock for the purpose of this report.</w:t>
      </w:r>
    </w:p>
    <w:p>
      <w:pPr>
        <w:sectPr>
          <w:pgSz w:w="11900" w:h="16838" w:orient="portrait"/>
          <w:cols w:equalWidth="0" w:num="1">
            <w:col w:w="11024"/>
          </w:cols>
          <w:pgMar w:left="436" w:top="274" w:right="439" w:bottom="1440" w:gutter="0" w:footer="0" w:header="0"/>
        </w:sectPr>
      </w:pPr>
    </w:p>
    <w:bookmarkStart w:id="4" w:name="page5"/>
    <w:bookmarkEnd w:id="4"/>
    <w:p>
      <w:pPr>
        <w:spacing w:after="0"/>
        <w:tabs>
          <w:tab w:leader="none" w:pos="50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00827B106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7 Pages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Affirm Holdings,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Affirm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650 California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California 94108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GIC Private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GIC Special Investments Private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Jasmine Ventures Pte. Ltd.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Singapore 068912</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GIC Private Limited – Republic of Singapore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GIC Special Investments Private Limited – Republic of Singapore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Jasmine Ventures Pte. Ltd. – Republic of Singapore</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00827B106.</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Ownership information with respect to GIC Private Limited (“GIC PL”) is incorporated by reference from items (5) through (9) and (11) of the cover page, and the associated footnotes.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Jasmine Ventures Pte. Ltd. (“Jasmine”) shares the power to vote and the power to dispose of 11,003,703 shares of Class B common and 11,011,403 share of Class A stock with GIC Special Investments Pte. Ltd. (“GIC SI”) and GIC PL, both of which are private limited companies incorporated in Singapore. GIC SI is wholly owned by GIC PL and is the private equity investment arm of GIC PL. GIC PL is wholly owned by the Government of Singapore and was set up with the sole purpose of managing Singapore’s foreign reserves. The Government of Singapore disclaims beneficial ownership of these shares.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GIC PL is a fund manager and only has two clients – the Government of Singapore (“GoS”) and the Monetary Authority of Singapore (“MAS”). Under the investment management agreement with GoS, GIC PL has been given the sole discretion to exercise the voting rights attached to, and the disposition of, any shares managed on behalf of GoS. As such, GIC PL has the sole power to vote and power to dispose of 4,499,514.0 share of Class A stock, beneficially owned by it.</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GIC PL is wholly owned by the GoS and was set up with the sole purpose of managing Singapore’s foreign reserves. The GoS disclaims beneficial ownership of these shares.</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00827B106</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-201295</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7 Pages</w:t>
      </w:r>
    </w:p>
    <w:p>
      <w:pPr>
        <w:spacing w:after="0" w:line="516" w:lineRule="exact"/>
        <w:rPr>
          <w:sz w:val="20"/>
          <w:szCs w:val="20"/>
          <w:color w:val="auto"/>
        </w:rPr>
      </w:pPr>
    </w:p>
    <w:p>
      <w:pPr>
        <w:sectPr>
          <w:pgSz w:w="11900" w:h="16838" w:orient="portrait"/>
          <w:cols w:equalWidth="0" w:num="3">
            <w:col w:w="4440" w:space="660"/>
            <w:col w:w="3920" w:space="720"/>
            <w:col w:w="1280"/>
          </w:cols>
          <w:pgMar w:left="440" w:top="270" w:right="439" w:bottom="1440" w:gutter="0" w:footer="0" w:header="0"/>
        </w:sectPr>
      </w:pPr>
    </w:p>
    <w:p>
      <w:pPr>
        <w:ind w:left="4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Diane Liang Weishan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Diane Liang Weishan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Toh Tze Meng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Toh Tze Meng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spacing w:after="0"/>
              <w:rPr>
                <w:sz w:val="20"/>
                <w:szCs w:val="20"/>
                <w:color w:val="auto"/>
              </w:rPr>
            </w:pPr>
            <w:r>
              <w:rPr>
                <w:rFonts w:ascii="Arial" w:cs="Arial" w:eastAsia="Arial" w:hAnsi="Arial"/>
                <w:sz w:val="18"/>
                <w:szCs w:val="18"/>
                <w:color w:val="auto"/>
              </w:rPr>
              <w:t>February 7, 2023</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SPECIAL INVESTMENTS PRIVATE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Chan Hoe 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Chan Hoe Yin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February 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JASMINE VENTURES PTE.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Ankur Meattle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Ankur Meattle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February 7, 2023</w:t>
      </w:r>
    </w:p>
    <w:p>
      <w:pPr>
        <w:sectPr>
          <w:pgSz w:w="11900" w:h="16838" w:orient="portrait"/>
          <w:cols w:equalWidth="0" w:num="1">
            <w:col w:w="11020"/>
          </w:cols>
          <w:pgMar w:left="440" w:top="270" w:right="439" w:bottom="1440" w:gutter="0" w:footer="0" w:header="0"/>
        </w:sectPr>
      </w:pPr>
    </w:p>
    <w:bookmarkStart w:id="7" w:name="page8"/>
    <w:bookmarkEnd w:id="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EXHIBITS</w:t>
      </w:r>
    </w:p>
    <w:p>
      <w:pPr>
        <w:spacing w:after="0" w:line="248" w:lineRule="exact"/>
        <w:rPr>
          <w:sz w:val="20"/>
          <w:szCs w:val="20"/>
          <w:color w:val="auto"/>
        </w:rPr>
      </w:pPr>
    </w:p>
    <w:p>
      <w:pPr>
        <w:ind w:left="4"/>
        <w:spacing w:after="0"/>
        <w:tabs>
          <w:tab w:leader="none" w:pos="56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15240</wp:posOffset>
            </wp:positionV>
            <wp:extent cx="63093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97" w:lineRule="exact"/>
        <w:rPr>
          <w:sz w:val="20"/>
          <w:szCs w:val="20"/>
          <w:color w:val="auto"/>
        </w:rPr>
      </w:pPr>
    </w:p>
    <w:p>
      <w:pPr>
        <w:ind w:left="1084" w:hanging="1084"/>
        <w:spacing w:after="0" w:line="277" w:lineRule="auto"/>
        <w:tabs>
          <w:tab w:leader="none" w:pos="10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to the Schedule 13G filed by the Reporting Persons on February 11, 2022 (SEC File No. 005-93244))</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4"/>
      <w:numFmt w:val="bullet"/>
      <w:start w:val="1"/>
    </w:lvl>
  </w:abstractNum>
  <w:abstractNum w:abstractNumId="7">
    <w:nsid w:val="4E6AFB66"/>
    <w:multiLevelType w:val="hybridMultilevel"/>
    <w:lvl w:ilvl="0">
      <w:lvlJc w:val="left"/>
      <w:lvlText w:val="9"/>
      <w:numFmt w:val="bullet"/>
      <w:start w:val="1"/>
    </w:lvl>
  </w:abstractNum>
  <w:abstractNum w:abstractNumId="8">
    <w:nsid w:val="25E45D32"/>
    <w:multiLevelType w:val="hybridMultilevel"/>
    <w:lvl w:ilvl="0">
      <w:lvlJc w:val="left"/>
      <w:lvlText w:val="%1"/>
      <w:numFmt w:val="decimal"/>
      <w:start w:val="1"/>
    </w:lvl>
    <w:lvl w:ilvl="1">
      <w:lvlJc w:val="left"/>
      <w:lvlText w:val="%2"/>
      <w:numFmt w:val="decimal"/>
      <w:start w:val="10"/>
    </w:lvl>
  </w:abstractNum>
  <w:abstractNum w:abstractNumId="9">
    <w:nsid w:val="519B500D"/>
    <w:multiLevelType w:val="hybridMultilevel"/>
    <w:lvl w:ilvl="0">
      <w:lvlJc w:val="left"/>
      <w:lvlText w:val="(%1)"/>
      <w:numFmt w:val="decimal"/>
      <w:start w:val="1"/>
    </w:lvl>
    <w:lvl w:ilvl="1">
      <w:lvlJc w:val="left"/>
      <w:lvlText w:val="%2"/>
      <w:numFmt w:val="decimal"/>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2"/>
      <w:numFmt w:val="bullet"/>
      <w:start w:val="1"/>
    </w:lvl>
  </w:abstractNum>
  <w:abstractNum w:abstractNumId="12">
    <w:nsid w:val="7C83E458"/>
    <w:multiLevelType w:val="hybridMultilevel"/>
    <w:lvl w:ilvl="0">
      <w:lvlJc w:val="left"/>
      <w:lvlText w:val="3"/>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9"/>
      <w:numFmt w:val="bullet"/>
      <w:start w:val="1"/>
    </w:lvl>
  </w:abstractNum>
  <w:abstractNum w:abstractNumId="15">
    <w:nsid w:val="436C6125"/>
    <w:multiLevelType w:val="hybridMultilevel"/>
    <w:lvl w:ilvl="0">
      <w:lvlJc w:val="left"/>
      <w:lvlText w:val="%1"/>
      <w:numFmt w:val="decimal"/>
      <w:start w:val="1"/>
    </w:lvl>
    <w:lvl w:ilvl="1">
      <w:lvlJc w:val="left"/>
      <w:lvlText w:val="%2"/>
      <w:numFmt w:val="decimal"/>
      <w:start w:val="10"/>
    </w:lvl>
  </w:abstractNum>
  <w:abstractNum w:abstractNumId="16">
    <w:nsid w:val="628C895D"/>
    <w:multiLevelType w:val="hybridMultilevel"/>
    <w:lvl w:ilvl="0">
      <w:lvlJc w:val="left"/>
      <w:lvlText w:val="(%1)"/>
      <w:numFmt w:val="decimal"/>
      <w:start w:val="1"/>
    </w:lvl>
    <w:lvl w:ilvl="1">
      <w:lvlJc w:val="left"/>
      <w:lvlText w:val="%2"/>
      <w:numFmt w:val="decimal"/>
      <w:start w:val="1"/>
    </w:lvl>
  </w:abstractNum>
  <w:abstractNum w:abstractNumId="17">
    <w:nsid w:val="333AB105"/>
    <w:multiLevelType w:val="hybridMultilevel"/>
    <w:lvl w:ilvl="0">
      <w:lvlJc w:val="left"/>
      <w:lvlText w:val="1"/>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3"/>
      <w:numFmt w:val="bullet"/>
      <w:start w:val="1"/>
    </w:lvl>
  </w:abstractNum>
  <w:abstractNum w:abstractNumId="20">
    <w:nsid w:val="2D1D5AE9"/>
    <w:multiLevelType w:val="hybridMultilevel"/>
    <w:lvl w:ilvl="0">
      <w:lvlJc w:val="left"/>
      <w:lvlText w:val="4"/>
      <w:numFmt w:val="bullet"/>
      <w:start w:val="1"/>
    </w:lvl>
  </w:abstractNum>
  <w:abstractNum w:abstractNumId="21">
    <w:nsid w:val="6763845E"/>
    <w:multiLevelType w:val="hybridMultilevel"/>
    <w:lvl w:ilvl="0">
      <w:lvlJc w:val="left"/>
      <w:lvlText w:val="9"/>
      <w:numFmt w:val="bullet"/>
      <w:start w:val="1"/>
    </w:lvl>
  </w:abstractNum>
  <w:abstractNum w:abstractNumId="22">
    <w:nsid w:val="75A2A8D4"/>
    <w:multiLevelType w:val="hybridMultilevel"/>
    <w:lvl w:ilvl="0">
      <w:lvlJc w:val="left"/>
      <w:lvlText w:val="%1"/>
      <w:numFmt w:val="decimal"/>
      <w:start w:val="1"/>
    </w:lvl>
    <w:lvl w:ilvl="1">
      <w:lvlJc w:val="left"/>
      <w:lvlText w:val="%2"/>
      <w:numFmt w:val="decimal"/>
      <w:start w:val="10"/>
    </w:lvl>
  </w:abstractNum>
  <w:abstractNum w:abstractNumId="23">
    <w:nsid w:val="8EDBDAB"/>
    <w:multiLevelType w:val="hybridMultilevel"/>
    <w:lvl w:ilvl="0">
      <w:lvlJc w:val="left"/>
      <w:lvlText w:val="(%1)"/>
      <w:numFmt w:val="decimal"/>
      <w:start w:val="1"/>
    </w:lvl>
    <w:lvl w:ilvl="1">
      <w:lvlJc w:val="left"/>
      <w:lvlText w:val="%2"/>
      <w:numFmt w:val="decimal"/>
      <w:start w:val="1"/>
    </w:lvl>
  </w:abstractNum>
  <w:abstractNum w:abstractNumId="24">
    <w:nsid w:val="79838CB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2023-02-10T17:22:54Z</dcterms:created>
  <dcterms:modified xsi:type="dcterms:W3CDTF">2023-02-10T17:22:54Z</dcterms:modified>
</cp:coreProperties>
</file>