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1540" w:right="1260" w:hanging="328"/>
        <w:spacing w:after="0" w:line="255" w:lineRule="auto"/>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1" w:lineRule="exact"/>
        <w:rPr>
          <w:sz w:val="24"/>
          <w:szCs w:val="24"/>
          <w:color w:val="auto"/>
        </w:rPr>
      </w:pPr>
    </w:p>
    <w:p>
      <w:pPr>
        <w:ind w:left="1540" w:right="1240" w:hanging="328"/>
        <w:spacing w:after="0" w:line="255"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001-39888</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20" w:type="dxa"/>
            <w:vAlign w:val="bottom"/>
          </w:tcPr>
          <w:p>
            <w:pPr>
              <w:jc w:val="center"/>
              <w:ind w:left="61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organization)</w:t>
            </w:r>
          </w:p>
        </w:tc>
        <w:tc>
          <w:tcPr>
            <w:tcW w:w="3320" w:type="dxa"/>
            <w:vAlign w:val="bottom"/>
          </w:tcPr>
          <w:p>
            <w:pPr>
              <w:spacing w:after="0"/>
              <w:rPr>
                <w:sz w:val="20"/>
                <w:szCs w:val="20"/>
                <w:color w:val="auto"/>
              </w:rPr>
            </w:pPr>
          </w:p>
        </w:tc>
      </w:tr>
      <w:tr>
        <w:trPr>
          <w:trHeight w:val="306"/>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California Street</w:t>
            </w:r>
          </w:p>
        </w:tc>
        <w:tc>
          <w:tcPr>
            <w:tcW w:w="3320" w:type="dxa"/>
            <w:vAlign w:val="bottom"/>
          </w:tcPr>
          <w:p>
            <w:pPr>
              <w:spacing w:after="0"/>
              <w:rPr>
                <w:sz w:val="24"/>
                <w:szCs w:val="24"/>
                <w:color w:val="auto"/>
              </w:rPr>
            </w:pPr>
          </w:p>
        </w:tc>
      </w:tr>
      <w:tr>
        <w:trPr>
          <w:trHeight w:val="279"/>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3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960-1518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Pr>
          <w:p>
            <w:pPr>
              <w:spacing w:after="0"/>
              <w:rPr>
                <w:sz w:val="17"/>
                <w:szCs w:val="17"/>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AFRM</w:t>
            </w:r>
          </w:p>
        </w:tc>
        <w:tc>
          <w:tcPr>
            <w:tcW w:w="100" w:type="dxa"/>
            <w:vAlign w:val="bottom"/>
          </w:tcPr>
          <w:p>
            <w:pPr>
              <w:spacing w:after="0"/>
              <w:rPr>
                <w:sz w:val="17"/>
                <w:szCs w:val="17"/>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4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1" w:lineRule="exact"/>
        <w:rPr>
          <w:sz w:val="24"/>
          <w:szCs w:val="24"/>
          <w:color w:val="auto"/>
        </w:rPr>
      </w:pPr>
    </w:p>
    <w:p>
      <w:pPr>
        <w:ind w:right="400"/>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ind w:right="260"/>
        <w:spacing w:after="0" w:line="351" w:lineRule="auto"/>
        <w:rPr>
          <w:sz w:val="20"/>
          <w:szCs w:val="20"/>
          <w:color w:val="auto"/>
        </w:rPr>
      </w:pPr>
      <w:r>
        <w:rPr>
          <w:rFonts w:ascii="Times New Roman" w:cs="Times New Roman" w:eastAsia="Times New Roman" w:hAnsi="Times New Roman"/>
          <w:sz w:val="16"/>
          <w:szCs w:val="16"/>
          <w:color w:val="auto"/>
        </w:rPr>
        <w:t>As of January 30, 2026, the number of shares of the registrant’s Class A common stock outstanding was 292,409,876 and the number of shares of the registrant’s Class B common stock outstanding was 40,700,775.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60" w:type="dxa"/>
            <w:vAlign w:val="bottom"/>
            <w:tcBorders>
              <w:bottom w:val="single" w:sz="8" w:color="CCEEFF"/>
            </w:tcBorders>
          </w:tcPr>
          <w:p>
            <w:pPr>
              <w:spacing w:after="0"/>
              <w:rPr>
                <w:sz w:val="6"/>
                <w:szCs w:val="6"/>
                <w:color w:val="auto"/>
              </w:rPr>
            </w:pPr>
          </w:p>
        </w:tc>
        <w:tc>
          <w:tcPr>
            <w:tcW w:w="68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Cover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020" w:type="dxa"/>
            <w:vAlign w:val="bottom"/>
            <w:gridSpan w:val="8"/>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6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680" w:type="dxa"/>
            <w:vAlign w:val="bottom"/>
          </w:tcPr>
          <w:p>
            <w:pPr>
              <w:spacing w:after="0"/>
              <w:rPr>
                <w:sz w:val="16"/>
                <w:szCs w:val="16"/>
                <w:color w:val="auto"/>
              </w:rPr>
            </w:pP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FF"/>
            </w:tcBorders>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980" w:type="dxa"/>
            <w:vAlign w:val="bottom"/>
            <w:tcBorders>
              <w:bottom w:val="single" w:sz="8" w:color="CCEEFF"/>
            </w:tcBorders>
            <w:gridSpan w:val="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 Business Description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98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 Revenue</w:t>
            </w:r>
          </w:p>
        </w:tc>
        <w:tc>
          <w:tcPr>
            <w:tcW w:w="9180" w:type="dxa"/>
            <w:vAlign w:val="bottom"/>
            <w:tcBorders>
              <w:bottom w:val="single" w:sz="8" w:color="CCEEFF"/>
            </w:tcBorders>
            <w:gridSpan w:val="34"/>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4. Loans Held for Investment and Allowance for Credit Losses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0000FF"/>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5. Balance Sheet Components</w:t>
            </w:r>
          </w:p>
        </w:tc>
        <w:tc>
          <w:tcPr>
            <w:tcW w:w="7880" w:type="dxa"/>
            <w:vAlign w:val="bottom"/>
            <w:tcBorders>
              <w:bottom w:val="single" w:sz="8" w:color="CCEEFF"/>
            </w:tcBorders>
            <w:gridSpan w:val="18"/>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6. Leases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FF"/>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7. Commitments and Contingencies</w:t>
            </w:r>
          </w:p>
        </w:tc>
        <w:tc>
          <w:tcPr>
            <w:tcW w:w="7460" w:type="dxa"/>
            <w:vAlign w:val="bottom"/>
            <w:tcBorders>
              <w:bottom w:val="single" w:sz="8" w:color="CCEEFF"/>
            </w:tcBorders>
            <w:gridSpan w:val="1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8. Debt</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Securitization and Variable Interest Entities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9820" w:type="dxa"/>
            <w:vAlign w:val="bottom"/>
            <w:gridSpan w:val="39"/>
          </w:tcPr>
          <w:p>
            <w:pPr>
              <w:ind w:left="100"/>
              <w:spacing w:after="0" w:line="189" w:lineRule="exact"/>
              <w:rPr>
                <w:sz w:val="20"/>
                <w:szCs w:val="20"/>
                <w:color w:val="auto"/>
              </w:rPr>
            </w:pPr>
            <w:r>
              <w:rPr>
                <w:rFonts w:ascii="Times New Roman" w:cs="Times New Roman" w:eastAsia="Times New Roman" w:hAnsi="Times New Roman"/>
                <w:sz w:val="18"/>
                <w:szCs w:val="18"/>
                <w:color w:val="0000FF"/>
              </w:rPr>
              <w:t>Investments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9820" w:type="dxa"/>
            <w:vAlign w:val="bottom"/>
            <w:gridSpan w:val="39"/>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Derivative Financial Instruments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12. Fair Value of Financial Assets and Liabilities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13. Stockholders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Equity</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14. Equity Incentive Plans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15. Income Taxes</w:t>
            </w:r>
          </w:p>
        </w:tc>
        <w:tc>
          <w:tcPr>
            <w:tcW w:w="8760" w:type="dxa"/>
            <w:vAlign w:val="bottom"/>
            <w:tcBorders>
              <w:bottom w:val="single" w:sz="8" w:color="CCEEFF"/>
            </w:tcBorders>
            <w:gridSpan w:val="2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16. Net Income (Loss) per Share Attributable to Common Stockholders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17. Segment Information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40" w:type="dxa"/>
            <w:vAlign w:val="bottom"/>
            <w:tcBorders>
              <w:top w:val="single" w:sz="8" w:color="0000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18. Subsequent Events</w:t>
            </w:r>
          </w:p>
        </w:tc>
        <w:tc>
          <w:tcPr>
            <w:tcW w:w="8200" w:type="dxa"/>
            <w:vAlign w:val="bottom"/>
            <w:tcBorders>
              <w:top w:val="single" w:sz="8" w:color="CCEEFF"/>
            </w:tcBorders>
            <w:gridSpan w:val="21"/>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6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w:t>
            </w:r>
            <w:r>
              <w:rPr>
                <w:rFonts w:ascii="Times New Roman" w:cs="Times New Roman" w:eastAsia="Times New Roman" w:hAnsi="Times New Roman"/>
                <w:sz w:val="18"/>
                <w:szCs w:val="18"/>
                <w:color w:val="000000"/>
                <w:highlight w:val="white"/>
              </w:rPr>
              <w:t>’</w:t>
            </w:r>
            <w:r>
              <w:rPr>
                <w:rFonts w:ascii="Times New Roman" w:cs="Times New Roman" w:eastAsia="Times New Roman" w:hAnsi="Times New Roman"/>
                <w:sz w:val="18"/>
                <w:szCs w:val="18"/>
                <w:color w:val="0000FF"/>
              </w:rPr>
              <w:t>s Discussion and Analysis of Financial Condition and Results of Operations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6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360" w:type="dxa"/>
            <w:vAlign w:val="bottom"/>
            <w:tcBorders>
              <w:bottom w:val="single" w:sz="8" w:color="CCEEFF"/>
            </w:tcBorders>
            <w:gridSpan w:val="24"/>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360" w:type="dxa"/>
            <w:vAlign w:val="bottom"/>
            <w:tcBorders>
              <w:top w:val="single" w:sz="8" w:color="CCEEFF"/>
            </w:tcBorders>
            <w:gridSpan w:val="10"/>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940" w:type="dxa"/>
            <w:vAlign w:val="bottom"/>
            <w:tcBorders>
              <w:top w:val="single" w:sz="8" w:color="CCEEFF"/>
            </w:tcBorders>
            <w:gridSpan w:val="19"/>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Exhibits</w:t>
            </w:r>
          </w:p>
        </w:tc>
        <w:tc>
          <w:tcPr>
            <w:tcW w:w="9100" w:type="dxa"/>
            <w:vAlign w:val="bottom"/>
            <w:tcBorders>
              <w:bottom w:val="single" w:sz="8" w:color="CCEEFF"/>
            </w:tcBorders>
            <w:gridSpan w:val="33"/>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4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-5819775</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revenue, expenses, and other operating results and key operating metrics;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merchant partners and commerce platforms and grow our relationships with existing merchant partners and commerce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a highly competitive and evolving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consumers and retain and grow our relationships with our existing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innovation, introduction of, and demand for, our products;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relationship with existing originating bank partners and card issuing bank partners and engage additional originating bank partners and card issuing bank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renew or replace our existing funding arrangements and build and grow new funding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our funding sources becoming unwilling or unable to provide funding to us on terms acceptable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loans facilitated and originated through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use and provide AI-powered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rate of our revenue and related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sustained profitability in the future;</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acquisitions, investments, and other strategic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into new international geographies;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regulatory inquiries, and proceedings;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regulatory environment, including governmental actions to cap interest rates;</w:t>
      </w:r>
    </w:p>
    <w:p>
      <w:pPr>
        <w:spacing w:after="0" w:line="10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on our business, including the impacts of inflation, an elevated interest rate environment and corresponding elevated negotiated interest rate spreads, ongoing recessionary concerns, uncertainty relating to the magnitude, duration and impact of tariffs on global trade,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potential impact of macroeconomic conditions on the stability of the consumers and financial institutions with whom we do business; and</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rates of the markets in which we compete.</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2025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1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16"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1,527,880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1,354,455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401,968</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723,375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871,425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8,773,542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7,025,534</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(396,929)</w:t>
            </w: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8,295,439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6,628,606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426,177</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572,637</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534,156</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57,210</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295,360</w:t>
            </w:r>
          </w:p>
        </w:tc>
        <w:tc>
          <w:tcPr>
            <w:tcW w:w="0" w:type="dxa"/>
            <w:vAlign w:val="bottom"/>
          </w:tcPr>
          <w:p>
            <w:pPr>
              <w:spacing w:after="0"/>
              <w:rPr>
                <w:sz w:val="1"/>
                <w:szCs w:val="1"/>
                <w:color w:val="auto"/>
              </w:rPr>
            </w:pPr>
          </w:p>
        </w:tc>
      </w:tr>
      <w:tr>
        <w:trPr>
          <w:trHeight w:val="228"/>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12,956,899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11,154,929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82,820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211,700</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157,272</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1,153,000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4,833,855</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3,046,846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1,622,808</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9,410,038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8,085,919</w:t>
            </w:r>
          </w:p>
        </w:tc>
        <w:tc>
          <w:tcPr>
            <w:tcW w:w="0" w:type="dxa"/>
            <w:vAlign w:val="bottom"/>
          </w:tcPr>
          <w:p>
            <w:pPr>
              <w:spacing w:after="0"/>
              <w:rPr>
                <w:sz w:val="1"/>
                <w:szCs w:val="1"/>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291,506,324 shares issued and</w:t>
            </w: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outstanding as of December 31, 2025; 3,030,000,000 shares authorized, 284,378,565 shares issued and outstanding as of</w:t>
            </w:r>
          </w:p>
        </w:tc>
        <w:tc>
          <w:tcPr>
            <w:tcW w:w="1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40,700,781 shares issued and outstanding</w:t>
            </w: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2025; 140,000,000 authorized, 40,734,234 shares issued and outstanding as of June 30, 2025</w:t>
            </w:r>
          </w:p>
        </w:tc>
        <w:tc>
          <w:tcPr>
            <w:tcW w:w="18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6,410,335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6,140,893</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(2,846,538)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(3,056,818)</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(15,069)</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3,546,861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3,069,009</w:t>
            </w:r>
          </w:p>
        </w:tc>
        <w:tc>
          <w:tcPr>
            <w:tcW w:w="0" w:type="dxa"/>
            <w:vAlign w:val="bottom"/>
          </w:tcPr>
          <w:p>
            <w:pPr>
              <w:spacing w:after="0"/>
              <w:rPr>
                <w:sz w:val="1"/>
                <w:szCs w:val="1"/>
                <w:color w:val="auto"/>
              </w:rPr>
            </w:pP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12,956,899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11,154,929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p>
      <w:pPr>
        <w:ind w:right="60" w:firstLine="177"/>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310,298</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192,638</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8,516,063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6,828,758</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(444,137)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(365,656)</w:t>
            </w:r>
          </w:p>
        </w:tc>
      </w:tr>
      <w:tr>
        <w:trPr>
          <w:trHeight w:val="203"/>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8,071,926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6,463,101</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8,386,598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6,661,329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23,998</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4,833,855</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Funding debt</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3,033,546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1,592,139</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7,898,405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6,455,621</w:t>
            </w:r>
          </w:p>
        </w:tc>
      </w:tr>
      <w:tr>
        <w:trPr>
          <w:trHeight w:val="202"/>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 of consolidated VIEs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488,193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205,707</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1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4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328,380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244,895</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579,527</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429,234</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network revenue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142,365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105,622</w:t>
            </w:r>
          </w:p>
        </w:tc>
      </w:tr>
      <w:tr>
        <w:trPr>
          <w:trHeight w:val="189"/>
        </w:trPr>
        <w:tc>
          <w:tcPr>
            <w:tcW w:w="4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network revenue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401,415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721,892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534,856</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786,431</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sales of loans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188,900</w:t>
            </w: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82,437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1,123,019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866,381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2,056,357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1,564,861</w:t>
            </w:r>
          </w:p>
        </w:tc>
      </w:tr>
      <w:tr>
        <w:trPr>
          <w:trHeight w:val="18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96,065</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70,278</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167,617</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124,515</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376,905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312,804</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111,717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221,744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211,907</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211,106</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148,213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352,976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282,503</w:t>
            </w: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281,271</w:t>
            </w: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286,165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277,894</w:t>
            </w:r>
          </w:p>
        </w:tc>
      </w:tr>
      <w:tr>
        <w:trPr>
          <w:trHeight w:val="20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and other</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1,005,393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870,703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1,875,070</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1,701,805</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117,626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181,287</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(136,944)</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87,181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34,970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121,483</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133,238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82,859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216,257</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(15,461)</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5,977</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129,586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80,360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210,280</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(19,862)</w:t>
            </w:r>
          </w:p>
        </w:tc>
        <w:tc>
          <w:tcPr>
            <w:tcW w:w="0" w:type="dxa"/>
            <w:vAlign w:val="bottom"/>
          </w:tcPr>
          <w:p>
            <w:pPr>
              <w:spacing w:after="0"/>
              <w:rPr>
                <w:sz w:val="1"/>
                <w:szCs w:val="1"/>
                <w:color w:val="auto"/>
              </w:rPr>
            </w:pPr>
          </w:p>
        </w:tc>
      </w:tr>
      <w:tr>
        <w:trPr>
          <w:trHeight w:val="17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(27,123)</w:t>
            </w:r>
          </w:p>
        </w:tc>
        <w:tc>
          <w:tcPr>
            <w:tcW w:w="0" w:type="dxa"/>
            <w:vAlign w:val="bottom"/>
          </w:tcPr>
          <w:p>
            <w:pPr>
              <w:spacing w:after="0"/>
              <w:rPr>
                <w:sz w:val="1"/>
                <w:szCs w:val="1"/>
                <w:color w:val="auto"/>
              </w:rPr>
            </w:pPr>
          </w:p>
        </w:tc>
      </w:tr>
      <w:tr>
        <w:trPr>
          <w:trHeight w:val="195"/>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 available for sale, net</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income (loss)</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7,450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(38,431)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(25,988)</w:t>
            </w:r>
          </w:p>
        </w:tc>
        <w:tc>
          <w:tcPr>
            <w:tcW w:w="0" w:type="dxa"/>
            <w:vAlign w:val="bottom"/>
          </w:tcPr>
          <w:p>
            <w:pPr>
              <w:spacing w:after="0"/>
              <w:rPr>
                <w:sz w:val="1"/>
                <w:szCs w:val="1"/>
                <w:color w:val="auto"/>
              </w:rPr>
            </w:pPr>
          </w:p>
        </w:tc>
      </w:tr>
      <w:tr>
        <w:trPr>
          <w:trHeight w:val="22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137,037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208,410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(45,850)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common stockholders for Class A</w:t>
            </w: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334,270,750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322,282,334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332,254,478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320,258,445</w:t>
            </w:r>
          </w:p>
        </w:tc>
        <w:tc>
          <w:tcPr>
            <w:tcW w:w="0" w:type="dxa"/>
            <w:vAlign w:val="bottom"/>
          </w:tcPr>
          <w:p>
            <w:pPr>
              <w:spacing w:after="0"/>
              <w:rPr>
                <w:sz w:val="1"/>
                <w:szCs w:val="1"/>
                <w:color w:val="auto"/>
              </w:rPr>
            </w:pPr>
          </w:p>
        </w:tc>
      </w:tr>
      <w:tr>
        <w:trPr>
          <w:trHeight w:val="188"/>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349,365,762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345,196,568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348,822,083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320,258,445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325,112,799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6,140,893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(3,056,818)</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(15,069)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3,069,009</w:t>
            </w:r>
          </w:p>
        </w:tc>
        <w:tc>
          <w:tcPr>
            <w:tcW w:w="0" w:type="dxa"/>
            <w:vAlign w:val="bottom"/>
          </w:tcPr>
          <w:p>
            <w:pPr>
              <w:spacing w:after="0"/>
              <w:rPr>
                <w:sz w:val="1"/>
                <w:szCs w:val="1"/>
                <w:color w:val="auto"/>
              </w:rPr>
            </w:pPr>
          </w:p>
        </w:tc>
      </w:tr>
      <w:tr>
        <w:trPr>
          <w:trHeight w:val="139"/>
        </w:trPr>
        <w:tc>
          <w:tcPr>
            <w:tcW w:w="3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3,020,789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1,914,916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80,694</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80,694</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330,048,504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6,299,395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(2,976,124)</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(24,389)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3,298,885</w:t>
            </w:r>
          </w:p>
        </w:tc>
        <w:tc>
          <w:tcPr>
            <w:tcW w:w="0" w:type="dxa"/>
            <w:vAlign w:val="bottom"/>
          </w:tcPr>
          <w:p>
            <w:pPr>
              <w:spacing w:after="0"/>
              <w:rPr>
                <w:sz w:val="1"/>
                <w:szCs w:val="1"/>
                <w:color w:val="auto"/>
              </w:rPr>
            </w:pPr>
          </w:p>
        </w:tc>
      </w:tr>
      <w:tr>
        <w:trPr>
          <w:trHeight w:val="119"/>
        </w:trPr>
        <w:tc>
          <w:tcPr>
            <w:tcW w:w="3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276,350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1,729,655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61,206</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124,436</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(83,972)</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129,586</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129,586</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332,207,105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6,410,335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(2,846,538)</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(16,939)</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3,546,861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311,053,031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5,862,555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(3,109,004)</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2,731,989</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432,277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2,492,095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107,263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143,711</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5,589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313,977,403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6,053,917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(3,209,226)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(9,122)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2,835,572</w:t>
            </w:r>
          </w:p>
        </w:tc>
        <w:tc>
          <w:tcPr>
            <w:tcW w:w="0" w:type="dxa"/>
            <w:vAlign w:val="bottom"/>
          </w:tcPr>
          <w:p>
            <w:pPr>
              <w:spacing w:after="0"/>
              <w:rPr>
                <w:sz w:val="1"/>
                <w:szCs w:val="1"/>
                <w:color w:val="auto"/>
              </w:rPr>
            </w:pPr>
          </w:p>
        </w:tc>
      </w:tr>
      <w:tr>
        <w:trPr>
          <w:trHeight w:val="115"/>
        </w:trPr>
        <w:tc>
          <w:tcPr>
            <w:tcW w:w="32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2,762,075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30,700</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204,650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5,092</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(3,526,590)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2,317,736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86,776</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130,806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(95,335)</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80,360</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80,360</w:t>
            </w: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315,735,274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5,961,956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(3,128,866)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(47,553)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2,785,540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154305</wp:posOffset>
            </wp:positionV>
            <wp:extent cx="1019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73" w:lineRule="exact"/>
        <w:rPr>
          <w:sz w:val="20"/>
          <w:szCs w:val="20"/>
          <w:color w:val="auto"/>
        </w:rPr>
      </w:pPr>
    </w:p>
    <w:p>
      <w:pPr>
        <w:ind w:left="560" w:hanging="308"/>
        <w:spacing w:after="0"/>
        <w:tabs>
          <w:tab w:leader="none" w:pos="5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r>
      <w:tr>
        <w:trPr>
          <w:trHeight w:val="171"/>
        </w:trPr>
        <w:tc>
          <w:tcPr>
            <w:tcW w:w="79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210,280</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(19,862)</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(loss) to net cash used in operating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 for losses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376,905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312,804</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premiums and discounts on loans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(111,297)</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sales of loans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(188,900)</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(82,418)</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fair value of assets and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4,622</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commercial agreement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28,511</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12,990</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Accrued interest on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(26,618)</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agreement warrant expense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102,184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194,039</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163,653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180,331</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101,614</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Purchases and origination of loans held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(1,477,398)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(2,262,419)</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the sale of loans held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1,476,673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2,262,441</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149,916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143,781</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(27,421)</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9,607</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Payable to third-party loan buyers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interest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w:t>
            </w:r>
          </w:p>
        </w:tc>
      </w:tr>
      <w:tr>
        <w:trPr>
          <w:trHeight w:val="17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(20,266)</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548,310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508,884</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origination of loans held for investment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(22,462,467)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(15,051,906)</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sale of loans held for investment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9,605,927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5,264,335</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and other loan servicing activity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11,249,582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8,661,493</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to property, equipment and software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(88,057)</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(184,885)</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maturities and repayments of securities available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426,676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720,570</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investing inflows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36,383</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investing outflows</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r>
      <w:tr>
        <w:trPr>
          <w:trHeight w:val="175"/>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(1,504,608)</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(664,067)</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convertible notes</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920,000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issuance of funding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17,273,024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7,893,354</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notes and certificates by securitization trust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repayments of funding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(15,850,765)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(7,548,552)</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of notes issued by securitization trust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(23,070)</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Extinguishment of convertible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(1,012,856)</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exercise of common stock options and warrants and contributions to ESPP</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104,098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39,388</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r>
      <w:tr>
        <w:trPr>
          <w:trHeight w:val="17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(193,236)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(158,543)</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1,296,666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609,721</w:t>
            </w:r>
          </w:p>
        </w:tc>
      </w:tr>
      <w:tr>
        <w:trPr>
          <w:trHeight w:val="16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(12,780)</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338,149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441,758</w:t>
            </w:r>
          </w:p>
        </w:tc>
      </w:tr>
      <w:tr>
        <w:trPr>
          <w:trHeight w:val="16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1,756,423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1,295,399</w:t>
            </w:r>
          </w:p>
        </w:tc>
      </w:tr>
      <w:tr>
        <w:trPr>
          <w:trHeight w:val="20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2,094,572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1,737,157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1,527,880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1,200,381</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566,692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536,776</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2,094,572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1,737,157</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7"/>
        </w:trPr>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205,789</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201,129</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99,521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94,186</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retained under unconsolidated securitization transactions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41,940</w:t>
            </w:r>
          </w:p>
        </w:tc>
      </w:tr>
      <w:tr>
        <w:trPr>
          <w:trHeight w:val="188"/>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 of use assets obtained in exchange for operating lease liabilities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consumers more effectively through our frictionless point-of-sale payment solutions.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26, 2025, the Company filed a certificate of conversion with the Secretary of State of the State of Delaware and filed articles of conversion and articles of incorporation with the Secretary of State of the State of Nevada, which as of July 1, 2025, effected a change in our jurisdiction of incorporation from Delaware to Nevada.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2025. The balance sheet as of June 30, 2025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4"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 Within the interim condensed consolidated financial statements and tables presented in the accompanying notes, certain columns and rows may not sum due to the use of rounded numbers for disclosure purposes.</w:t>
      </w:r>
    </w:p>
    <w:p>
      <w:pPr>
        <w:spacing w:after="0" w:line="211"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8"/>
          <w:szCs w:val="18"/>
          <w:color w:val="auto"/>
        </w:rPr>
        <w:t>Our VIE variable interests arise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directly originated loans, the evaluation for impairment of intangible assets and goodwill, the fair value of available for sale debt securities including retained interests in our securitization trusts and residual interest in structured transactions, the fair value of risk sharing arrangements,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2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7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significant accounting policies as disclosed in Note 2. Summary of Significant Accounting Policies of our Annual Report on Form 10-K for the fiscal year ended June 30, 2025, which was filed with the SEC on August 28,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2"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new guidance is expected to increase transparency and usefulness of income tax disclosures through improvements to the rate reconciliation, income taxes paid, and other disclosure requirements. The ASU is effective for fiscal years beginning after December 15, 2024 and should be applied on a prospective basis, although retrospective application is permitted. Early adoption is permitted for annual financial statements that have not yet been issued or made available for issuance. We will apply the guidance beginning with our Annual Report on Form 10-K for the fiscal year ended June 30, 2026. We are in the process of evaluating the impact of adopting this accounting standard update on our consolidated financial statements and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Comprehensive Income</w:t>
      </w:r>
    </w:p>
    <w:p>
      <w:pPr>
        <w:spacing w:after="0" w:line="26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Subsequent to the issuance of ASU 2024-03, the FASB issued ASU 2025-01 to clarify the effective date of ASU 2024-03. The new guidance requires disclosure, in the notes to the financial statements, specified information about certain income statement costs and expenses for each interim and annual reporting period. The ASU is effective for fiscal years beginning after December 15, 2026 and interim periods within fiscal years beginning after December 15, 2027,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with Conversion and Other Options</w:t>
      </w:r>
    </w:p>
    <w:p>
      <w:pPr>
        <w:spacing w:after="0" w:line="25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The new guidance clarifies the requirements for determining whether certain settlements of convertible debt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an induced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conversion. The ASU is effective for fiscal years beginning after December 15, 2025 and interim periods within those annual reporting periods,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for Accounts Receivable and Contract Assets</w:t>
      </w:r>
    </w:p>
    <w:p>
      <w:pPr>
        <w:spacing w:after="0" w:line="25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new guidance introduces a practical expedient for estimating expected credit losses on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contract assets arising from transactions accounted for under Topic 606. The ASU is effective for fiscal years beginning after December 15, 2025 and interim periods within those annual reporting periods, and should be applied on a prospective basis.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w:t>
      </w:r>
      <w:r>
        <w:rPr>
          <w:rFonts w:ascii="Times New Roman" w:cs="Times New Roman" w:eastAsia="Times New Roman" w:hAnsi="Times New Roman"/>
          <w:sz w:val="18"/>
          <w:szCs w:val="18"/>
          <w:i w:val="1"/>
          <w:iCs w:val="1"/>
          <w:color w:val="auto"/>
        </w:rPr>
        <w:t>Intangibles—Goodwill and Other—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new guidance primarily changes the software cost capitalization criteria and modifies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development cost guidance. The ASU is effective for fiscal years beginning after December 15, 2027 and interim periods within those annual reporting periods, and may be applied on a prospective, modified transition, or retrospective basis approach.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The new guidance is primarily intended to enable entities to achieve and maintain hedge accounting for a broader group of highly effective economic hedges. The ASU is effective for fiscal years beginning after December 15, 2026 and interim periods within those annual reporting periods, and should be applied on a prospective basis. The amendments may also be applied to hedging relationships existing as of the date of adoption. Early adoption is permitted. We are in the process of evaluating the impact of adopting this accounting standard update on our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Reporting</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new guidance primarily clarifies the required interim disclosure requirements. The ASU is effective for fiscal years beginning after December 15, 2027 and interim periods within those annual reporting periods, and may be applied on either a prospective or retrospective basis. Early adoption is permitted.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revenue source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560" w:type="dxa"/>
            <w:vAlign w:val="bottom"/>
            <w:gridSpan w:val="4"/>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6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429,234</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 network revenue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105,622</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786,431</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188,900</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2,056,357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1,564,861</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 — Revenue from Contracts with Customers</w:t>
      </w:r>
    </w:p>
    <w:p>
      <w:pPr>
        <w:spacing w:after="0" w:line="2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w:t>
      </w:r>
    </w:p>
    <w:p>
      <w:pPr>
        <w:spacing w:after="0" w:line="207"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 Affiliate network revenue was $40.2 million and $71.1 million for the three and six months ended December 31, 2025, respectively, and $35.4 million and $60.4 million for the three and six months ended December 31, 2024, respectively.</w:t>
      </w:r>
    </w:p>
    <w:p>
      <w:pPr>
        <w:spacing w:after="0" w:line="22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reviewed merchant network revenue by merchant as a percentage of total revenue for the three and six months ended December 31, 2025 and 2024, and no individual merchant accounted for 10% or more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 — Revenue from Contracts with Customers</w:t>
      </w:r>
    </w:p>
    <w:p>
      <w:pPr>
        <w:spacing w:after="0" w:line="254"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color w:val="auto"/>
        </w:rPr>
        <w:t>We have agreements with card-issuing partners to facilitate the issuance of physical and one-time-use virtual cards to be used by consumers at checkout. Prior to purchase, consumers can apply at Affirm.com or via the Affirm App and, upon approval, use a physical or virtual card to complete their purchase online or in-store. Eligible consumers can also use the Affirm Card, a card issued by a card-issuing partner to pay in full or pay later, by using a unique post-purchase feature that allows them to instantly apply for an installment loan for any eligible debit transaction. Where applicable, our originating bank partner, or wholly-owned subsidiaries, then originates a loan to the consumer after the transaction is confirmed by the merchant. The merchant is charged interchange fees for each successful card transaction, and a portion of this revenue is shared with us by our card-issuing partners.</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service comprises a single performance obligation to the card-issuing partner to facilitate transactions with consumers.</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4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80" w:type="dxa"/>
            <w:vAlign w:val="bottom"/>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 w:type="dxa"/>
            <w:vAlign w:val="bottom"/>
          </w:tcPr>
          <w:p>
            <w:pPr>
              <w:spacing w:after="0"/>
              <w:rPr>
                <w:sz w:val="19"/>
                <w:szCs w:val="19"/>
                <w:color w:val="auto"/>
              </w:rPr>
            </w:pPr>
          </w:p>
        </w:tc>
        <w:tc>
          <w:tcPr>
            <w:tcW w:w="59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Contractual interest income on unpaid principal balance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828,689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702,126</w:t>
            </w:r>
          </w:p>
        </w:tc>
      </w:tr>
      <w:tr>
        <w:trPr>
          <w:trHeight w:val="229"/>
        </w:trPr>
        <w:tc>
          <w:tcPr>
            <w:tcW w:w="80" w:type="dxa"/>
            <w:vAlign w:val="bottom"/>
          </w:tcPr>
          <w:p>
            <w:pPr>
              <w:spacing w:after="0"/>
              <w:rPr>
                <w:sz w:val="19"/>
                <w:szCs w:val="19"/>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discount on loans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157,220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120,812</w:t>
            </w:r>
          </w:p>
        </w:tc>
      </w:tr>
      <w:tr>
        <w:trPr>
          <w:trHeight w:val="230"/>
        </w:trPr>
        <w:tc>
          <w:tcPr>
            <w:tcW w:w="80" w:type="dxa"/>
            <w:vAlign w:val="bottom"/>
          </w:tcPr>
          <w:p>
            <w:pPr>
              <w:spacing w:after="0"/>
              <w:rPr>
                <w:sz w:val="19"/>
                <w:szCs w:val="19"/>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r>
      <w:tr>
        <w:trPr>
          <w:trHeight w:val="230"/>
        </w:trPr>
        <w:tc>
          <w:tcPr>
            <w:tcW w:w="80" w:type="dxa"/>
            <w:vAlign w:val="bottom"/>
          </w:tcPr>
          <w:p>
            <w:pPr>
              <w:spacing w:after="0"/>
              <w:rPr>
                <w:sz w:val="19"/>
                <w:szCs w:val="19"/>
                <w:color w:val="auto"/>
              </w:rPr>
            </w:pPr>
          </w:p>
        </w:tc>
        <w:tc>
          <w:tcPr>
            <w:tcW w:w="59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receivable charged-off, net of recoveries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(24,940)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(26,992)</w:t>
            </w:r>
          </w:p>
        </w:tc>
      </w:tr>
      <w:tr>
        <w:trPr>
          <w:trHeight w:val="248"/>
        </w:trPr>
        <w:tc>
          <w:tcPr>
            <w:tcW w:w="8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947,749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786,431</w:t>
            </w:r>
          </w:p>
        </w:tc>
      </w:tr>
      <w:tr>
        <w:trPr>
          <w:trHeight w:val="20"/>
        </w:trPr>
        <w:tc>
          <w:tcPr>
            <w:tcW w:w="8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87"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Contractual interest income on unpaid principal balance, for the three and six months ended December 31, 2024, was previously reported as</w:t>
      </w:r>
    </w:p>
    <w:p>
      <w:pPr>
        <w:spacing w:after="0" w:line="1" w:lineRule="exact"/>
        <w:rPr>
          <w:rFonts w:ascii="Times New Roman" w:cs="Times New Roman" w:eastAsia="Times New Roman" w:hAnsi="Times New Roman"/>
          <w:sz w:val="23"/>
          <w:szCs w:val="23"/>
          <w:color w:val="auto"/>
          <w:vertAlign w:val="superscript"/>
        </w:rPr>
      </w:pPr>
    </w:p>
    <w:p>
      <w:pPr>
        <w:ind w:left="660" w:right="60"/>
        <w:spacing w:after="0" w:line="24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$375.9 million and $713.1 million, respectively. These amounts have been corrected herein; the correction is not material to the previously issued financial statements.</w:t>
      </w:r>
    </w:p>
    <w:p>
      <w:pPr>
        <w:ind w:left="66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receivable charged-off, net of recoveries, for the three and six months ended December 31, 2024, was previously reported as $25.8 million and $37.9 million, respectively. These amounts have been corrected herein; the correction is not material to the previously issued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December 31, 2025 and June 30, 2025, the balance of loans held for investment on non-accrual status was $7.2 million and $6.2 million, respectively.</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charged-off.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 Additionally, we recognize a risk sharing asset or liability in certain arrangements where payments are made or received based on the actual versus expected loan performance, as contractually agreed upon with the third party.</w:t>
      </w:r>
    </w:p>
    <w:p>
      <w:pPr>
        <w:spacing w:after="0" w:line="21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Refer to Note 9. Securitization and Variable Interest Entities for further discussion on transfers of loan receivables and Note 12. Fair Value of Financial Assets and Liabilities for further discussion of risk sharing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8,806,208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7,050,446</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67,953</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loan purchase commitment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directly originated loans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8,773,542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7,025,534</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Loans held for investment includes loans originated through our originating bank partners and directly originated loans. Loans that are underwritten using our technology platform and originated by our originating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partners are later purchased by us. We purchased loans from our originating bank partners in the amount of $10.8 billion and $19.5 billion during the three and six months ended December 31, 2025, respectively, and $8.1 billion and $14.5 billion during the three and six months ended December 31, 2024, respectively. We directly originated $2.8 billion and $4.7 billion of loans during the three and six months ended December 31, 2025, respectively, and $1.7 billion and $3.0 billion during the three and six months ended December 31, 2024, respectively.</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portfolio consists of interest bearing and non-interest bearing consumer loans with original term lengths of up to sixty months originated in markets including the U.S., U.K., and Canada, with the majority of loans originated within the U.S. While we view our loan portfolio as a single product segment, unsecured consumer loans, we consider factors such as country of origin, loan product, origination channel, merchant and various borrower characteristics to predict future losses.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closely monitor the performance of our loan receivables to manage and evaluate our exposure to credit risk. Credit risk management begins with initial underwriting and continues through to full repayment of a loan. To assess a consumer who requests a loan, we use, among other indicators, internally developed risk models that leverage detailed information from external sources, such as credit bureaus where available, as well as the consumer’s prior repayment history on our platform. We evaluate the credit quality of our loan receivable based on the aging status of the loan.</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an aging analysis of the amortized cost basis excluding accrued interest receivable, by fiscal year of origination, of loans held for investment by delinquency status as of December 31, 2025 and June 30, 2025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9"/>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Costs Basis by Fiscal Year of Origination</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 3 calendar days past due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6,567,676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1,529,226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8,233,091</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222,496</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90,107</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70,160</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68,401</w:t>
            </w:r>
          </w:p>
        </w:tc>
      </w:tr>
      <w:tr>
        <w:trPr>
          <w:trHeight w:val="19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6,831,829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1,709,249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8,684,255</w:t>
            </w: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8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$68.3 million of loan receivables as of December 31, 2025 that are 90 days or more past due, but are not on non-accrual status.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9"/>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Costs Basis by Fiscal Year of Origination</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 3 calendar days past due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6,268,050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6,618,117</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156,941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168,156</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66,944</w:t>
            </w:r>
          </w:p>
        </w:tc>
      </w:tr>
      <w:tr>
        <w:trPr>
          <w:trHeight w:val="195"/>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56,633</w:t>
            </w:r>
          </w:p>
        </w:tc>
      </w:tr>
      <w:tr>
        <w:trPr>
          <w:trHeight w:val="210"/>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41,889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w:t>
            </w:r>
          </w:p>
        </w:tc>
      </w:tr>
      <w:tr>
        <w:trPr>
          <w:trHeight w:val="19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6,580,225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319,680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53,076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6,957,582</w:t>
            </w: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8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$47.6 million of loan receivables as of June 30, 2025 that are 90 days or more past due, but are not on non-accrual status.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0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charge-offs by fiscal year of origination as of December 31, 2025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26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7"/>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2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Net Charge-offs by Fiscal Year of Origination</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268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charge-offs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(26,440)</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(271,232)</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(17,039)</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(316,459)</w:t>
            </w:r>
          </w:p>
        </w:tc>
      </w:tr>
      <w:tr>
        <w:trPr>
          <w:trHeight w:val="19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recoveries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15,630</w:t>
            </w:r>
          </w:p>
        </w:tc>
        <w:tc>
          <w:tcPr>
            <w:tcW w:w="1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10,730</w:t>
            </w:r>
          </w:p>
        </w:tc>
        <w:tc>
          <w:tcPr>
            <w:tcW w:w="120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color w:val="auto"/>
              </w:rPr>
              <w:t>4,061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Pr>
          <w:p>
            <w:pPr>
              <w:spacing w:after="0"/>
              <w:rPr>
                <w:sz w:val="17"/>
                <w:szCs w:val="17"/>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33,054</w:t>
            </w:r>
          </w:p>
        </w:tc>
      </w:tr>
      <w:tr>
        <w:trPr>
          <w:trHeight w:val="22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charge-offs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(283,405)</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maintain an allowance for credit losses at a level sufficient to absorb expected credit losses based on evaluating known and inherent risks in our loan portfolio. The allowance for credit losses reflects our estimate of expected lifetime credit losses as of the balance sheet date. Our estimate considers the remaining contractual term of our loan portfolio, historical credit losses, consumer payment history and estimated recoveries. We also consider current economic conditions and evolving consumer behavioral patterns. Adjustments to the allowance for changes in our estimate of lifetime expected credit losses are recognized in earnings through the provision for credit losses presented within our interim condensed consolidated statements of operations and comprehensive income (loss). When available information confirms that specific loans or portions thereof are uncollectible, identified amounts are charged off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the allowance for credit losses, including charge-offs, recoveries and provision for loan losses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 w:type="dxa"/>
            <w:vAlign w:val="bottom"/>
          </w:tcPr>
          <w:p>
            <w:pPr>
              <w:spacing w:after="0"/>
              <w:rPr>
                <w:sz w:val="18"/>
                <w:szCs w:val="18"/>
                <w:color w:val="auto"/>
              </w:rPr>
            </w:pPr>
          </w:p>
        </w:tc>
        <w:tc>
          <w:tcPr>
            <w:tcW w:w="294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47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309,097</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301,874</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(264,360)</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for Borrowers Experiencing Financial Difficulty</w:t>
      </w:r>
    </w:p>
    <w:p>
      <w:pPr>
        <w:spacing w:after="0" w:line="34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a loan modification program for borrowers experiencing financial difficulty if certain eligibility criteria are met. A loan is evaluated for modification program eligibility when a borrower self-reports financial hardship, either when a borrower contacts us directly or upon making contact with the borrower to determine eligibility when a loan payment is past due. The objectives of the loan modification program are to offer borrowers assistance during times of financial stress, increase collections, and minimize losses.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 provides the borrower relief by lowering monthly payments through extending the term length of the loan; however, the total remaining term may not exceed twenty-four months. In addition, the total interest due from the consumer will not exceed the initial total interest due prior to modification, and a loan may not be re-amortized more than once.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excluding accrued interest receivable that were modified for borrowers experiencing financial difficulty during the three and six months ended December 31, 2025 and 2024, by type of modification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0" w:type="dxa"/>
            <w:vAlign w:val="bottom"/>
          </w:tcPr>
          <w:p>
            <w:pPr>
              <w:spacing w:after="0"/>
              <w:rPr>
                <w:sz w:val="20"/>
                <w:szCs w:val="20"/>
                <w:color w:val="auto"/>
              </w:rPr>
            </w:pPr>
          </w:p>
        </w:tc>
        <w:tc>
          <w:tcPr>
            <w:tcW w:w="31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16,096</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re-amortization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16,370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of total loan receivables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payment deferrals during the three and six months ended December 31, 2025 and 2024, the length of each deferral period was one month.</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a loan re-amortization during the three and six months ended December 31, 2025 and 2024, the payment amount was reduced by half and the term of the loan was extended between one month and twelve months.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spacing w:after="0" w:line="21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delinquency status as of December 31, 2025 and 2024, by amortized cost basis excluding accrued interest receivable, of loan receivables that have been modified within the last 12 months where the borrower was experiencing financial difficulty at the time of modification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 3 calendar days past due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22,014</w:t>
            </w:r>
          </w:p>
        </w:tc>
      </w:tr>
      <w:tr>
        <w:trPr>
          <w:trHeight w:val="21"/>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 3 calendar days past due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19,787</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With respect to modifications during the 12 months preceding December 31, 2025 and 2024, respectively, where the borrower was experiencing financial difficulty at the time of modification, the amortized cost basis of loans which have been charged off was $4.4 million and $17.1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8"/>
          <w:szCs w:val="18"/>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$22.5 million and $18.8 million as of December 31, 2025 and June 30, 2025,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1,180,344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987,399</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21,990</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1,027,952</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(455,315)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572,637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firstLine="648"/>
        <w:spacing w:after="0" w:line="329" w:lineRule="auto"/>
        <w:rPr>
          <w:sz w:val="20"/>
          <w:szCs w:val="20"/>
          <w:color w:val="auto"/>
        </w:rPr>
      </w:pPr>
      <w:r>
        <w:rPr>
          <w:rFonts w:ascii="Times New Roman" w:cs="Times New Roman" w:eastAsia="Times New Roman" w:hAnsi="Times New Roman"/>
          <w:sz w:val="17"/>
          <w:szCs w:val="17"/>
          <w:color w:val="auto"/>
        </w:rPr>
        <w:t>Depreciation and amortization expense on property, equipment and software was $75.5 million and $140.8 million for the three and six months ended December 31, 2025, respectively, and $54.3 million and $100.4 million for the three and six months ended December 31, 2024, respectively.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three and six months ended December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six months ended December 31, 2025 were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534,156</w:t>
            </w:r>
          </w:p>
        </w:tc>
      </w:tr>
      <w:tr>
        <w:trPr>
          <w:trHeight w:val="229"/>
        </w:trPr>
        <w:tc>
          <w:tcPr>
            <w:tcW w:w="92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40" w:type="dxa"/>
            <w:vAlign w:val="bottom"/>
            <w:tcBorders>
              <w:bottom w:val="single" w:sz="8" w:color="auto"/>
            </w:tcBorders>
          </w:tcPr>
          <w:p>
            <w:pPr>
              <w:spacing w:after="0"/>
              <w:rPr>
                <w:sz w:val="16"/>
                <w:szCs w:val="16"/>
                <w:color w:val="auto"/>
              </w:rPr>
            </w:pPr>
          </w:p>
        </w:tc>
        <w:tc>
          <w:tcPr>
            <w:tcW w:w="7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103" w:lineRule="exact"/>
        <w:rPr>
          <w:sz w:val="20"/>
          <w:szCs w:val="20"/>
          <w:color w:val="auto"/>
        </w:rPr>
      </w:pPr>
    </w:p>
    <w:p>
      <w:pPr>
        <w:ind w:left="660" w:right="660" w:hanging="328"/>
        <w:spacing w:after="0" w:line="540" w:lineRule="auto"/>
        <w:tabs>
          <w:tab w:leader="none" w:pos="64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Adjustments to goodwill during the six months ended December 31, 2025 primarily pertained to foreign currency translation adjustments. No impairment losses related to goodwill were recorded during the three and six months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for both the three and six months ended December 31, 2025, respectively, and $0.6 million and $1.2 million for the three and six months ended December 31, 2024, respectively. No impairment losses related to intangible assets were recorded during the three and six months ended December 31, 2025 and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future amortization expense of these intangible assets was immaterial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fiscal year 2022, we granted warrants in connection with our commercial agreements with certain subsidiaries of Amazon.com, Inc. (“Amazon”). We recognized an asset of $133.5 million associated with the portion of the warrants that were fully vested upon grant. The asset was valued based on the fair value of the warrants and represents the probable future economic benefit. We amortize the asset over the expected benefit period, which was extended from four to nine years in November 2025 upon execution of a commercial agreement that will supersede and replace the previous commercial agreement. For the three and six months ended December 31, 2025, we recognized amortization expense of $1.9 million and $7.1 million, respectively, and $5.2 million and $10.4 million for the three and six months ended December 31, 2024, respectively, in our interim condensed consolidated statements of operations and comprehensive income (loss) as a component of sales and marketing expense. As of December 31, 2025, the accumulated amortization is $128.5 million and the remaining net asset value is $5.1 million, which will be recognized over the remaining useful life of 5.1 years. Refer to Note 13. Stockholders’ Equity for further discussion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fiscal year 2021, we granted warrants in exchange for the opportunity to acquire new merchant partners through a commercial agreement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Shopify Inc. (“Shopify”). We recognized an asset of $270.6 million based on the grant-date fair value of the vested warrants. We amortize the asset over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benefit period, which was extended from six to nine years during the fiscal year 2025 upon execution of a commercial agreement that superseded</w:t>
      </w:r>
    </w:p>
    <w:p>
      <w:pPr>
        <w:spacing w:after="0" w:line="234" w:lineRule="auto"/>
        <w:rPr>
          <w:sz w:val="20"/>
          <w:szCs w:val="20"/>
          <w:color w:val="auto"/>
        </w:rPr>
      </w:pPr>
      <w:r>
        <w:rPr>
          <w:rFonts w:ascii="Times New Roman" w:cs="Times New Roman" w:eastAsia="Times New Roman" w:hAnsi="Times New Roman"/>
          <w:sz w:val="18"/>
          <w:szCs w:val="18"/>
          <w:color w:val="auto"/>
        </w:rPr>
        <w:t>and replaced the previous commercial agreement. The benefit period is reevaluated each reporting period. For the three and six months ended</w:t>
      </w:r>
    </w:p>
    <w:p>
      <w:pPr>
        <w:spacing w:after="0" w:line="235" w:lineRule="auto"/>
        <w:rPr>
          <w:sz w:val="20"/>
          <w:szCs w:val="20"/>
          <w:color w:val="auto"/>
        </w:rPr>
      </w:pPr>
      <w:r>
        <w:rPr>
          <w:rFonts w:ascii="Times New Roman" w:cs="Times New Roman" w:eastAsia="Times New Roman" w:hAnsi="Times New Roman"/>
          <w:sz w:val="18"/>
          <w:szCs w:val="18"/>
          <w:color w:val="auto"/>
        </w:rPr>
        <w:t>December 31, 2025, we recorded amortization expense related to the commercial agreement asset of $2.8 million and $5.7 million, respectively, and $9.0</w:t>
      </w:r>
    </w:p>
    <w:p>
      <w:pPr>
        <w:spacing w:after="0" w:line="235" w:lineRule="auto"/>
        <w:rPr>
          <w:sz w:val="20"/>
          <w:szCs w:val="20"/>
          <w:color w:val="auto"/>
        </w:rPr>
      </w:pPr>
      <w:r>
        <w:rPr>
          <w:rFonts w:ascii="Times New Roman" w:cs="Times New Roman" w:eastAsia="Times New Roman" w:hAnsi="Times New Roman"/>
          <w:sz w:val="18"/>
          <w:szCs w:val="18"/>
          <w:color w:val="auto"/>
        </w:rPr>
        <w:t>million and $18.1 million for the three and six months ended December 31, 2024, respectively, in our interim condensed consolidated statements of</w:t>
      </w:r>
    </w:p>
    <w:p>
      <w:pPr>
        <w:spacing w:after="0" w:line="219" w:lineRule="auto"/>
        <w:rPr>
          <w:sz w:val="20"/>
          <w:szCs w:val="20"/>
          <w:color w:val="auto"/>
        </w:rPr>
      </w:pPr>
      <w:r>
        <w:rPr>
          <w:rFonts w:ascii="Times New Roman" w:cs="Times New Roman" w:eastAsia="Times New Roman" w:hAnsi="Times New Roman"/>
          <w:sz w:val="18"/>
          <w:szCs w:val="18"/>
          <w:color w:val="auto"/>
        </w:rPr>
        <w:t>operations and comprehensive income (loss) as a component of sales and marketing expense. As of December 31, 2025, the accumulated amortization is</w:t>
      </w:r>
    </w:p>
    <w:p>
      <w:pPr>
        <w:spacing w:after="0"/>
        <w:rPr>
          <w:sz w:val="20"/>
          <w:szCs w:val="20"/>
          <w:color w:val="auto"/>
        </w:rPr>
      </w:pPr>
      <w:r>
        <w:rPr>
          <w:rFonts w:ascii="Times New Roman" w:cs="Times New Roman" w:eastAsia="Times New Roman" w:hAnsi="Times New Roman"/>
          <w:sz w:val="18"/>
          <w:szCs w:val="18"/>
          <w:color w:val="auto"/>
        </w:rPr>
        <w:t>$231.2 million and the remaining net asset value is $39.4 million, which will be recognized over the remaining useful life of 3.5 years.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reserves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held at cost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payroll taxes for 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deferred tax asset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85,398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lease office space under operating leases with various expiration dates through 2034. We have the option to renew or extend our leases. Certain lease agreements include the option to terminate the lease with prior written notice ranging from nine months to one year. As of December 31, 2025, we have not considered such provisions in the determination of the lease term, as it is not reasonably certain these options will be exercised. Leases have remaining terms that range from less than one year to nine years.</w:t>
      </w:r>
    </w:p>
    <w:p>
      <w:pPr>
        <w:spacing w:after="0" w:line="19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December 31, 2025 and June 30, 2025, the collateral totaled $4.7 million and $4.5 million, respectively, which was in the form of securities that have been classified as securities available for sale at fair value 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is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2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920" w:type="dxa"/>
            <w:vAlign w:val="bottom"/>
            <w:gridSpan w:val="5"/>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20" w:type="dxa"/>
            <w:vAlign w:val="bottom"/>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6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r>
      <w:tr>
        <w:trPr>
          <w:trHeight w:val="225"/>
        </w:trPr>
        <w:tc>
          <w:tcPr>
            <w:tcW w:w="40" w:type="dxa"/>
            <w:vAlign w:val="bottom"/>
            <w:tcBorders>
              <w:top w:val="single" w:sz="8" w:color="CCEEFF"/>
            </w:tcBorders>
            <w:shd w:val="clear" w:color="auto" w:fill="CCEEFF"/>
          </w:tcPr>
          <w:p>
            <w:pPr>
              <w:spacing w:after="0"/>
              <w:rPr>
                <w:sz w:val="19"/>
                <w:szCs w:val="19"/>
                <w:color w:val="auto"/>
              </w:rPr>
            </w:pPr>
          </w:p>
        </w:tc>
        <w:tc>
          <w:tcPr>
            <w:tcW w:w="4440" w:type="dxa"/>
            <w:vAlign w:val="bottom"/>
            <w:tcBorders>
              <w:top w:val="single" w:sz="8" w:color="CCEEFF"/>
            </w:tcBorders>
            <w:gridSpan w:val="2"/>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16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$6,338</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$5,718</w:t>
            </w:r>
          </w:p>
        </w:tc>
        <w:tc>
          <w:tcPr>
            <w:tcW w:w="20" w:type="dxa"/>
            <w:vAlign w:val="bottom"/>
          </w:tcPr>
          <w:p>
            <w:pPr>
              <w:spacing w:after="0"/>
              <w:rPr>
                <w:sz w:val="19"/>
                <w:szCs w:val="19"/>
                <w:color w:val="auto"/>
              </w:rPr>
            </w:pPr>
          </w:p>
        </w:tc>
      </w:tr>
      <w:tr>
        <w:trPr>
          <w:trHeight w:val="203"/>
        </w:trPr>
        <w:tc>
          <w:tcPr>
            <w:tcW w:w="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50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3"/>
        </w:trPr>
        <w:tc>
          <w:tcPr>
            <w:tcW w:w="40" w:type="dxa"/>
            <w:vAlign w:val="bottom"/>
          </w:tcPr>
          <w:p>
            <w:pPr>
              <w:spacing w:after="0"/>
              <w:rPr>
                <w:sz w:val="24"/>
                <w:szCs w:val="24"/>
                <w:color w:val="auto"/>
              </w:rPr>
            </w:pPr>
          </w:p>
        </w:tc>
        <w:tc>
          <w:tcPr>
            <w:tcW w:w="6700" w:type="dxa"/>
            <w:vAlign w:val="bottom"/>
            <w:gridSpan w:val="5"/>
          </w:tcPr>
          <w:p>
            <w:pPr>
              <w:ind w:left="30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Lease expenses for our short-term leases were immaterial for the periods presented.</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40" w:type="dxa"/>
            <w:vAlign w:val="bottom"/>
          </w:tcPr>
          <w:p>
            <w:pPr>
              <w:spacing w:after="0"/>
              <w:rPr>
                <w:sz w:val="24"/>
                <w:szCs w:val="24"/>
                <w:color w:val="auto"/>
              </w:rPr>
            </w:pPr>
          </w:p>
        </w:tc>
        <w:tc>
          <w:tcPr>
            <w:tcW w:w="670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Lease term and discount rate information are summarized as follows: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4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20"/>
                <w:szCs w:val="20"/>
                <w:color w:val="auto"/>
              </w:rPr>
            </w:pPr>
          </w:p>
        </w:tc>
      </w:tr>
      <w:tr>
        <w:trPr>
          <w:trHeight w:val="226"/>
        </w:trPr>
        <w:tc>
          <w:tcPr>
            <w:tcW w:w="4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r>
      <w:tr>
        <w:trPr>
          <w:trHeight w:val="234"/>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0"/>
                <w:szCs w:val="20"/>
                <w:color w:val="auto"/>
              </w:rPr>
            </w:pPr>
          </w:p>
        </w:tc>
      </w:tr>
      <w:tr>
        <w:trPr>
          <w:trHeight w:val="549"/>
        </w:trPr>
        <w:tc>
          <w:tcPr>
            <w:tcW w:w="40" w:type="dxa"/>
            <w:vAlign w:val="bottom"/>
          </w:tcPr>
          <w:p>
            <w:pPr>
              <w:spacing w:after="0"/>
              <w:rPr>
                <w:sz w:val="24"/>
                <w:szCs w:val="24"/>
                <w:color w:val="auto"/>
              </w:rPr>
            </w:pPr>
          </w:p>
        </w:tc>
        <w:tc>
          <w:tcPr>
            <w:tcW w:w="826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auto"/>
              </w:rPr>
              <w:t>As of December 31, 2025, future minimum lease payments are as follows, by fiscal year (in thousands):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 w:type="dxa"/>
            <w:vAlign w:val="bottom"/>
          </w:tcPr>
          <w:p>
            <w:pPr>
              <w:spacing w:after="0"/>
              <w:rPr>
                <w:sz w:val="9"/>
                <w:szCs w:val="9"/>
                <w:color w:val="auto"/>
              </w:rPr>
            </w:pPr>
          </w:p>
        </w:tc>
        <w:tc>
          <w:tcPr>
            <w:tcW w:w="4440" w:type="dxa"/>
            <w:vAlign w:val="bottom"/>
            <w:gridSpan w:val="2"/>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40" w:type="dxa"/>
            <w:vAlign w:val="bottom"/>
          </w:tcPr>
          <w:p>
            <w:pPr>
              <w:spacing w:after="0"/>
              <w:rPr>
                <w:sz w:val="19"/>
                <w:szCs w:val="19"/>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six months)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Repurchase Obligations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December 31, 2025, the aggregate outstanding balance of loans held by third-party investors or unconsolidated VIEs was $9.7 billion, of which we have recorded a repurchase liability of $8.1 million within accrued expenses and other liabilities in our interim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Kusnier v. Affirm Holdings, Inc.</w:t>
      </w:r>
    </w:p>
    <w:p>
      <w:pPr>
        <w:spacing w:after="0" w:line="2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December 8, 2022, plaintiff Mark Kusnier filed a putative class action lawsuit against Affirm, Max Levchin, and Michael Linford in the U.S. District Court for the Northern District of California (the “Kusnier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contained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sought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 On August 14, 2025, the Court resolved plaintiffs' motion in Affirm's favor. On September 30, 2025, the Court dismissed the action with prejudice. On October 29, 2025, plaintiffs filed a notice of appeal to the U.S. Court of Appeals for the Ninth Circuit.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Quiroga v. Levchin, et al.</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Jeffries v. Levchin, et al.</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Vallieres v. Levchin, et al.</w:t>
      </w:r>
    </w:p>
    <w:p>
      <w:pPr>
        <w:spacing w:after="0" w:line="254" w:lineRule="exact"/>
        <w:rPr>
          <w:sz w:val="20"/>
          <w:szCs w:val="20"/>
          <w:color w:val="auto"/>
        </w:rPr>
      </w:pPr>
    </w:p>
    <w:p>
      <w:pPr>
        <w:jc w:val="both"/>
        <w:ind w:right="240" w:firstLine="648"/>
        <w:spacing w:after="0" w:line="246" w:lineRule="auto"/>
        <w:rPr>
          <w:sz w:val="20"/>
          <w:szCs w:val="20"/>
          <w:color w:val="auto"/>
        </w:rPr>
      </w:pPr>
      <w:r>
        <w:rPr>
          <w:rFonts w:ascii="Times New Roman" w:cs="Times New Roman" w:eastAsia="Times New Roman" w:hAnsi="Times New Roman"/>
          <w:sz w:val="18"/>
          <w:szCs w:val="18"/>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spacing w:after="0" w:line="222"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based on current knowledge, that the aggregate amount or range of losses that are estimable with respect to our legal proceedings, including the matters described above, would not have a material adverse effect within our consolidated financial position, results of operations or cash flows. Amounts accrued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December 31, 2025 were not material. The ultimate outcome of legal proceedings involves judgments, estimates and inherent uncertainties, and cannot be predicted with 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Debt outstanding as of December 31, 2025 includes amounts classified within our interim condensed consolidated balance sheets as funding debt, notes issued by securitization trusts, and convertible senior notes. Secured debt includes borrowings from our warehouse facilities, variable funding notes, notes issued by securitization trusts and sale and repurchase agreements. Unsecured debt includes outstanding convertible senior notes and any borrowings on our unsecured revolving credit facility.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and terms of our secured and unsecured debt as of December 31, 2025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Debt Outstanding net</w:t>
            </w:r>
          </w:p>
        </w:tc>
      </w:tr>
      <w:tr>
        <w:trPr>
          <w:trHeight w:val="137"/>
        </w:trPr>
        <w:tc>
          <w:tcPr>
            <w:tcW w:w="3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of unamortized</w:t>
            </w:r>
          </w:p>
        </w:tc>
      </w:tr>
      <w:tr>
        <w:trPr>
          <w:trHeight w:val="200"/>
        </w:trPr>
        <w:tc>
          <w:tcPr>
            <w:tcW w:w="362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Unused</w:t>
            </w:r>
          </w:p>
        </w:tc>
        <w:tc>
          <w:tcPr>
            <w:tcW w:w="144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Maturity by</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Borrowing</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Debt Outstanding</w:t>
            </w:r>
          </w:p>
        </w:tc>
        <w:tc>
          <w:tcPr>
            <w:tcW w:w="160" w:type="dxa"/>
            <w:vAlign w:val="bottom"/>
          </w:tcPr>
          <w:p>
            <w:pPr>
              <w:spacing w:after="0"/>
              <w:rPr>
                <w:sz w:val="17"/>
                <w:szCs w:val="17"/>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premiums and</w:t>
            </w:r>
          </w:p>
        </w:tc>
      </w:tr>
      <w:tr>
        <w:trPr>
          <w:trHeight w:val="162"/>
        </w:trPr>
        <w:tc>
          <w:tcPr>
            <w:tcW w:w="36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 Fees</w:t>
            </w:r>
          </w:p>
        </w:tc>
        <w:tc>
          <w:tcPr>
            <w:tcW w:w="144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Capacity </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4"/>
                <w:szCs w:val="14"/>
                <w:color w:val="auto"/>
              </w:rPr>
            </w:pP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9"/>
                <w:szCs w:val="9"/>
                <w:b w:val="1"/>
                <w:bCs w:val="1"/>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discount</w:t>
            </w:r>
          </w:p>
        </w:tc>
      </w:tr>
      <w:tr>
        <w:trPr>
          <w:trHeight w:val="18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Secured debt</w:t>
            </w: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95"/>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Funding debt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warehouse facilities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0.20% - 0.50%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2027 - 2032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1,904,902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1,892,470</w:t>
            </w:r>
          </w:p>
        </w:tc>
      </w:tr>
      <w:tr>
        <w:trPr>
          <w:trHeight w:val="203"/>
        </w:trPr>
        <w:tc>
          <w:tcPr>
            <w:tcW w:w="362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International warehouse facilities </w:t>
            </w:r>
            <w:r>
              <w:rPr>
                <w:rFonts w:ascii="Times New Roman" w:cs="Times New Roman" w:eastAsia="Times New Roman" w:hAnsi="Times New Roman"/>
                <w:sz w:val="18"/>
                <w:szCs w:val="18"/>
                <w:color w:val="auto"/>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 - 0.45%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2028 - 2030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693,780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546,258</w:t>
            </w:r>
          </w:p>
        </w:tc>
      </w:tr>
      <w:tr>
        <w:trPr>
          <w:trHeight w:val="203"/>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Variable funding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597,176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594,402</w:t>
            </w:r>
          </w:p>
        </w:tc>
      </w:tr>
      <w:tr>
        <w:trPr>
          <w:trHeight w:val="19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repurchase agreements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2028 - 2029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w:t>
            </w:r>
          </w:p>
        </w:tc>
      </w:tr>
      <w:tr>
        <w:trPr>
          <w:trHeight w:val="21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2029 - 2035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4,850,000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4,834,736</w:t>
            </w:r>
          </w:p>
        </w:tc>
      </w:tr>
      <w:tr>
        <w:trPr>
          <w:trHeight w:val="189"/>
        </w:trPr>
        <w:tc>
          <w:tcPr>
            <w:tcW w:w="3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12,143,780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7,913,776</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7,881,581</w:t>
            </w: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debt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Convertible senior notes: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 Notes</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220,856</w:t>
            </w:r>
          </w:p>
        </w:tc>
      </w:tr>
      <w:tr>
        <w:trPr>
          <w:trHeight w:val="19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2029 Notes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906,802</w:t>
            </w:r>
          </w:p>
        </w:tc>
      </w:tr>
      <w:tr>
        <w:trPr>
          <w:trHeight w:val="21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6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1,141,321</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1,127,658</w:t>
            </w:r>
          </w:p>
        </w:tc>
      </w:tr>
      <w:tr>
        <w:trPr>
          <w:trHeight w:val="22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12,473,780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9,055,097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9,009,240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340" w:right="120" w:hanging="332"/>
        <w:spacing w:after="0" w:line="239"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stated interest rate reflects the fixed or variable interest rate in effect for each of our contractual arrangements as of December 31, 2025, weighted by the outstanding principal balance as of that date. The interest rate resets periodically for our variable rate debt, typically based on a reference rate such as Secured Overnight Financing Rate (“SOFR”) or Canadian Overnight Repo Rate Average (“CORRA”) plus a spread, or an alternative rate based on the cost funds for the lender.</w:t>
      </w:r>
    </w:p>
    <w:p>
      <w:pPr>
        <w:ind w:left="320" w:hanging="312"/>
        <w:spacing w:after="0" w:line="196"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total revolving commitment amount, inclusive of debt outstanding as of December 31, 2025.</w:t>
      </w:r>
    </w:p>
    <w:p>
      <w:pPr>
        <w:spacing w:after="0" w:line="1" w:lineRule="exact"/>
        <w:rPr>
          <w:rFonts w:ascii="Times New Roman" w:cs="Times New Roman" w:eastAsia="Times New Roman" w:hAnsi="Times New Roman"/>
          <w:sz w:val="23"/>
          <w:szCs w:val="23"/>
          <w:color w:val="auto"/>
          <w:vertAlign w:val="superscript"/>
        </w:rPr>
      </w:pPr>
    </w:p>
    <w:p>
      <w:pPr>
        <w:ind w:left="340" w:right="320" w:hanging="332"/>
        <w:spacing w:after="0" w:line="228"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loans are pledged as collateral for borrowings in our secured debt facilities, except for our sales and repurchase agreements which are collateralized by securitization notes receivable and certificates retained by the Company and classified as securities available for sale at fair value. The carrying value of these pledged assets was $8.6 billion as of December 31, 2025.</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2025, international facilities finance loan receivables originated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by Fiscal Year</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aggregate future maturities of our funding debt, notes issued by securitization trusts and convertible notes consists of the following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757,188</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1,156,719</w:t>
            </w:r>
          </w:p>
        </w:tc>
      </w:tr>
      <w:tr>
        <w:trPr>
          <w:trHeight w:val="230"/>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1,262,831</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1,861,149</w:t>
            </w:r>
          </w:p>
        </w:tc>
      </w:tr>
      <w:tr>
        <w:trPr>
          <w:trHeight w:val="23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4,017,210</w:t>
            </w:r>
          </w:p>
        </w:tc>
      </w:tr>
      <w:tr>
        <w:trPr>
          <w:trHeight w:val="22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9,055,097</w:t>
            </w:r>
          </w:p>
        </w:tc>
      </w:tr>
      <w:tr>
        <w:trPr>
          <w:trHeight w:val="23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(45,857)</w:t>
            </w:r>
          </w:p>
        </w:tc>
      </w:tr>
      <w:tr>
        <w:trPr>
          <w:trHeight w:val="248"/>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9,009,240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17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Through certain consolidated subsidiaries, which are typically trusts, we enter into secured borrowing arrangements with banks and other financial institutions. Through each of these subsidiaries we enter into a loan or credit and security agreement where we borrow against loans pledged as collateral. Financing terms, including the advance rate and financing spread, vary across these revolving facilities and generally depend on the types of collateral that may be pledged and respective concentration limits.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terms.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Borrowings under these agreements are classified as funding debt within our interim condensed consolidated balance sheets and proceeds from the borrowings can only be used for the purposes of funding loans. These borrowing facilities are bankruptcy-remote special-purpose vehicles in which creditors do not have recourse against the general credit of Affirm.</w:t>
      </w:r>
    </w:p>
    <w:p>
      <w:pPr>
        <w:spacing w:after="0" w:line="21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funding debt agreements contain certain customary negative covenants and financial covenants including maintaining certain levels of minimum liquidity, maximum leverage, and minimum tangible net worth. As of December 31, 2025, we were in compliance with all applicable covenants in the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Funding Note</w:t>
      </w:r>
    </w:p>
    <w:p>
      <w:pPr>
        <w:spacing w:after="0" w:line="25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affects the level of utilization of the VFN. Outstanding borrowings under the VFN are classified as funding debt within our interim condensed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254"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notes pledged. We record the debt outstanding under our sale and repurchase agreements within our funding debt in the interim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Issued by Securitization Trusts</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issue asset-backed securities through securitization trusts using a combination of term, amortizing and revolving structures. Each trust may issue one or more classes of notes, which will be repaid through collections on the loans in accordance with the trust priority of payments. For consolidated securitization trusts, asset-backed notes held by third-party investors are classified as notes issued by securitization trusts within our interim condensed consolidated balance sheets. We defer and amortize debt issuance costs for consolidated securitization trusts on a straight-line basis over the expected life of the notes. Refer to Note 9 Securitization and Variable Interest Entities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4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7"/>
          <w:szCs w:val="17"/>
          <w:color w:val="auto"/>
        </w:rPr>
        <w:t>We have a Revolving Credit Agreement with a syndicate of banks for a $330.0 million unsecured revolving credit facility. Proceeds of the borrowings under this facility will be used for general corporate purposes in the ordinary course of business. This facility bears interest at a rate equal to, either (a) for SOFR borrowing, a SOFR rate determined by reference to the forward-looking term SOFR rate for the interest period, plus an applicable margin of 1.75% per annum or (b) for alternative base rate borrowings, a base rate determined by reference to the highest of (i) the federal funds rate plus 0.50% per annum, (ii) the rate last quoted by the Wall Street Journal as the U.S. prime rate and (iii) the one-month forward-looking term SOFR rate plus</w:t>
      </w:r>
    </w:p>
    <w:p>
      <w:pPr>
        <w:spacing w:after="0" w:line="2" w:lineRule="exact"/>
        <w:rPr>
          <w:sz w:val="20"/>
          <w:szCs w:val="20"/>
          <w:color w:val="auto"/>
        </w:rPr>
      </w:pPr>
    </w:p>
    <w:p>
      <w:pPr>
        <w:jc w:val="both"/>
        <w:ind w:right="320"/>
        <w:spacing w:after="0" w:line="234" w:lineRule="auto"/>
        <w:rPr>
          <w:sz w:val="20"/>
          <w:szCs w:val="20"/>
          <w:color w:val="auto"/>
        </w:rPr>
      </w:pPr>
      <w:r>
        <w:rPr>
          <w:rFonts w:ascii="Times New Roman" w:cs="Times New Roman" w:eastAsia="Times New Roman" w:hAnsi="Times New Roman"/>
          <w:sz w:val="18"/>
          <w:szCs w:val="18"/>
          <w:color w:val="auto"/>
        </w:rPr>
        <w:t>1.00% per annum, in each case, plus an applicable margin of 0.75% per annum. The facility contains certain financial covenants which may result in an acceleration of the maturity if not maintained, and requires payment of a monthly unused commitment fee of 0.20% per annum on the undrawn balance available.</w:t>
      </w:r>
    </w:p>
    <w:p>
      <w:pPr>
        <w:spacing w:after="0" w:line="21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were in compliance with all applicable covenants in the agreement. There were no borrowings outstanding under the facility as of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On December 20, 2024, we issued approximately $920.0 million in aggregate principal amount of 0.75% convertible senior notes due 2029 (the “2029 Notes”) in a private placement to qualified institutional buyers pursuant to Rule 144A under the Securities Act of 1933, as amended. The total net proceeds from this offering, after deducting debt issuance costs, were approximately $903.1 million. The 2029 Notes represent senior unsecured obligations of the Company. The 2029 Notes will bear interest at a fixed rate of 0.75% per year, payable semiannually in arrears on June 15 and December 15 of each year, beginning on June 15, 2025. The 2029 Notes mature on December 15, 2029, unless such Notes are earlier converted, redeemed or repurchased in accordance with their terms.</w:t>
      </w:r>
    </w:p>
    <w:p>
      <w:pPr>
        <w:spacing w:after="0" w:line="205"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18"/>
          <w:szCs w:val="18"/>
          <w:color w:val="auto"/>
        </w:rPr>
        <w:t>Each $1,000 of principal of the 2029 Notes will initially be convertible into 9.8992 shares of our common stock, which is equivalent to an initial conversion price of approximately $101.02 per share, subject to adjustment upon the occurrence of certain specified events set forth in the indenture governing the 2029 Notes (the “2029 Indenture”). Holders of the 2029 Notes may convert their 2029 Notes at their option at any time on or after September 15, 2029 until close of business on the second scheduled trading day immediately preceding the maturity date of December 15, 2029. Further, holders of the 2029 Notes may convert all or any portion of their 2029 Notes at their option prior to the close of business on the business day immediately preceding September 15, 2029, only under the following circumstances:</w:t>
      </w:r>
    </w:p>
    <w:p>
      <w:pPr>
        <w:spacing w:after="0" w:line="219" w:lineRule="exact"/>
        <w:rPr>
          <w:sz w:val="20"/>
          <w:szCs w:val="20"/>
          <w:color w:val="auto"/>
        </w:rPr>
      </w:pPr>
    </w:p>
    <w:p>
      <w:pPr>
        <w:ind w:left="580" w:right="80" w:hanging="5"/>
        <w:spacing w:after="0" w:line="266" w:lineRule="auto"/>
        <w:tabs>
          <w:tab w:leader="none" w:pos="7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March 31, 2025 (and only during such calendar quarter), if the last reported sale price of the Class A common stock for at least 20 trading days (whether or not consecutive) during a period of 30 consecutive trading days ending 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right="460"/>
        <w:spacing w:after="0" w:line="282" w:lineRule="auto"/>
        <w:rPr>
          <w:sz w:val="20"/>
          <w:szCs w:val="20"/>
          <w:color w:val="auto"/>
        </w:rPr>
      </w:pPr>
      <w:r>
        <w:rPr>
          <w:rFonts w:ascii="Times New Roman" w:cs="Times New Roman" w:eastAsia="Times New Roman" w:hAnsi="Times New Roman"/>
          <w:sz w:val="18"/>
          <w:szCs w:val="18"/>
          <w:color w:val="auto"/>
        </w:rPr>
        <w:t>including, the last trading day of the immediately preceding calendar quarter is greater than or equal to 130% of the conversion price on each applicable trading day;</w:t>
      </w:r>
    </w:p>
    <w:p>
      <w:pPr>
        <w:spacing w:after="0" w:line="189" w:lineRule="exact"/>
        <w:rPr>
          <w:sz w:val="20"/>
          <w:szCs w:val="20"/>
          <w:color w:val="auto"/>
        </w:rPr>
      </w:pPr>
    </w:p>
    <w:p>
      <w:pPr>
        <w:jc w:val="both"/>
        <w:ind w:left="580" w:hanging="5"/>
        <w:spacing w:after="0" w:line="289" w:lineRule="auto"/>
        <w:tabs>
          <w:tab w:leader="none" w:pos="7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2029 Notes) per $1,000 principal amount of the 2029 Notes for each trading day of the measurement period was less than 98% of the product of the last reported sale price of the Company’s Class A common stock and the conversion rate on each such trading day;</w:t>
      </w:r>
    </w:p>
    <w:p>
      <w:pPr>
        <w:spacing w:after="0" w:line="184" w:lineRule="exact"/>
        <w:rPr>
          <w:rFonts w:ascii="Times New Roman" w:cs="Times New Roman" w:eastAsia="Times New Roman" w:hAnsi="Times New Roman"/>
          <w:sz w:val="17"/>
          <w:szCs w:val="17"/>
          <w:color w:val="auto"/>
        </w:rPr>
      </w:pPr>
    </w:p>
    <w:p>
      <w:pPr>
        <w:ind w:left="580" w:right="140" w:hanging="5"/>
        <w:spacing w:after="0" w:line="282" w:lineRule="auto"/>
        <w:tabs>
          <w:tab w:leader="none" w:pos="7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Upon conversion of the 2029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“2029 Indenture”) calculated on a proportionate basis for each trading day in a 40 trading day observation period.</w:t>
      </w:r>
    </w:p>
    <w:p>
      <w:pPr>
        <w:spacing w:after="0" w:line="21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No sinking fund is provided for the 2029 Notes. We may redeem for cash all or part of the 2029 Notes on or after December 20, 2027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if any.</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a fundamental change (as defined in the 2029 Indenture) occurs prior to the maturity date, holders of the 2029 Notes may require us to repurchase all or a portion of their notes for cash at a repurchase price equal to 100% of the principal amount of the 2029 Notes, plus any accrued and unpaid interest to, but excluding, the repurchase date. In addition, if specific corporate events occur prior to the maturity date of the 2029 Notes, we will be required to increase the conversion rate for holders who elect to convert their 2029 Notes in connection with such corporate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5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“2026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option prior to the close of business on the business day immediately preceding August 15, 2026, only under the following circumstances:</w:t>
      </w:r>
    </w:p>
    <w:p>
      <w:pPr>
        <w:spacing w:after="0" w:line="252" w:lineRule="exact"/>
        <w:rPr>
          <w:sz w:val="20"/>
          <w:szCs w:val="20"/>
          <w:color w:val="auto"/>
        </w:rPr>
      </w:pPr>
    </w:p>
    <w:p>
      <w:pPr>
        <w:ind w:left="580" w:right="20" w:hanging="5"/>
        <w:spacing w:after="0" w:line="261"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580" w:right="40" w:hanging="5"/>
        <w:spacing w:after="0" w:line="289" w:lineRule="auto"/>
        <w:tabs>
          <w:tab w:leader="none" w:pos="7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84" w:lineRule="exact"/>
        <w:rPr>
          <w:rFonts w:ascii="Times New Roman" w:cs="Times New Roman" w:eastAsia="Times New Roman" w:hAnsi="Times New Roman"/>
          <w:sz w:val="17"/>
          <w:szCs w:val="17"/>
          <w:color w:val="auto"/>
        </w:rPr>
      </w:pPr>
    </w:p>
    <w:p>
      <w:pPr>
        <w:ind w:left="580" w:right="180" w:hanging="5"/>
        <w:spacing w:after="0" w:line="282"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18"/>
          <w:szCs w:val="18"/>
          <w:color w:val="auto"/>
        </w:rPr>
        <w:t>Upon conversion of the 2026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“2026 Indenture”) calculated on a proportionate basis for each trading day in a 40 trading day observation period.</w:t>
      </w:r>
    </w:p>
    <w:p>
      <w:pPr>
        <w:spacing w:after="0" w:line="21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2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2026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a Portion of the 2026 Notes</w:t>
      </w:r>
    </w:p>
    <w:p>
      <w:pPr>
        <w:spacing w:after="0" w:line="254"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On May 18, 2025, the Board of Directors authorized the repurchase of up to $200 million in aggregate principal amount of the 2026 Notes (the “May 2025 Authorization”). Note repurchases under the May 2025 Authorization were authorized to be made from time to time during the period commencing July 1, 2025 through December 31, 2025. In anticipation of the expiration of the May 2025 Authorization, on December 17, 2025, the Board of Directors authorized the repurchase of up to $176 million in aggregate principal amount of the 2026 Notes (the “December 2025 Authorization”). Note repurchases under the December 2025 Authorization may be made from time to time during the period commencing January 1, 2026 through November 13, 2026 through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60"/>
        <w:spacing w:after="0" w:line="250" w:lineRule="auto"/>
        <w:rPr>
          <w:sz w:val="20"/>
          <w:szCs w:val="20"/>
          <w:color w:val="auto"/>
        </w:rPr>
      </w:pPr>
      <w:r>
        <w:rPr>
          <w:rFonts w:ascii="Times New Roman" w:cs="Times New Roman" w:eastAsia="Times New Roman" w:hAnsi="Times New Roman"/>
          <w:sz w:val="18"/>
          <w:szCs w:val="18"/>
          <w:color w:val="auto"/>
        </w:rPr>
        <w:t>purchases, privately negotiated purchases, purchase plans under Rule 10b5-1, or through a combination thereof. Repurchases are subject to available liquidity, general market and economic conditions, alternate uses for the capital, and other factors, and there is no minimum principal amount of 2026 Notes that the Company is obligated to repurchase.</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six months ended December 31, 2025, we paid $0.9 million and $25.8 million, respectively, in cash for the repurchase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and $27.4 million, respectively, aggregate principal amount of our 2026 Notes under the May 2025 Authorization. The carrying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extinguished 2026 Notes was approximately $1.0 million and $27.3 million during the three and six months ended December 31, 2025,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 $0.04 million and $1.5 million gain, respectively, on early extinguishment of debt. The repurchased 2026 Notes were received and canceled.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$221.3 million in aggregate principal amount of the 2026 Notes remains outstanding.</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related to the convertible senior notes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5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 Notes</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 Notes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of debt issuance costs</w:t>
            </w: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Coupon interest expense </w:t>
            </w:r>
            <w:r>
              <w:rPr>
                <w:rFonts w:ascii="Times New Roman" w:cs="Times New Roman" w:eastAsia="Times New Roman" w:hAnsi="Times New Roman"/>
                <w:sz w:val="23"/>
                <w:szCs w:val="23"/>
                <w:color w:val="auto"/>
                <w:vertAlign w:val="superscript"/>
              </w:rPr>
              <w:t>(1) (2)</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expenses related to the convertible notes</w:t>
            </w: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0"/>
        </w:trPr>
        <w:tc>
          <w:tcPr>
            <w:tcW w:w="5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1"/>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our interim condensed consolidated statement of operations and comprehensive income (loss) within other income, net.</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1"/>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coupon interest expense is related to the 2029 Notes.</w:t>
      </w:r>
    </w:p>
    <w:p>
      <w:pPr>
        <w:spacing w:after="0" w:line="221" w:lineRule="exact"/>
        <w:rPr>
          <w:rFonts w:ascii="Times New Roman" w:cs="Times New Roman" w:eastAsia="Times New Roman" w:hAnsi="Times New Roman"/>
          <w:sz w:val="23"/>
          <w:szCs w:val="23"/>
          <w:color w:val="auto"/>
          <w:vertAlign w:val="superscript"/>
        </w:rPr>
      </w:pPr>
    </w:p>
    <w:p>
      <w:pPr>
        <w:ind w:left="240" w:hanging="232"/>
        <w:spacing w:after="0"/>
        <w:tabs>
          <w:tab w:leader="none" w:pos="2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Securitization and Variable Interest Entities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54"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We established certain entities, deemed to be VIEs, to enter into warehouse credit facilities for the purpose of purchasing loans from our originating bank partners and funding directly originated loans. Refer to Note 8. Debt for additional information. The creditors of the VIEs have no recourse to the general credit of Affirm and the liabilities of the VIEs can only be settled by the respective VIEs’ assets; however, as the servicer of the loans pledged to our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Securitizations</w:t>
      </w:r>
    </w:p>
    <w:p>
      <w:pPr>
        <w:spacing w:after="0" w:line="268"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credit of Affirm and the liabilities of the VIEs can only be settled by the respective VIEs’ assets. Additionally, the assets of the VIEs can be used only to settle obligations of the VIEs.</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consolidate securitization VIEs when we are deemed to be the primary beneficiary. For these VIEs, it is determined that we have the power to direct the activities that most significantly affect the VIEs’ economic performance and the obligation to absorb losses or right to receive benefits that could potentially be significant to the VIEs.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 The servicing fees earned from these arrangements are considered variable interests when we also hold significant retained interests in the VIEs and they would absorb losses or receive benefits that are more than an insignificant amount of the VIEs' expected performance.</w:t>
      </w:r>
    </w:p>
    <w:p>
      <w:pPr>
        <w:spacing w:after="0" w:line="216"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For the primary beneficiary evaluation, we consider both qualitative and quantitative factors regarding the nature, size and form of our involvement with the VIEs. We perform reassessments an ongoing basis to evaluate whether we are the primary beneficiary of the VIEs.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89"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8"/>
          <w:szCs w:val="18"/>
          <w:color w:val="auto"/>
        </w:rPr>
        <w:t>For each securitization, the residual trust certificates represent the right to receive excess cash on the loans each collection period after all fees and required distributions have been made to the note holders on the related payment date. In addition to the retained residual trust certificates, our continued involvement includes loan servicing responsibilities over the life of the underlying loans.</w:t>
      </w:r>
    </w:p>
    <w:p>
      <w:pPr>
        <w:spacing w:after="0" w:line="19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aggregate carrying value of financial assets and liabilities from our involvement with consolidated VIEs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2,764,860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308,984</w:t>
            </w:r>
          </w:p>
        </w:tc>
      </w:tr>
      <w:tr>
        <w:trPr>
          <w:trHeight w:val="230"/>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Securitizations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5,621,738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5,442,529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179,209</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488,193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164,044</w:t>
            </w:r>
          </w:p>
        </w:tc>
      </w:tr>
      <w:tr>
        <w:trPr>
          <w:trHeight w:val="230"/>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Securitizations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4,993,148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4,951,485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41,663</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Liabilities include an outstanding balance of $594.4 million and $103.9 million on a VFN classified as funding debt as of December 31, 2025 and June 30, 2025, respectively, and asset-backed securities of $4.8 billion classified as notes issued from securitization trusts as of both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70" w:lineRule="exact"/>
        <w:rPr>
          <w:sz w:val="20"/>
          <w:szCs w:val="20"/>
          <w:color w:val="auto"/>
        </w:rPr>
      </w:pPr>
    </w:p>
    <w:p>
      <w:pPr>
        <w:ind w:right="260" w:firstLine="648"/>
        <w:spacing w:after="0" w:line="274" w:lineRule="auto"/>
        <w:rPr>
          <w:sz w:val="20"/>
          <w:szCs w:val="20"/>
          <w:color w:val="auto"/>
        </w:rPr>
      </w:pPr>
      <w:r>
        <w:rPr>
          <w:rFonts w:ascii="Times New Roman" w:cs="Times New Roman" w:eastAsia="Times New Roman" w:hAnsi="Times New Roman"/>
          <w:sz w:val="18"/>
          <w:szCs w:val="18"/>
          <w:color w:val="auto"/>
        </w:rPr>
        <w:t>We are involved with various unconsolidated VIEs, established for the purposes of securitization and forward flow arrangements. We retain economic exposure as variable interests in these unconsolidated VIEs, which consist of securitization notes receivable and certificates in unconsolidated trusts, residual interests in structured transactions, and risk sharing assets and liabilities. While we continue to be involved with the unconsolidated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through our role as the servicer, we determined that we are not the primary beneficiary as of December 31, 2025. Factors we considered for this determination are that we hold an insignificant variable interest or rights held by other variable interest holders convey power in the unconsolidated VIEs.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 notes receivable and certificates in unconsolidated securitization trusts</w:t>
      </w:r>
    </w:p>
    <w:p>
      <w:pPr>
        <w:spacing w:after="0" w:line="254"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8"/>
          <w:szCs w:val="18"/>
          <w:color w:val="auto"/>
        </w:rPr>
        <w:t>We have investments in certain unconsolidated securitization trusts in the form of notes and certificates. These notes and certificates are considered variable interests that absorb a portion of the variability of the trusts. The principal and interest payments on these investments are dependent on the performance of the underlying loans held within each trust.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Residual interests in structured transactions</w:t>
      </w:r>
    </w:p>
    <w:p>
      <w:pPr>
        <w:spacing w:after="0" w:line="268"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8"/>
          <w:szCs w:val="18"/>
          <w:color w:val="auto"/>
        </w:rPr>
        <w:t>Under certain forward flow arrangements with third-party loan buyers, we hold a beneficial interest representing our right to receive a portion of the residual cash flows from the underlying loans sold in connection with the transaction. The loans are held in an unconsolidated VIE that has been established by the third-party loan buyers.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sharing assets and liabilities</w:t>
      </w:r>
    </w:p>
    <w:p>
      <w:pPr>
        <w:spacing w:after="0" w:line="254" w:lineRule="exact"/>
        <w:rPr>
          <w:sz w:val="20"/>
          <w:szCs w:val="20"/>
          <w:color w:val="auto"/>
        </w:rPr>
      </w:pPr>
    </w:p>
    <w:p>
      <w:pPr>
        <w:ind w:right="480" w:firstLine="648"/>
        <w:spacing w:after="0" w:line="274" w:lineRule="auto"/>
        <w:rPr>
          <w:sz w:val="20"/>
          <w:szCs w:val="20"/>
          <w:color w:val="auto"/>
        </w:rPr>
      </w:pPr>
      <w:r>
        <w:rPr>
          <w:rFonts w:ascii="Times New Roman" w:cs="Times New Roman" w:eastAsia="Times New Roman" w:hAnsi="Times New Roman"/>
          <w:sz w:val="18"/>
          <w:szCs w:val="18"/>
          <w:color w:val="auto"/>
        </w:rPr>
        <w:t>Under certain other forward flow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unconsolidated VIEs where we hold a variable interest but are not the primary beneficiary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80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Maximum Exposure to</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800" w:type="dxa"/>
            <w:vAlign w:val="bottom"/>
            <w:tcBorders>
              <w:top w:val="single" w:sz="8" w:color="auto"/>
            </w:tcBorders>
            <w:gridSpan w:val="2"/>
          </w:tcPr>
          <w:p>
            <w:pPr>
              <w:jc w:val="right"/>
              <w:ind w:right="12"/>
              <w:spacing w:after="0" w:line="155" w:lineRule="exact"/>
              <w:rPr>
                <w:sz w:val="20"/>
                <w:szCs w:val="20"/>
                <w:color w:val="auto"/>
              </w:rPr>
            </w:pPr>
            <w:r>
              <w:rPr>
                <w:rFonts w:ascii="Times New Roman" w:cs="Times New Roman" w:eastAsia="Times New Roman" w:hAnsi="Times New Roman"/>
                <w:sz w:val="16"/>
                <w:szCs w:val="16"/>
                <w:b w:val="1"/>
                <w:bCs w:val="1"/>
                <w:color w:val="auto"/>
              </w:rPr>
              <w:t>Maximum Exposure to</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center"/>
              <w:ind w:right="460"/>
              <w:spacing w:after="0" w:line="216" w:lineRule="exact"/>
              <w:rPr>
                <w:sz w:val="20"/>
                <w:szCs w:val="20"/>
                <w:color w:val="auto"/>
              </w:rPr>
            </w:pPr>
            <w:r>
              <w:rPr>
                <w:rFonts w:ascii="Times New Roman" w:cs="Times New Roman" w:eastAsia="Times New Roman" w:hAnsi="Times New Roman"/>
                <w:sz w:val="16"/>
                <w:szCs w:val="16"/>
                <w:b w:val="1"/>
                <w:bCs w:val="1"/>
                <w:color w:val="auto"/>
                <w:w w:val="92"/>
              </w:rPr>
              <w:t>Losses</w:t>
            </w:r>
            <w:r>
              <w:rPr>
                <w:rFonts w:ascii="Times New Roman" w:cs="Times New Roman" w:eastAsia="Times New Roman" w:hAnsi="Times New Roman"/>
                <w:sz w:val="21"/>
                <w:szCs w:val="21"/>
                <w:b w:val="1"/>
                <w:bCs w:val="1"/>
                <w:color w:val="auto"/>
                <w:w w:val="92"/>
                <w:vertAlign w:val="superscript"/>
              </w:rPr>
              <w:t>(4)</w:t>
            </w:r>
          </w:p>
        </w:tc>
        <w:tc>
          <w:tcPr>
            <w:tcW w:w="1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ind w:right="532"/>
              <w:spacing w:after="0" w:line="216" w:lineRule="exact"/>
              <w:rPr>
                <w:sz w:val="20"/>
                <w:szCs w:val="20"/>
                <w:color w:val="auto"/>
              </w:rPr>
            </w:pPr>
            <w:r>
              <w:rPr>
                <w:rFonts w:ascii="Times New Roman" w:cs="Times New Roman" w:eastAsia="Times New Roman" w:hAnsi="Times New Roman"/>
                <w:sz w:val="16"/>
                <w:szCs w:val="16"/>
                <w:b w:val="1"/>
                <w:bCs w:val="1"/>
                <w:color w:val="auto"/>
              </w:rPr>
              <w:t>Losses</w:t>
            </w:r>
            <w:r>
              <w:rPr>
                <w:rFonts w:ascii="Times New Roman" w:cs="Times New Roman" w:eastAsia="Times New Roman" w:hAnsi="Times New Roman"/>
                <w:sz w:val="21"/>
                <w:szCs w:val="21"/>
                <w:b w:val="1"/>
                <w:bCs w:val="1"/>
                <w:color w:val="auto"/>
                <w:vertAlign w:val="superscript"/>
              </w:rPr>
              <w:t>(4)</w:t>
            </w:r>
          </w:p>
        </w:tc>
        <w:tc>
          <w:tcPr>
            <w:tcW w:w="0" w:type="dxa"/>
            <w:vAlign w:val="bottom"/>
          </w:tcPr>
          <w:p>
            <w:pPr>
              <w:spacing w:after="0"/>
              <w:rPr>
                <w:sz w:val="1"/>
                <w:szCs w:val="1"/>
                <w:color w:val="auto"/>
              </w:rPr>
            </w:pPr>
          </w:p>
        </w:tc>
      </w:tr>
      <w:tr>
        <w:trPr>
          <w:trHeight w:val="155"/>
        </w:trPr>
        <w:tc>
          <w:tcPr>
            <w:tcW w:w="3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Securitization notes receivable and certificates in</w:t>
            </w: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unconsolidated securitization trusts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Residual interests in structured transactions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sharing assets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sharing liabilities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24,467</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within Securities available for sale at fair value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within Other assets</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within Accrued expenses and other liabilities</w:t>
      </w:r>
    </w:p>
    <w:p>
      <w:pPr>
        <w:spacing w:after="0" w:line="2" w:lineRule="exact"/>
        <w:rPr>
          <w:rFonts w:ascii="Times New Roman" w:cs="Times New Roman" w:eastAsia="Times New Roman" w:hAnsi="Times New Roman"/>
          <w:sz w:val="23"/>
          <w:szCs w:val="23"/>
          <w:color w:val="auto"/>
          <w:vertAlign w:val="superscript"/>
        </w:rPr>
      </w:pPr>
    </w:p>
    <w:p>
      <w:pPr>
        <w:ind w:left="660" w:right="140" w:hanging="328"/>
        <w:spacing w:after="0" w:line="21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Maximum exposure to losses represents our exposure through our continuing involvement as servicer, through our retained interests, and legal or contractual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Securities Available for Sale</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securities available for sale, at fair value, consist of the following as of each date presented within the interim condensed consolidated balance sheets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70,920</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 - US</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39,008</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264,199</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126,761</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r>
      <w:tr>
        <w:trPr>
          <w:trHeight w:val="230"/>
        </w:trPr>
        <w:tc>
          <w:tcPr>
            <w:tcW w:w="7180" w:type="dxa"/>
            <w:vAlign w:val="bottom"/>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344,434</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786,557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963,397</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60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2025 and June 30, 2025, these securities include $99.8 million and $75.4 million, respectively, pledged as collateral in connection with our standby letters of credit for office leases and certain commercial agreements.</w:t>
      </w:r>
    </w:p>
    <w:p>
      <w:pPr>
        <w:ind w:left="660" w:right="62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include $15.1 million and $34.5 million as of December 31, 2025 and June 30, 2025, respectively, pledged as collateral in connection with sale and repurchase agreements as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allowance for credit losses, and fair value of securities available for sale as of December 31, 2025 and June 30, 2025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274,274</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721,736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723,375</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7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264,199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139,325</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Agency bonds </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892,477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30, 2025, Agency bonds, Commercial Paper, and US government bonds included $21.1 million classified as cash and cash equivalents within the interim condensed consolidated balance sheets.</w:t>
      </w:r>
    </w:p>
    <w:p>
      <w:pPr>
        <w:ind w:left="660" w:right="600" w:hanging="328"/>
        <w:spacing w:after="0" w:line="21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2025 and June 30, 2025, these securities include $99.8 million and $75.4 million, respectively, pledged as collateral in connection with our standby letters of credit for office leases and certain commercial agreements.</w:t>
      </w:r>
    </w:p>
    <w:p>
      <w:pPr>
        <w:spacing w:after="0" w:line="1" w:lineRule="exact"/>
        <w:rPr>
          <w:rFonts w:ascii="Times New Roman" w:cs="Times New Roman" w:eastAsia="Times New Roman" w:hAnsi="Times New Roman"/>
          <w:sz w:val="23"/>
          <w:szCs w:val="23"/>
          <w:color w:val="auto"/>
          <w:vertAlign w:val="superscript"/>
        </w:rPr>
      </w:pPr>
    </w:p>
    <w:p>
      <w:pPr>
        <w:ind w:left="660" w:right="60" w:hanging="328"/>
        <w:spacing w:after="0" w:line="21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$15.1 million and $34.5 million as of December 31, 2025 and June 30, 2025, respectively, of these securities have been pledged as collateral in connection with sale and repurchase agreements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there were no material reversals of prior period allowance for credit losses recognized for available for sale securities.</w:t>
      </w:r>
    </w:p>
    <w:p>
      <w:pPr>
        <w:spacing w:after="0" w:line="189" w:lineRule="exact"/>
        <w:rPr>
          <w:sz w:val="20"/>
          <w:szCs w:val="20"/>
          <w:color w:val="auto"/>
        </w:rPr>
      </w:pPr>
    </w:p>
    <w:p>
      <w:pPr>
        <w:jc w:val="both"/>
        <w:ind w:right="220" w:firstLine="648"/>
        <w:spacing w:after="0" w:line="274" w:lineRule="auto"/>
        <w:rPr>
          <w:sz w:val="20"/>
          <w:szCs w:val="20"/>
          <w:color w:val="auto"/>
        </w:rPr>
      </w:pPr>
      <w:r>
        <w:rPr>
          <w:rFonts w:ascii="Times New Roman" w:cs="Times New Roman" w:eastAsia="Times New Roman" w:hAnsi="Times New Roman"/>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December 31, 2025 and June 30, 2025,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notes receivable and certificates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left="533"/>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ind w:left="493"/>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ind w:left="493"/>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center"/>
              <w:ind w:left="533"/>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355,037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40" w:hanging="328"/>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securities with unrealized losses for which an allowance for credit losses has not been recorded totaled 8 and 67 as of December 31, 2025 and June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length of time to contractual maturities of securities available for sale as of December 31, 2025 and June 30, 2025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60" w:type="dxa"/>
            <w:vAlign w:val="bottom"/>
          </w:tcPr>
          <w:p>
            <w:pPr>
              <w:spacing w:after="0"/>
              <w:rPr>
                <w:sz w:val="13"/>
                <w:szCs w:val="13"/>
                <w:color w:val="auto"/>
              </w:rPr>
            </w:pPr>
          </w:p>
        </w:tc>
        <w:tc>
          <w:tcPr>
            <w:tcW w:w="2580" w:type="dxa"/>
            <w:vAlign w:val="bottom"/>
            <w:gridSpan w:val="9"/>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tcBorders>
              <w:top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4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8"/>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8"/>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39,008</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264,199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139,325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Agency bonds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349,429</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75,469</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673,109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673,543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892,477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30, 2025, Agency bonds, Commercial paper, and US government bonds included $21.1 million classified as cash and cash equivalents within the interim condensed consolidated balance sheets.</w:t>
      </w:r>
    </w:p>
    <w:p>
      <w:pPr>
        <w:ind w:left="640" w:hanging="308"/>
        <w:spacing w:after="0" w:line="196" w:lineRule="auto"/>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life of expected cash flows as of December 31, 2025 and June 30, 2025.</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Gross proceeds from matured or redeemed securities were $184.4 million and $414.9 million for the three and six months ended December 31, 2025, respectively, and $403.1 million and $706.5 million for the three and six months ended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available for sale securities, no gains and losses were realized for the three and six months ended December 31, 2025 and $0.3 million for both the three and six months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Held at Cost</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Equity security investments without a readily determinable fair value held at cost were $40.4 million and $40.3 million as of December 31, 2025 and June 30, 2025, respectively, and are included in other assets within the interim condensed consolidated balance sheets.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did not record any impairment during the three and six months ended December 31, 2025 or for the three months ended December 31, 2024. We recognized an impairment of $3.0 million for the six months ended December 31, 2024 within other income, net in the interim consolidated statements of operations and comprehensive income (loss) in connection with one of our non-marketable equity security investments.</w:t>
      </w:r>
    </w:p>
    <w:p>
      <w:pPr>
        <w:spacing w:after="0" w:line="2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December 31, 2025, there were no upward or downward adjustments due to observable changes in orderly transactions. For the three and six months ended December 31, 2024, we recognized an upward adjustment of $2.4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fair value, including interest accruals, and outstanding notional amounts of derivative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June 30, 2025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80" w:type="dxa"/>
            <w:vAlign w:val="bottom"/>
          </w:tcPr>
          <w:p>
            <w:pPr>
              <w:spacing w:after="0"/>
              <w:rPr>
                <w:sz w:val="14"/>
                <w:szCs w:val="14"/>
                <w:color w:val="auto"/>
              </w:rPr>
            </w:pPr>
          </w:p>
        </w:tc>
        <w:tc>
          <w:tcPr>
            <w:tcW w:w="10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0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r>
      <w:tr>
        <w:trPr>
          <w:trHeight w:val="241"/>
        </w:trPr>
        <w:tc>
          <w:tcPr>
            <w:tcW w:w="3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2"/>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10,225,492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derivative assets/liabilities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11,250,492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9,066,783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impact of the cash flow hedges on Accumulated Other Comprehensive Income (“AOCI”)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68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08"/>
        </w:trPr>
        <w:tc>
          <w:tcPr>
            <w:tcW w:w="5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reclassified into earnings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55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at end of period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240" w:hanging="328"/>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into earnings are presented in the interim condensed consolidated statements of operations and comprehensive income (loss) within funding costs.</w:t>
      </w:r>
    </w:p>
    <w:p>
      <w:pPr>
        <w:ind w:left="660" w:right="240" w:hanging="328"/>
        <w:spacing w:after="0" w:line="21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2025, we estimated that $0.4 million of net derivative losses included in AOCI are expected to be reclassified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impact of the derivative instruments on income and indicates where within the interim consolidated statements of operations and comprehensive income (loss) such impact is reported (in thousands):</w:t>
      </w:r>
    </w:p>
    <w:p>
      <w:pPr>
        <w:sectPr>
          <w:pgSz w:w="11900" w:h="16838" w:orient="portrait"/>
          <w:cols w:equalWidth="0" w:num="1">
            <w:col w:w="11240"/>
          </w:cols>
          <w:pgMar w:left="320" w:top="121" w:right="339" w:bottom="1440" w:gutter="0" w:footer="0" w:header="0"/>
        </w:sect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Location of gains (losses) where the</w:t>
            </w:r>
          </w:p>
        </w:tc>
      </w:tr>
      <w:tr>
        <w:trPr>
          <w:trHeight w:val="238"/>
        </w:trPr>
        <w:tc>
          <w:tcPr>
            <w:tcW w:w="3060" w:type="dxa"/>
            <w:vAlign w:val="bottom"/>
          </w:tcPr>
          <w:p>
            <w:pPr>
              <w:spacing w:after="0"/>
              <w:rPr>
                <w:sz w:val="20"/>
                <w:szCs w:val="20"/>
                <w:color w:val="auto"/>
              </w:rPr>
            </w:pPr>
          </w:p>
        </w:tc>
        <w:tc>
          <w:tcPr>
            <w:tcW w:w="2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effects of derivatives are recorded</w:t>
            </w: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effects of cash flow hedging</w:t>
            </w:r>
          </w:p>
        </w:tc>
        <w:tc>
          <w:tcPr>
            <w:tcW w:w="2820" w:type="dxa"/>
            <w:vAlign w:val="bottom"/>
          </w:tcPr>
          <w:p>
            <w:pPr>
              <w:spacing w:after="0"/>
              <w:rPr>
                <w:sz w:val="18"/>
                <w:szCs w:val="18"/>
                <w:color w:val="auto"/>
              </w:rPr>
            </w:pPr>
          </w:p>
        </w:tc>
      </w:tr>
      <w:tr>
        <w:trPr>
          <w:trHeight w:val="226"/>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Funding costs</w:t>
            </w:r>
          </w:p>
        </w:tc>
      </w:tr>
      <w:tr>
        <w:trPr>
          <w:trHeight w:val="23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effects of derivatives not designated in hedging relationships</w:t>
            </w:r>
          </w:p>
        </w:tc>
      </w:tr>
      <w:tr>
        <w:trPr>
          <w:trHeight w:val="229"/>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34"/>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sharing assets/liabilities</w:t>
            </w:r>
          </w:p>
        </w:tc>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sales of loans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60" w:type="dxa"/>
            <w:vAlign w:val="bottom"/>
            <w:gridSpan w:val="6"/>
          </w:tcPr>
          <w:p>
            <w:pPr>
              <w:jc w:val="center"/>
              <w:ind w:right="80"/>
              <w:spacing w:after="0" w:line="185" w:lineRule="exact"/>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41"/>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454"/>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00" w:space="100"/>
            <w:col w:w="5240"/>
          </w:cols>
          <w:pgMar w:left="320" w:top="121" w:right="339" w:bottom="1440" w:gutter="0" w:footer="0" w:header="0"/>
          <w:type w:val="continuous"/>
        </w:sectPr>
      </w:pP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Refer to Note 12. Fair Value of Financial Assets and Liabilities for additional information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December 31, 2025 and June 30, 2025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63,182</w:t>
            </w:r>
          </w:p>
        </w:tc>
        <w:tc>
          <w:tcPr>
            <w:tcW w:w="0" w:type="dxa"/>
            <w:vAlign w:val="bottom"/>
          </w:tcPr>
          <w:p>
            <w:pPr>
              <w:spacing w:after="0"/>
              <w:rPr>
                <w:sz w:val="1"/>
                <w:szCs w:val="1"/>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0" w:type="dxa"/>
            <w:vAlign w:val="bottom"/>
          </w:tcPr>
          <w:p>
            <w:pPr>
              <w:spacing w:after="0"/>
              <w:rPr>
                <w:sz w:val="1"/>
                <w:szCs w:val="1"/>
                <w:color w:val="auto"/>
              </w:rPr>
            </w:pP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0" w:type="dxa"/>
            <w:vAlign w:val="bottom"/>
          </w:tcPr>
          <w:p>
            <w:pPr>
              <w:spacing w:after="0"/>
              <w:rPr>
                <w:sz w:val="1"/>
                <w:szCs w:val="1"/>
                <w:color w:val="auto"/>
              </w:rPr>
            </w:pPr>
          </w:p>
        </w:tc>
      </w:tr>
      <w:tr>
        <w:trPr>
          <w:trHeight w:val="23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0" w:type="dxa"/>
            <w:vAlign w:val="bottom"/>
          </w:tcPr>
          <w:p>
            <w:pPr>
              <w:spacing w:after="0"/>
              <w:rPr>
                <w:sz w:val="1"/>
                <w:szCs w:val="1"/>
                <w:color w:val="auto"/>
              </w:rPr>
            </w:pP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0" w:type="dxa"/>
            <w:vAlign w:val="bottom"/>
          </w:tcPr>
          <w:p>
            <w:pPr>
              <w:spacing w:after="0"/>
              <w:rPr>
                <w:sz w:val="1"/>
                <w:szCs w:val="1"/>
                <w:color w:val="auto"/>
              </w:rPr>
            </w:pP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827,736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 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264,199</w:t>
            </w: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344,434</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Residual interests in structured transactions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1,010,126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June 30, 2025, there were no transfers between levels.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(Level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 and Securities Available for Sale</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held level 2 debt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Instruments</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and June 30, 2025,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11. Derivative Financial Instruments in the notes to the interim condensed consolidated financial statements for further details on our derivative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2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residual interests in structured transactions,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1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significant unobservable inputs, as applicable, were used in the fair value measurement of the Company’s Level 3 assets and liabilities:</w:t>
      </w:r>
    </w:p>
    <w:p>
      <w:pPr>
        <w:spacing w:after="0" w:line="189" w:lineRule="exact"/>
        <w:rPr>
          <w:sz w:val="20"/>
          <w:szCs w:val="20"/>
          <w:color w:val="auto"/>
        </w:rPr>
      </w:pPr>
    </w:p>
    <w:p>
      <w:pPr>
        <w:ind w:left="660" w:right="3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Compensation - The compensation rate is expressed as a percentage of the outstanding loan balance that a willing market participant would require for servicing loans with similar characteristics.</w:t>
      </w:r>
    </w:p>
    <w:p>
      <w:pPr>
        <w:spacing w:after="0" w:line="53"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Rate - The rate used to discount estimated future cash flows to present value in determining fair value. It reflects the rate of return market participants would require to compensate for time value of money plus a premium based on relative risk, liquidity and other market based factors.</w:t>
      </w:r>
    </w:p>
    <w:p>
      <w:pPr>
        <w:spacing w:after="0" w:line="31"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Rate - The estimated annualized rate of charge-offs affecting the projected unpaid principal balance and expected term of the loan portfolio.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Rate - The estimated lifetime rate of loan charge-offs as a percentage of the initial settled principal balance.</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 - The estimated annualized excess loan payment received in a given month as a percentage of the outstanding principal balance at the beginning of the month minus the scheduled principal payment.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Rate - The rate of refunded transactions as a percentage of the outstanding loan balance over the remaining life of the loan portfolio.</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Profitability - The estimated future profit to be shared with enterprise partners as a percentage of total loans outstanding, based on the terms of the respective commercial agreements.</w:t>
      </w:r>
    </w:p>
    <w:p>
      <w:pPr>
        <w:spacing w:after="0" w:line="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or decreases in any of the inputs in isolation could result in a significantly lower or higher fair value measurement.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2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sold loans with an unpaid principal balance of $6.0 billion and $10.9 billion for the three and six months ended December 31, 2025,</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respectively, and $4.6 billion and $7.4 billion for the three and six months ended December 31, 2024, respectively, for which we retained servicing rights.</w:t>
      </w:r>
    </w:p>
    <w:p>
      <w:pPr>
        <w:spacing w:after="0" w:line="24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we serviced loans which we sold with a remaining unpaid principal balance of $9.7 billion and $7.8 billion, respectively. We earned $42.7 million and $82.4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servicing income for the three and six months ended December 31, 2025, respectively, and $28.7 million and $54.7 million for the three and six months ended December 31, 2024, respectively.</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As of December 31, 2025 and June 30, 2025, the aggregate fair value of the servicing assets was measured at $1.0 million and $0.9 million, respectively, and presented within other assets in the interim condensed consolidated balance sheets. The aggregate fair value of the servicing liabilities was immaterial as of December 31, 2025 and June 30,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906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w w:val="96"/>
              </w:rPr>
              <w:t>254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7"/>
              </w:rPr>
              <w:t>(195)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8"/>
                <w:szCs w:val="18"/>
                <w:color w:val="auto"/>
                <w:w w:val="96"/>
              </w:rPr>
              <w:t>965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
        </w:trPr>
        <w:tc>
          <w:tcPr>
            <w:tcW w:w="5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liabilities</w:t>
            </w:r>
          </w:p>
        </w:tc>
        <w:tc>
          <w:tcPr>
            <w:tcW w:w="9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5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servicing assets and liabilities as of December 31, 2025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(1)</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13.24 %</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4"/>
        </w:trPr>
        <w:tc>
          <w:tcPr>
            <w:tcW w:w="29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(1)</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12.04 %</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Adequate Compensation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4"/>
        </w:trPr>
        <w:tc>
          <w:tcPr>
            <w:tcW w:w="29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7"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in the interim condensed consolidated balance sheets. Any changes in the fair value of the liability are reflected in other income, net, in the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paid</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performance fee liability as of December 31, 2025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4"/>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0" w:type="dxa"/>
            <w:vAlign w:val="bottom"/>
          </w:tcPr>
          <w:p>
            <w:pPr>
              <w:spacing w:after="0"/>
              <w:rPr>
                <w:sz w:val="1"/>
                <w:szCs w:val="1"/>
                <w:color w:val="auto"/>
              </w:rPr>
            </w:pPr>
          </w:p>
        </w:tc>
      </w:tr>
      <w:tr>
        <w:trPr>
          <w:trHeight w:val="54"/>
        </w:trPr>
        <w:tc>
          <w:tcPr>
            <w:tcW w:w="6700" w:type="dxa"/>
            <w:vAlign w:val="bottom"/>
            <w:gridSpan w:val="4"/>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8.89%</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29"/>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Rate</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0" w:type="dxa"/>
            <w:vAlign w:val="bottom"/>
          </w:tcPr>
          <w:p>
            <w:pPr>
              <w:spacing w:after="0"/>
              <w:rPr>
                <w:sz w:val="1"/>
                <w:szCs w:val="1"/>
                <w:color w:val="auto"/>
              </w:rPr>
            </w:pPr>
          </w:p>
        </w:tc>
      </w:tr>
      <w:tr>
        <w:trPr>
          <w:trHeight w:val="416"/>
        </w:trPr>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4"/>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0" w:type="dxa"/>
            <w:vAlign w:val="bottom"/>
          </w:tcPr>
          <w:p>
            <w:pPr>
              <w:spacing w:after="0"/>
              <w:rPr>
                <w:sz w:val="1"/>
                <w:szCs w:val="1"/>
                <w:color w:val="auto"/>
              </w:rPr>
            </w:pPr>
          </w:p>
        </w:tc>
      </w:tr>
      <w:tr>
        <w:trPr>
          <w:trHeight w:val="51"/>
        </w:trPr>
        <w:tc>
          <w:tcPr>
            <w:tcW w:w="6700" w:type="dxa"/>
            <w:vAlign w:val="bottom"/>
            <w:gridSpan w:val="4"/>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w:t>
            </w: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29"/>
        </w:trPr>
        <w:tc>
          <w:tcPr>
            <w:tcW w:w="67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Rate</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w:t>
            </w: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4460" w:type="dxa"/>
            <w:vAlign w:val="bottom"/>
            <w:gridSpan w:val="2"/>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(1)</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Loss Rate is net of recoveries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(2)</w:t>
            </w: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Unobservable inputs were weighted by remaining principal balances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 Notes Receivable and Residual Trust Certificates</w:t>
      </w:r>
    </w:p>
    <w:p>
      <w:pPr>
        <w:spacing w:after="0" w:line="254" w:lineRule="exact"/>
        <w:rPr>
          <w:sz w:val="20"/>
          <w:szCs w:val="20"/>
          <w:color w:val="auto"/>
        </w:rPr>
      </w:pPr>
    </w:p>
    <w:p>
      <w:pPr>
        <w:jc w:val="both"/>
        <w:ind w:right="100" w:firstLine="648"/>
        <w:spacing w:after="0" w:line="297" w:lineRule="auto"/>
        <w:rPr>
          <w:sz w:val="20"/>
          <w:szCs w:val="20"/>
          <w:color w:val="auto"/>
        </w:rPr>
      </w:pPr>
      <w:r>
        <w:rPr>
          <w:rFonts w:ascii="Times New Roman" w:cs="Times New Roman" w:eastAsia="Times New Roman" w:hAnsi="Times New Roman"/>
          <w:sz w:val="18"/>
          <w:szCs w:val="18"/>
          <w:color w:val="auto"/>
        </w:rPr>
        <w:t>As of December 31, 2025, we held notes receivable and residual trust certificates with an aggregate fair value of $80.1 million in connection with unconsolidated securitizations. The balances correspond to the 5% economic risk retention we are required to maintain as the securitization sponsor.</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in the interim condensed consolidated balance sheets. Changes in the fair value, other than declines in fair value due to credit recognized as an allowance, are reflected in other comprehensive income in the interim condensed consolidated statements of operations and comprehensive income (loss). Declines in fair value due to credit are reflected in other income, net in the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notes receivable and residual trust certificates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41,943</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(due to payments)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Reversal of (impairment on) securities available for sale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notes receivable and residual trust certificates as of December 31, 2025 and June 30,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55.11%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Default Rate</w:t>
            </w:r>
            <w:r>
              <w:rPr>
                <w:rFonts w:ascii="Times New Roman" w:cs="Times New Roman" w:eastAsia="Times New Roman" w:hAnsi="Times New Roman"/>
                <w:sz w:val="23"/>
                <w:szCs w:val="23"/>
                <w:color w:val="auto"/>
                <w:vertAlign w:val="superscript"/>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8.01%</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321"/>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40" w:type="dxa"/>
            <w:vAlign w:val="bottom"/>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(2)</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30.29%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6.89%</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7.65%</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24.85%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cumulative loss relative to the outstanding balance as of December 31, 2025</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notes receivable and residual trust certificates given hypothetical changes in significant unobservable inputs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change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change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Residual Interests in Structured Transactions</w:t>
      </w:r>
    </w:p>
    <w:p>
      <w:pPr>
        <w:spacing w:after="0" w:line="2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held residual interests in structured transactions with an aggregate fair value of $5.4 million in connection with certain forward flow loan sale transactions.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in the interim condensed consolidated balance sheets. Changes in the fair value, except for credit impairments, are reflected in other comprehensive income in the interim condensed consolidated statements of operations and comprehensive income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assets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December</w:t>
            </w:r>
          </w:p>
        </w:tc>
      </w:tr>
      <w:tr>
        <w:trPr>
          <w:trHeight w:val="214"/>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60" w:type="dxa"/>
            <w:vAlign w:val="bottom"/>
          </w:tcPr>
          <w:p>
            <w:pPr>
              <w:spacing w:after="0"/>
              <w:rPr>
                <w:sz w:val="18"/>
                <w:szCs w:val="18"/>
                <w:color w:val="auto"/>
              </w:rPr>
            </w:pPr>
          </w:p>
        </w:tc>
        <w:tc>
          <w:tcPr>
            <w:tcW w:w="1700" w:type="dxa"/>
            <w:vAlign w:val="bottom"/>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31, 2025</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the end of period</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residual interests are the discount rate, loss rate, and</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prepayment rate. Significant increases or decreases in any of the inputs in isolation could result in a significantly lower or higher fair value measurement.</w:t>
      </w:r>
    </w:p>
    <w:p>
      <w:pPr>
        <w:spacing w:after="0" w:line="23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residual interests in structured transactions as of December 31, 2025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3"/>
        </w:trPr>
        <w:tc>
          <w:tcPr>
            <w:tcW w:w="6700" w:type="dxa"/>
            <w:vAlign w:val="bottom"/>
            <w:gridSpan w:val="2"/>
            <w:vMerge w:val="continue"/>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9.31%</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47.89%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3"/>
        </w:trPr>
        <w:tc>
          <w:tcPr>
            <w:tcW w:w="6700" w:type="dxa"/>
            <w:vAlign w:val="bottom"/>
            <w:gridSpan w:val="2"/>
            <w:vMerge w:val="continue"/>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48.85%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residual interests in structured transactions given hypothetical changes in significant unobservable inputs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2"/>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Default Rate increase of 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Rate increase of 40%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 Share Liability</w:t>
      </w:r>
    </w:p>
    <w:p>
      <w:pPr>
        <w:spacing w:after="0" w:line="2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commercial agreements with certain enterprise partners, in which we are obligated to share in the profitability of transactions facilitated by our platform. Upon capture of a loan under these programs, we record a liability associated with the estimated future profit to be shared over the life of the loan based on estimated profitability levels of each program. The liability is measured using a discounted cash flow model and recorded at fair value and presented within accrued expenses and other liabilities in the interim condensed consolidated balance sheets.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profit share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w w:val="98"/>
              </w:rPr>
              <w:t>9,323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Facilitation of loans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w w:val="98"/>
              </w:rPr>
              <w:t>3,822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performance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8"/>
              </w:rPr>
              <w:t>(9,596)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w w:val="98"/>
              </w:rPr>
              <w:t>1,164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w w:val="98"/>
              </w:rPr>
              <w:t>4,713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profit sharing liability as of December 31, 2025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00" w:type="dxa"/>
            <w:vAlign w:val="bottom"/>
            <w:tcBorders>
              <w:bottom w:val="single" w:sz="8" w:color="auto"/>
            </w:tcBorders>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00" w:type="dxa"/>
            <w:vAlign w:val="bottom"/>
          </w:tcPr>
          <w:p>
            <w:pPr>
              <w:ind w:left="1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2.81%</w:t>
            </w:r>
          </w:p>
        </w:tc>
      </w:tr>
      <w:tr>
        <w:trPr>
          <w:trHeight w:val="330"/>
        </w:trPr>
        <w:tc>
          <w:tcPr>
            <w:tcW w:w="6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20" w:type="dxa"/>
            <w:vAlign w:val="bottom"/>
            <w:tcBorders>
              <w:bottom w:val="single" w:sz="8" w:color="auto"/>
            </w:tcBorders>
          </w:tcPr>
          <w:p>
            <w:pPr>
              <w:spacing w:after="0"/>
              <w:rPr>
                <w:sz w:val="24"/>
                <w:szCs w:val="24"/>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1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relative fair value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Sharing Arrangements</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certain capital funding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account for these arrangements as derivatives measured at fair value with gains and losses recognized in gain on sales of loans in our interim condensed consolidated statements of operations and comprehensive income (loss). For each counterparty, we have recognized a net asset or net liability based on the estimated fair value of future payments we expect to receive from or make to the counterparty. As of December 31, 2025, we estimated the fair value of future settlements using a discounted cash flow model.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33,884</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settlements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9"/>
              </w:rPr>
              <w:t>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settlements</w:t>
            </w:r>
          </w:p>
        </w:tc>
        <w:tc>
          <w:tcPr>
            <w:tcW w:w="9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left="693"/>
              <w:spacing w:after="0"/>
              <w:rPr>
                <w:sz w:val="20"/>
                <w:szCs w:val="20"/>
                <w:color w:val="auto"/>
              </w:rPr>
            </w:pPr>
            <w:r>
              <w:rPr>
                <w:rFonts w:ascii="Times New Roman" w:cs="Times New Roman" w:eastAsia="Times New Roman" w:hAnsi="Times New Roman"/>
                <w:sz w:val="18"/>
                <w:szCs w:val="18"/>
                <w:color w:val="auto"/>
                <w:w w:val="99"/>
              </w:rPr>
              <w:t>(90)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0"/>
        </w:trPr>
        <w:tc>
          <w:tcPr>
            <w:tcW w:w="5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risk sharing arrangements as of December 31, 2025 and June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60" w:type="dxa"/>
            <w:vAlign w:val="bottom"/>
            <w:tcBorders>
              <w:bottom w:val="single" w:sz="8" w:color="auto"/>
            </w:tcBorders>
          </w:tcPr>
          <w:p>
            <w:pPr>
              <w:spacing w:after="0"/>
              <w:rPr>
                <w:sz w:val="18"/>
                <w:szCs w:val="18"/>
                <w:color w:val="auto"/>
              </w:rPr>
            </w:pPr>
          </w:p>
        </w:tc>
      </w:tr>
      <w:tr>
        <w:trPr>
          <w:trHeight w:val="212"/>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17.68%</w:t>
            </w:r>
          </w:p>
        </w:tc>
      </w:tr>
      <w:tr>
        <w:trPr>
          <w:trHeight w:val="229"/>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3.34%</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4.94%</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20.96%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19.68%</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r>
      <w:tr>
        <w:trPr>
          <w:trHeight w:val="564"/>
        </w:trPr>
        <w:tc>
          <w:tcPr>
            <w:tcW w:w="31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60" w:type="dxa"/>
            <w:vAlign w:val="bottom"/>
            <w:tcBorders>
              <w:bottom w:val="single" w:sz="8" w:color="auto"/>
            </w:tcBorders>
          </w:tcPr>
          <w:p>
            <w:pPr>
              <w:spacing w:after="0"/>
              <w:rPr>
                <w:sz w:val="24"/>
                <w:szCs w:val="24"/>
                <w:color w:val="auto"/>
              </w:rPr>
            </w:pPr>
          </w:p>
        </w:tc>
      </w:tr>
      <w:tr>
        <w:trPr>
          <w:trHeight w:val="212"/>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4.91%</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22.89%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21.34%</w:t>
            </w: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principal balance of loans sold under each cohort</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0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256" w:lineRule="exact"/>
        <w:rPr>
          <w:sz w:val="20"/>
          <w:szCs w:val="20"/>
          <w:color w:val="auto"/>
        </w:rPr>
      </w:pPr>
    </w:p>
    <w:p>
      <w:pPr>
        <w:ind w:right="6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fair value and our assessment of the classification of this measurement within the fair value hierarchy for financial assets and liabilities held at amortized cost as of December 31, 2025 and June 30,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8,970,675</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8,295,445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8,970,675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8,970,681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1,241,762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1,241,762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4,866,377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debt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3,064,040</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9,172,179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debt</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Borders>
              <w:top w:val="single" w:sz="8" w:color="auto"/>
            </w:tcBorders>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80" w:type="dxa"/>
            <w:vAlign w:val="bottom"/>
            <w:tcBorders>
              <w:top w:val="single" w:sz="8" w:color="auto"/>
            </w:tcBorders>
            <w:vMerge w:val="restart"/>
          </w:tcPr>
          <w:p>
            <w:pPr>
              <w:spacing w:after="0"/>
              <w:rPr>
                <w:sz w:val="14"/>
                <w:szCs w:val="14"/>
                <w:color w:val="auto"/>
              </w:rPr>
            </w:pPr>
          </w:p>
        </w:tc>
        <w:tc>
          <w:tcPr>
            <w:tcW w:w="106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top w:val="single" w:sz="8" w:color="auto"/>
            </w:tcBorders>
            <w:vMerge w:val="restart"/>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top w:val="single" w:sz="8" w:color="auto"/>
            </w:tcBorders>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2"/>
              <w:spacing w:after="0" w:line="161"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14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441"/>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6,628,606</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0" w:type="dxa"/>
            <w:vAlign w:val="bottom"/>
          </w:tcPr>
          <w:p>
            <w:pPr>
              <w:spacing w:after="0"/>
              <w:rPr>
                <w:sz w:val="1"/>
                <w:szCs w:val="1"/>
                <w:color w:val="auto"/>
              </w:rPr>
            </w:pPr>
          </w:p>
        </w:tc>
      </w:tr>
      <w:tr>
        <w:trPr>
          <w:trHeight w:val="223"/>
        </w:trPr>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6,628,606</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7,085,840</w:t>
            </w: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80" w:type="dxa"/>
            <w:vAlign w:val="bottom"/>
          </w:tcPr>
          <w:p>
            <w:pPr>
              <w:spacing w:after="0"/>
              <w:rPr>
                <w:sz w:val="24"/>
                <w:szCs w:val="24"/>
                <w:color w:val="auto"/>
              </w:rPr>
            </w:pP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1,205,287</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1,205,287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4,833,855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4,868,980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1,622,808</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1,640,765</w:t>
            </w:r>
          </w:p>
        </w:tc>
        <w:tc>
          <w:tcPr>
            <w:tcW w:w="0" w:type="dxa"/>
            <w:vAlign w:val="bottom"/>
          </w:tcPr>
          <w:p>
            <w:pPr>
              <w:spacing w:after="0"/>
              <w:rPr>
                <w:sz w:val="1"/>
                <w:szCs w:val="1"/>
                <w:color w:val="auto"/>
              </w:rPr>
            </w:pPr>
          </w:p>
        </w:tc>
      </w:tr>
      <w:tr>
        <w:trPr>
          <w:trHeight w:val="223"/>
        </w:trPr>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7,609,663</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1,205,287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6,509,745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7,715,032</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-1233805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-942340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-625475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-334010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121" w:right="339" w:bottom="1440" w:gutter="0" w:footer="0" w:header="0"/>
        </w:sectPr>
      </w:pPr>
    </w:p>
    <w:p>
      <w:pPr>
        <w:spacing w:after="0" w:line="146" w:lineRule="exact"/>
        <w:rPr>
          <w:sz w:val="20"/>
          <w:szCs w:val="20"/>
          <w:color w:val="auto"/>
        </w:rPr>
      </w:pPr>
    </w:p>
    <w:p>
      <w:pPr>
        <w:ind w:left="660" w:right="80" w:hanging="328"/>
        <w:spacing w:after="0" w:line="243" w:lineRule="auto"/>
        <w:tabs>
          <w:tab w:leader="none" w:pos="648" w:val="left"/>
        </w:tabs>
        <w:numPr>
          <w:ilvl w:val="1"/>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2025, includes convertible senior notes due 2026 with a carrying amount and fair value of $220.9 million and $211.4 million, respectively, and convertible senior notes due 2029 with a carrying amount and fair value of $906.8 million and $1.0 billion, respectively. As of June 30, 2025, includes convertible senior notes due 2026 with a carrying amount and fair value of $247.9 million and $232.7 million, respectively, and convertible senior notes due 2029 with a carrying amount and fair value of $905.1 million and $972.6 million, respectively. The estimated fair value of the convertible senior notes is determined based on a market approach, using the estimated or actual bids and offers of the notes in an over-the-counter market on the last business day of the period.</w:t>
      </w:r>
    </w:p>
    <w:p>
      <w:pPr>
        <w:spacing w:after="0" w:line="219"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shares of common stock reserved for issuance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equity compensation plans</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34,868,631</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39,122,013</w:t>
            </w:r>
          </w:p>
        </w:tc>
      </w:tr>
      <w:tr>
        <w:trPr>
          <w:trHeight w:val="230"/>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equity compensation plans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67,415,813</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53,851,610</w:t>
            </w:r>
          </w:p>
        </w:tc>
      </w:tr>
      <w:tr>
        <w:trPr>
          <w:trHeight w:val="248"/>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102,284,444</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92,973,623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warrants are included as a component of additional paid in capital within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November 2025, in connection with the execution of an amended commercial agreement with Amazon, we modified the exercise price of the warrants vesting February 2026 and thereafter from $100 per share to $63.06 per share</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The fair value of the warrants was remeasured as of the modification date using the Black Scholes-Merton option pricing model with the following assumptions: a dividend yield of zero; remaining years to maturity of 3.6; volatility of 94%; and a risk-free rate of 3.63%. The remaining fair value of the warrants, including the incremental cost resulting from the modification, will be recognized within our consolidated statements of operations and comprehensive income (loss) as a component of sales and marketing expense as the warrants vest, based upon Amazon’s satisfaction of the vesting conditions.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December 31, 2025, we recognized $61.2 million and $102.2 million, respectively, within sales and marketing expense, compared to $86.8 million and $194.0 million for the three and six months ended December 31, 2024, respectively, based upon the grant-date fair value of the warrant shares that vested. Refer to Note 5. Balance Sheet Components for more information on the commercial agreement asset recognized in connection with the warrants and the related amortization.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for the six months ended 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9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 Average Exercise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Price ($)</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 (years)</w:t>
            </w:r>
          </w:p>
        </w:tc>
        <w:tc>
          <w:tcPr>
            <w:tcW w:w="0" w:type="dxa"/>
            <w:vAlign w:val="bottom"/>
          </w:tcPr>
          <w:p>
            <w:pPr>
              <w:spacing w:after="0"/>
              <w:rPr>
                <w:sz w:val="1"/>
                <w:szCs w:val="1"/>
                <w:color w:val="auto"/>
              </w:rPr>
            </w:pPr>
          </w:p>
        </w:tc>
      </w:tr>
      <w:tr>
        <w:trPr>
          <w:trHeight w:val="22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June 30, 2025</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$81.08</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December 31, 2025</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$68.78</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2025</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12,147,629</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$71.19</w:t>
            </w:r>
          </w:p>
        </w:tc>
        <w:tc>
          <w:tcPr>
            <w:tcW w:w="1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expense related to the unvested warrants was approximately $519.5 million, which is expected to be recognized over a remaining weighted-average period of 2.9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share repurchases during the three and six months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Plan</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our Amended and Restated 2012 Stock Plan (the “Plan”), we may grant incentive and nonqualified stock options, restricted stock, restricted stock units (“RSUs”), and performance stock units (“PSUs”) to employees, officers, directors, and consultants. As of December 31, 2025, the maximum number of shares of common stock which may be issued under the Plan is 192,859,800 Class A shares and there were 67,415,813 shares of Class A common stock available for future grants under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Stock option awards generally vest over a period of four years, with some awards vesting 25% on the 12 month anniversary of the vesting commencement date and the remaining 75% vesting ratably over the next three years. The contractual term is 10 years from the date of grant, or three months after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12,955,978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10,849,088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9,362,226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529,250</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Vested and exercisable, and expected to vest thereafter</w:t>
            </w:r>
            <w:r>
              <w:rPr>
                <w:rFonts w:ascii="Times New Roman" w:cs="Times New Roman" w:eastAsia="Times New Roman" w:hAnsi="Times New Roman"/>
                <w:sz w:val="20"/>
                <w:szCs w:val="20"/>
                <w:color w:val="auto"/>
                <w:vertAlign w:val="superscript"/>
              </w:rPr>
              <w:t>(1)</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10,847,762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expected to vest reflect the application of an estimated forfeiture rate.</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six months ended December 31, 2025. As of December 31, 2025, unrecognized compensation expense related to unvested stock options was approximately $27.7 million, which is expected to be recognized over a remaining weighted-average period of 1.8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Award</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November 2020,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We incurred stock-based compensation expense of $5.5 million and $11.0 million during the three and six months ended December 31, 2025, respectively, and $12.4 million and $24.7 million during the three and six months ended December 31, 2024, respectively, associated with the Value Creation Award as a component of general and administrative expense within the interim condensed consolidated statements of operations and comprehensive income (loss).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Value Creation Award activity for the six months ended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(1,333,332)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2025</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5.04</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67,813</w:t>
            </w:r>
          </w:p>
        </w:tc>
        <w:tc>
          <w:tcPr>
            <w:tcW w:w="0" w:type="dxa"/>
            <w:vAlign w:val="bottom"/>
          </w:tcPr>
          <w:p>
            <w:pPr>
              <w:spacing w:after="0" w:line="20" w:lineRule="exact"/>
              <w:rPr>
                <w:sz w:val="1"/>
                <w:szCs w:val="1"/>
                <w:color w:val="auto"/>
              </w:rPr>
            </w:pPr>
          </w:p>
        </w:tc>
      </w:tr>
      <w:tr>
        <w:trPr>
          <w:trHeight w:val="208"/>
        </w:trPr>
        <w:tc>
          <w:tcPr>
            <w:tcW w:w="424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2,666,668</w:t>
            </w:r>
          </w:p>
        </w:tc>
        <w:tc>
          <w:tcPr>
            <w:tcW w:w="26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expense related to the Value Creation Award was approximately $0.8 million, which is expected to be recognized during the fiscal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RSUs are subject to a service-based vesting condition. We record stock-based compensation expense for service-based RSUs on a straight-line basis over the requisite service period, which is generally one to three years.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six months ended December 31, 2025:</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4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8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0" w:type="dxa"/>
            <w:vAlign w:val="bottom"/>
          </w:tcPr>
          <w:p>
            <w:pPr>
              <w:spacing w:after="0"/>
              <w:rPr>
                <w:sz w:val="1"/>
                <w:szCs w:val="1"/>
                <w:color w:val="auto"/>
              </w:rPr>
            </w:pPr>
          </w:p>
        </w:tc>
      </w:tr>
      <w:tr>
        <w:trPr>
          <w:trHeight w:val="214"/>
        </w:trPr>
        <w:tc>
          <w:tcPr>
            <w:tcW w:w="648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13,666,035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5,993,867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(6,176,746)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(893,037)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12,590,119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expense related to unvested RSUs was approximately $527.8 million, which is expected to be recognized over a remaining weighted-average period of 1.5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2025, we began granting PSUs to select executives and employees. Vesting is contingent upon completion of a continuous three-year service period and the achievement of company financial performance goals, including target growth rates for revenue less transaction costs and adjusted operating income. The number of shares that vest at the end of the performance period will range between 0% and 200% of the target shares based on actual performance against the applicable targets, which will be measured at the end of each fiscal year and averaged at the end of the three-year period. We record stock-based compensation expense for the number of PSUs that are probable of vesting based on the estimated achievement of the performance conditions. If the minimum conditions are not met, any recognized compensation cost will be reversed. The expense is recognized on a straight-line basis over the three-year period.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PSU activity during the six months ended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10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expense related to unvested PSUs was approximately $25.6 million, which is expected to be recognized over a remaining weighted-average period of 2.5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19.1 million shares of Class A common stock are reserved and available for issuance under the ESPP and 2.2 million shares have been issued as of December 31, 2025. The ESPP provides for six-month offering periods beginning December 1 and June 1 of each year. At the end of each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120,524</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49,648</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180,331</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94,186</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274,517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20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2025, we recorded income tax expense (benefit) of $3.7 million and $6.0 million, respectively, which was primarily attributable to various foreign income taxes. For the three and six months ended December 31, 2024, we recorded income tax expense (benefit) of $2.5 million and $4.4 million, respectively, which was primarily attributable to various U.S state and foreign income taxes.</w:t>
      </w:r>
    </w:p>
    <w:p>
      <w:pPr>
        <w:spacing w:after="0" w:line="203"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As of December 31, 2025, we continue to recognize a full valuation allowance against our U.S. federal and state and certain foreign net deferred tax assets. We will release the domestic valuation allowance when there is sufficient positive evidence to support a conclusion that it is more likely than not the deferred tax assets will be realized. Recent earnings performance has improved the mix of positive versus negative evidence, and if these trends were to continue, we expect that additional positive evidence may be available within our fiscal year ending June 30, 2026 to support the release of a significant portion of the domestic valuation allowance. The timing and amount of any valuation allowance release is subject to change based on multiple factors, including our level of profitability and the extent to which we believe we can sustain it over time. Release of any portion of the valuation allowance would result in the recognition of certain deferred tax assets with a potential corresponding decrease to income tax expense for the period the release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(Loss) per Share Attributable to Common Stockholders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basic and diluted net income (loss) per share attributable to common stockholders for Class A and Class B common stock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attributable to common stockholders -</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113,805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0" w:type="dxa"/>
            <w:vAlign w:val="bottom"/>
          </w:tcPr>
          <w:p>
            <w:pPr>
              <w:spacing w:after="0"/>
              <w:rPr>
                <w:sz w:val="1"/>
                <w:szCs w:val="1"/>
                <w:color w:val="auto"/>
              </w:rPr>
            </w:pPr>
          </w:p>
        </w:tc>
      </w:tr>
      <w:tr>
        <w:trPr>
          <w:trHeight w:val="156"/>
        </w:trPr>
        <w:tc>
          <w:tcPr>
            <w:tcW w:w="42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attributable to common stockholders -</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185,734</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293,563,836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40,706,914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291,535,791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40,718,687</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stock equivalents: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6,561,719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7,682,217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8,173,175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creation award vested shares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3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308,658,848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40,706,914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308,103,396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40,718,687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34"/>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573"/>
        </w:trPr>
        <w:tc>
          <w:tcPr>
            <w:tcW w:w="4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basic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155"/>
        </w:trPr>
        <w:tc>
          <w:tcPr>
            <w:tcW w:w="42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70,672</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280,666,562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277,776,478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42,481,967</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stock equivalents: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11,983,390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10,241,926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creation award vested shares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303,580,796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41,615,772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277,776,478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42,481,967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income (loss) per share attributable to common stockholders because their inclusion would have been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8,647,629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6,278,501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8,647,629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6,278,501</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773,998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532,903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20,685,982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906,767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162,014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14,260,228</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creation award vested shares</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9,554,485</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8,148,887</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9,554,485</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45,414,332</w:t>
            </w:r>
          </w:p>
        </w:tc>
      </w:tr>
      <w:tr>
        <w:trPr>
          <w:trHeight w:val="21"/>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is managed on a consolidated basis as a single operating and reportable segment. This reflects the way in which our Chief Operating Decision Maker (“CODM”), the Chief Executive Officer of Affirm Holdings, Inc., regularly reviews internally reported financial information. Net income is the primary measure of segment profit and loss reviewed by the CODM. Net income is used in the budget and forecast process, to assess business performance, and to make decisions on strategy and resource allocation.</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CODM is regularly provided with the consolidated expenses presented within the interim condensed consolidated statement of operations and comprehensive income (loss). Refer to the interim condensed consolidated statement of operations and comprehensive income (loss) for further information related to our revenues, expenses, and net income.</w:t>
      </w:r>
    </w:p>
    <w:p>
      <w:pPr>
        <w:spacing w:after="0" w:line="20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Refer to the interim condensed consolidated statement of cash flows for further information related to significant noncash items including depreciation and amortization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than the amounts presented within the interim condensed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3. Revenue for further information on the types of products and services the Company derives its revenues from.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of Annual Equity Award to Founder and Chief Executive Officer</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January 13, 2026, at the recommendation of its Compensation Committee, the Board of Directors approved the grant of an equity award under the Company’s Amended and Restated 2012 Stock Plan consisting of PSUs that vest into shares of the Company’s Class A Common Stock, par value $0.00001 per share, to Max Levchin, its Founder and Chief Executive Officer. The grant consisted of 333,667 PSUs (the “PSU Grant”).</w:t>
      </w:r>
    </w:p>
    <w:p>
      <w:pPr>
        <w:spacing w:after="0" w:line="20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PSU Grant vesting conditions align with those applicable to the grants of PSUs awarded to the Company’s other executive officers in September 2025. Refer to Note 14. Equity Incentive Plans in the notes to the interim condensed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2025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spacing w:after="0" w:line="13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consumer acquisition tools. Our solutions empower merchants to more efficiently promote and sell their products, optimize their consumer acquisition strategies, and drive incremental sales. We also provide valuable product-level data and insights — information that merchants cannot easily get elsewhere — to better inform their strategies. Finally, for consumers, our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a loan, manage payments, open a high-yield savings account, and access a personalized marketplace.</w:t>
      </w:r>
    </w:p>
    <w:p>
      <w:pPr>
        <w:spacing w:after="0" w:line="14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bottom w:val="single" w:sz="8" w:color="auto"/>
            </w:tcBorders>
            <w:gridSpan w:val="2"/>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1,123,019</w:t>
            </w:r>
          </w:p>
        </w:tc>
        <w:tc>
          <w:tcPr>
            <w:tcW w:w="4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866,381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256,638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2,056,357</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1,564,861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491,496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31 %</w:t>
            </w:r>
          </w:p>
        </w:tc>
        <w:tc>
          <w:tcPr>
            <w:tcW w:w="0" w:type="dxa"/>
            <w:vAlign w:val="bottom"/>
          </w:tcPr>
          <w:p>
            <w:pPr>
              <w:spacing w:after="0"/>
              <w:rPr>
                <w:sz w:val="1"/>
                <w:szCs w:val="1"/>
                <w:color w:val="auto"/>
              </w:rPr>
            </w:pPr>
          </w:p>
        </w:tc>
      </w:tr>
      <w:tr>
        <w:trPr>
          <w:trHeight w:val="208"/>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1,005,393</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870,703</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134,690</w:t>
            </w:r>
          </w:p>
        </w:tc>
        <w:tc>
          <w:tcPr>
            <w:tcW w:w="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15 %</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1,875,070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1,701,805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173,265</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10 %</w:t>
            </w:r>
          </w:p>
        </w:tc>
        <w:tc>
          <w:tcPr>
            <w:tcW w:w="0" w:type="dxa"/>
            <w:vAlign w:val="bottom"/>
          </w:tcPr>
          <w:p>
            <w:pPr>
              <w:spacing w:after="0"/>
              <w:rPr>
                <w:sz w:val="1"/>
                <w:szCs w:val="1"/>
                <w:color w:val="auto"/>
              </w:rPr>
            </w:pPr>
          </w:p>
        </w:tc>
      </w:tr>
      <w:tr>
        <w:trPr>
          <w:trHeight w:val="211"/>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117,626</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121,948</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181,287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318,231</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87,181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(71,569)</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(86,513)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145"/>
        </w:trPr>
        <w:tc>
          <w:tcPr>
            <w:tcW w:w="192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Income (loss) before</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133,238</w:t>
            </w:r>
          </w:p>
        </w:tc>
        <w:tc>
          <w:tcPr>
            <w:tcW w:w="400" w:type="dxa"/>
            <w:vAlign w:val="bottom"/>
            <w:gridSpan w:val="3"/>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82,859</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50,379</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61 %</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216,257</w:t>
            </w:r>
          </w:p>
        </w:tc>
        <w:tc>
          <w:tcPr>
            <w:tcW w:w="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(15,461)</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231,718</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line="361" w:lineRule="exact"/>
              <w:rPr>
                <w:sz w:val="20"/>
                <w:szCs w:val="20"/>
                <w:color w:val="auto"/>
              </w:rPr>
            </w:pPr>
            <w:r>
              <w:rPr>
                <w:rFonts w:ascii="Times New Roman" w:cs="Times New Roman" w:eastAsia="Times New Roman" w:hAnsi="Times New Roman"/>
                <w:sz w:val="32"/>
                <w:szCs w:val="32"/>
                <w:b w:val="1"/>
                <w:bCs w:val="1"/>
                <w:color w:val="auto"/>
                <w:vertAlign w:val="subscript"/>
              </w:rPr>
              <w:t>NM</w:t>
            </w:r>
            <w:r>
              <w:rPr>
                <w:rFonts w:ascii="Times New Roman" w:cs="Times New Roman" w:eastAsia="Times New Roman" w:hAnsi="Times New Roman"/>
                <w:sz w:val="11"/>
                <w:szCs w:val="11"/>
                <w:b w:val="1"/>
                <w:bCs w:val="1"/>
                <w:color w:val="auto"/>
              </w:rPr>
              <w:t xml:space="preserve"> (1)</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129,586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80,360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49,226</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210,280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230,142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141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 meaningful (“NM”)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three main loan product offerings: Pay-in-X, 0% annual percentage rate (“APR”) monthly installment loans and interest-bearing monthly installment loans. Pay-in-X primarily consists of short-term payment plans with one to four 0% APR installments.</w:t>
      </w:r>
    </w:p>
    <w:p>
      <w:pPr>
        <w:spacing w:after="0" w:line="135"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18"/>
          <w:szCs w:val="18"/>
          <w:color w:val="auto"/>
        </w:rPr>
        <w:t>From merchants, we typically earn a fee when we help them convert a sale and facilitate a transaction. Merchant fees depend on the individual arrangement between us and each merchant and vary based on the terms of the product offering; we generally earn larger merchant fees on 0% APR financing products. For the three and six months ended December 31, 2025, Pay-in-X represented 17% and 16%, respectively, of total GMV facilitated through our platform while 0% APR installment loans represented 15% for both the three and six months ended December 31, 2025. For the three and six months ended December 31, 2024, Pay-in-X represented 15% and 14%, respectively, of total GMV facilitated through our platform while 0% APR installment loans represented 13% and 12%, respectively.</w:t>
      </w:r>
    </w:p>
    <w:p>
      <w:pPr>
        <w:spacing w:after="0" w:line="15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 For the three and six months ended December 31, 2025, interest bearing loans represented 67% and 69%, respectively, of total GMV facilitated through our platform. For the three and six months ended December 31, 2024, interest bearing loans represented 72% and 73%, respectively, of total GMV facilitated through our platform.</w:t>
      </w:r>
    </w:p>
    <w:p>
      <w:pPr>
        <w:spacing w:after="0" w:line="15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one-time-use virtual cards directly to consumers through our app, allowing them to shop with merchants that may not yet be fully integrated with Affirm. Similarly, we also facilitate the issuance of the Affirm Card, a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7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interim condensed consolidated financial statements for more information on the performance fee liability.</w:t>
      </w:r>
    </w:p>
    <w:p>
      <w:pPr>
        <w:spacing w:after="0" w:line="23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the U.K., and across most states in the U.S. through our consolidated subsidiaries. For the three and six months ended December 31, 2025, we directly originated approximately $2.8 billion, or 20%, and $4.7 billion, or 19%, respectively, of loans compared to approximately $1.7 billion, or 17%, and $3.0 billion, or 17%, for the same periods in 2024.</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act as the servicer on all loans that we originate directly or purchase from our originating bank partners and earn a servicing fee on loans held by third parties, including bank partners prior to loan purchase and third-party loan buyers if subsequently sold as part of our funding strategy. In the normal course of business, we do not sell the servicing rights on any of the loans. To allow for flexible staffing to support overflow and seasonal traffic, we partner with several sub-servicers to manage consumer care, first priority collections, and third-party collections in accordance with our policies and procedures.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2025, as updated from time to time in our filings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20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variable funding notes, forward flow arrangements, and partnerships with banks. Given the short duration and strong performance of our assets, funding can be recycled quickly, resulting in a high-velocity, capital efficient funding model. As of December 31, 2025 and June 30, 2025, our equity capital as a percentage of our total platform portfolio, defined as the unpaid principal balance of all loans facilitated through our platform, was 5% and 4%, respectively.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189"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The shifts in merchant volumes and products offered in any period affect our operating results. These shifts impact GMV, revenue, our financial results, and our key operating metric performance for that period. Differences in loan product mix result in varying loan terms, APRs, and payment frequencies.</w:t>
      </w:r>
    </w:p>
    <w:p>
      <w:pPr>
        <w:spacing w:after="0" w:line="14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Product and economic terms of commercial agreements vary among our merchants, which may impact our results.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revenue as a percentage of GMV may vary.</w:t>
      </w:r>
    </w:p>
    <w:p>
      <w:pPr>
        <w:spacing w:after="0" w:line="14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Additionally, our commercial agreements with our platform partners, the expansion of our consumer eligibility criteria, along with the growing repeat usage of our Affirm Card offerings, are driving an increase in low AOV transactions. As a result, while we expect that transactions per active consumer may increase, revenue as a percentage of GMV may decline in the medium term to the extent that a greater portion of our GMV comes from Affirm Card and other low-AOV offerings.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0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experience seasonal fluctuations in our business as a result of consumer spending patterns, including Affirm Card, which we expect to mimic the seasonality of our general business in the near term. Historically, our GMV has been the strongest during our fiscal second quarter due to increases in retail commerce during the holiday season and our loan delinquencies are at their lowest during our fiscal third and fourth quarter, as consumer savings benefit from tax refunds. Adverse events that occur during our second fiscal quarter could have a disproportionate effect on our financial results for the fiscal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2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regularly monitor the direct and indirect impacts of the current macroeconomic conditions on our business, financial condition, and results of operations. Following the Federal Reserve’s decision to begin reducing the federal funds interest rate in September 2024, interest rates have declined; however, uncertainty remains as to whether and to what extent the federal funds interest rate will remain at current levels, increase or decrease in future periods. Simultaneously, economic uncertainty and unpredictability, including the prospect of economic recession and the magnitude, duration and impact of tariffs on global trade, has impacted and may continue to impact both consumer spending and loan repayments. These challenges have affected, and may continue to affect, our business and results of operations in the following ways:</w:t>
      </w:r>
    </w:p>
    <w:p>
      <w:pPr>
        <w:spacing w:after="0" w:line="143" w:lineRule="exact"/>
        <w:rPr>
          <w:sz w:val="20"/>
          <w:szCs w:val="20"/>
          <w:color w:val="auto"/>
        </w:rPr>
      </w:pPr>
    </w:p>
    <w:p>
      <w:pPr>
        <w:ind w:left="660" w:hanging="328"/>
        <w:spacing w:after="0" w:line="26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Shifts in consumer demand and loan repayment: </w:t>
      </w:r>
      <w:r>
        <w:rPr>
          <w:rFonts w:ascii="Times New Roman" w:cs="Times New Roman" w:eastAsia="Times New Roman" w:hAnsi="Times New Roman"/>
          <w:sz w:val="18"/>
          <w:szCs w:val="18"/>
          <w:color w:val="auto"/>
        </w:rPr>
        <w:t>We have experienced, and may continue to experience, fluctuations in consumer demand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 merchandise categories as well as an increase in delinquencies due to economic uncertainty, inflationary pressures, elevated interest rates, and other macroeconomic factors. If such conditions deteriorate in future periods, consumer demand and loan repayments may be negatively impacted.</w:t>
      </w:r>
    </w:p>
    <w:p>
      <w:pPr>
        <w:spacing w:after="0" w:line="203"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Borrowing costs: </w:t>
      </w:r>
      <w:r>
        <w:rPr>
          <w:rFonts w:ascii="Times New Roman" w:cs="Times New Roman" w:eastAsia="Times New Roman" w:hAnsi="Times New Roman"/>
          <w:sz w:val="18"/>
          <w:szCs w:val="18"/>
          <w:color w:val="auto"/>
        </w:rPr>
        <w:t>The Federal Reserve began decreasing the federal funds interest rate in late 2024, leading to a decline in our average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However, there is continued uncertainty as to whether and to what extent the Federal Reserve may decrease the federal funds rate further in the future.</w:t>
      </w:r>
    </w:p>
    <w:p>
      <w:pPr>
        <w:spacing w:after="0" w:line="197"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Volatile capital markets: </w:t>
      </w:r>
      <w:r>
        <w:rPr>
          <w:rFonts w:ascii="Times New Roman" w:cs="Times New Roman" w:eastAsia="Times New Roman" w:hAnsi="Times New Roman"/>
          <w:sz w:val="18"/>
          <w:szCs w:val="18"/>
          <w:color w:val="auto"/>
        </w:rPr>
        <w:t>Since fiscal 2024, capital markets have shown improvement against recent periods. Strong loan performance has allowed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add substantial capacity across funding channels. Despite these improvements, uncertainties remain in the macroeconomic environment, especially with regard to inflation, the prospect of recession, the magnitude, duration and impact of tariffs on global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and the potential for increased unemployment. To address these uncertainties, we leverage our diverse capital ecosystem consisting of multiple funding channels, a diverse set of counterparties, and varying maturity debt schedule to support resilience across various macroeconomic conditions and economic cycles.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Credit Optimization and Loan Performance</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continue to optimize our underwriting and take other actions to manage consumer loan repayment, increase collections and minimize losses. For example, we offer loan modifications to borrowers experiencing 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which may not exceed twenty-four months.</w:t>
      </w:r>
    </w:p>
    <w:p>
      <w:pPr>
        <w:spacing w:after="0" w:line="21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These loan modification programs also impact our delinquency rates, and such impact can vary over time. The volume of loan modifications during the fiscal quarter ended December 31, 2025 increased to 0.18% up from 0.15% in the same period in 2024. As of December 31, 2025, loans modified within the last twelve months represent 0.25%, respectively, of the outstanding principal balance of loans held on our balance sheet, compared to 0.29%, for the same periods in 2024. Our reported delinquency and charge off rates include loans which have become past due or have charged off subsequent to modification. An unknown percentage of loans which have been modified and are current as of December 31, 2025 may become delinquent or charge off in the future. We continue to evaluate the effectiveness of these programs and may modify, expand, or contract their usage, which may affect the timing of reported delinquencies and charge offs in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24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w:t>
      </w:r>
    </w:p>
    <w:p>
      <w:pPr>
        <w:spacing w:after="0" w:line="13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Additionally, state regulatory agencies and state attorneys general have publicly indicated that they plan to increase oversight of financial services companies. Such state authorities may initiate legal proceedings against us under state consumer protection statutes or various federal consumer financial services statutes, subject to the jurisdiction of the CFPB and FTC. These actions may result in financial penalties, which, individually or in aggregate, may adversely impact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Affirm Bank Applications</w:t>
      </w:r>
    </w:p>
    <w:p>
      <w:pPr>
        <w:spacing w:after="0" w:line="175" w:lineRule="exact"/>
        <w:rPr>
          <w:sz w:val="20"/>
          <w:szCs w:val="20"/>
          <w:color w:val="auto"/>
        </w:rPr>
      </w:pPr>
    </w:p>
    <w:p>
      <w:pPr>
        <w:ind w:right="380" w:firstLine="648"/>
        <w:spacing w:after="0" w:line="242" w:lineRule="auto"/>
        <w:rPr>
          <w:sz w:val="20"/>
          <w:szCs w:val="20"/>
          <w:color w:val="auto"/>
        </w:rPr>
      </w:pPr>
      <w:r>
        <w:rPr>
          <w:rFonts w:ascii="Times New Roman" w:cs="Times New Roman" w:eastAsia="Times New Roman" w:hAnsi="Times New Roman"/>
          <w:sz w:val="18"/>
          <w:szCs w:val="18"/>
          <w:color w:val="auto"/>
        </w:rPr>
        <w:t>On January 23, 2026, we submitted applications to the Nevada Financial Institutions Division and the Federal Deposit Insurance Corporation (“FDIC”) to establish Affirm Bank, a proposed Nevada-chartered industrial loan company. If approved, the proposed entity would operate as a wholly owned, Nevada-chartered, FDIC-insured bank subsidiary, and maintain its own independent governance and internal controls. The proposed bank subsidiary would complement our current business and bank partnership models, including by providing greater flexibility and diversification, to help advance responsible innovation in financial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Income Tax</w:t>
      </w:r>
    </w:p>
    <w:p>
      <w:pPr>
        <w:spacing w:after="0" w:line="189"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which included certain modifications to U.S. tax law. The Company is currently evaluating the future impact of these provisions of the Act on our Consolidated Financial Statements.</w:t>
      </w:r>
    </w:p>
    <w:p>
      <w:pPr>
        <w:spacing w:after="0" w:line="14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In addition, our assessment of income taxes is influenced by our recent operating results and expectations regarding future profitability. Recent pretax earnings performance has improved the mix of positive versus negative evidence considered in evaluating the realizability of our deferred tax assets. If these trends continue, we expect that additional positive evidence may be available within our fiscal year ending June 30, 2026 to support the conclusion that a significant portion of the domestic valuation allowance is no longer needed. The timing and amount of any valuation allowance release is subject to change based on multiple factors, including our level of profitability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extent to which we believe we can sustain it over time. Release of any portion of the valuation allowance would result in the recognition of certain deferred tax assets with a potential corresponding decrease to income tax expense for the period the release is recorded, which would represent a non-cash benefit to net income.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metrics to measure the performance of our business and help determine our strategic direction. In addition to revenue, net income (loss), and other results under U.S. GAAP, the following tables set forth key operating metrics we use to evaluate our business.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60" w:type="dxa"/>
            <w:vAlign w:val="bottom"/>
          </w:tcPr>
          <w:p>
            <w:pPr>
              <w:spacing w:after="0"/>
              <w:rPr>
                <w:sz w:val="18"/>
                <w:szCs w:val="18"/>
                <w:color w:val="auto"/>
              </w:rPr>
            </w:pPr>
          </w:p>
        </w:tc>
        <w:tc>
          <w:tcPr>
            <w:tcW w:w="3200" w:type="dxa"/>
            <w:vAlign w:val="bottom"/>
            <w:gridSpan w:val="4"/>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30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2"/>
        </w:trPr>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GMV</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6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December 31, 2025, GMV was $13.8 billion and $24.6 billion, respectively, which represented an increase of approximately 36% and 38%, respectively, as compared to the same periods in 2024. Overall, the increase in GMV was driven by growth in several key areas including our top five merchants and platform partners, our direct to consumer products, including Affirm Card, and overall increases in our active merchant base, active consumers and average transactions per consumer.</w:t>
      </w:r>
    </w:p>
    <w:p>
      <w:pPr>
        <w:spacing w:after="0" w:line="20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December 31, 2025, GMV growth was diversified across categories and loan products, primarily driven by our electronics and home and lifestyle categories, as well as our 0% APR installment loans. For the three and six months ended December 31, 2025, GMV from 0% APR monthly installment loans was $2.1 billion and $3.6 billion, respectively, which represented an increase of approximately 65% and 68%, respectively, from $1.3 billion and $2.1 billion for the three and six months ended December 31, 2024, respectively.</w:t>
      </w:r>
    </w:p>
    <w:p>
      <w:pPr>
        <w:spacing w:after="0" w:line="20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December 31, 2025, GMV from our top five merchants and platform partners collectively grew 23% and 27%, respectively, as compared to the same periods in 2024. However, during the three and six months ended December 31, 2025, the concentration of GMV derived from our top five partners declined slightly to 46% and 45%, respectively, compared to 51% and 49% for the same periods in 2024. GMV attributable to Amazon during the three and six months ended December 31, 2025 represented 24% and 23%, respectively, of total GMV. GMV attributable to Amazon during the three and six months ended December 31, 2024 represented 25% and 24%, respectively, of total GMV.</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40" w:type="dxa"/>
            <w:vAlign w:val="bottom"/>
            <w:tcBorders>
              <w:bottom w:val="single" w:sz="8" w:color="auto"/>
            </w:tcBorders>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3"/>
        </w:trPr>
        <w:tc>
          <w:tcPr>
            <w:tcW w:w="5000" w:type="dxa"/>
            <w:vAlign w:val="bottom"/>
          </w:tcPr>
          <w:p>
            <w:pPr>
              <w:spacing w:after="0"/>
              <w:rPr>
                <w:sz w:val="16"/>
                <w:szCs w:val="16"/>
                <w:color w:val="auto"/>
              </w:rPr>
            </w:pPr>
          </w:p>
        </w:tc>
        <w:tc>
          <w:tcPr>
            <w:tcW w:w="4620" w:type="dxa"/>
            <w:vAlign w:val="bottom"/>
            <w:gridSpan w:val="2"/>
          </w:tcPr>
          <w:p>
            <w:pPr>
              <w:jc w:val="center"/>
              <w:ind w:left="1537"/>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1620" w:type="dxa"/>
            <w:vAlign w:val="bottom"/>
          </w:tcPr>
          <w:p>
            <w:pPr>
              <w:spacing w:after="0"/>
              <w:rPr>
                <w:sz w:val="16"/>
                <w:szCs w:val="16"/>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consumers</w:t>
            </w:r>
          </w:p>
        </w:tc>
        <w:tc>
          <w:tcPr>
            <w:tcW w:w="21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25,799</w:t>
            </w:r>
          </w:p>
        </w:tc>
        <w:tc>
          <w:tcPr>
            <w:tcW w:w="24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20,968</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per active consumer</w:t>
            </w:r>
          </w:p>
        </w:tc>
        <w:tc>
          <w:tcPr>
            <w:tcW w:w="21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6.4</w:t>
            </w:r>
          </w:p>
        </w:tc>
        <w:tc>
          <w:tcPr>
            <w:tcW w:w="24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5.3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Consumers</w:t>
      </w:r>
    </w:p>
    <w:p>
      <w:pPr>
        <w:spacing w:after="0" w:line="1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w:t>
      </w:r>
    </w:p>
    <w:p>
      <w:pPr>
        <w:spacing w:after="0" w:line="135" w:lineRule="exact"/>
        <w:rPr>
          <w:sz w:val="20"/>
          <w:szCs w:val="20"/>
          <w:color w:val="auto"/>
        </w:rPr>
      </w:pPr>
    </w:p>
    <w:p>
      <w:pPr>
        <w:ind w:right="10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25.8 million active consumers, which represented an increase of 23% compared to approximately 21.0 million active consumers as of December 31, 2024.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was primarily due to a high retention rate of existing consumers and the acquisition of new consumers through an expansion in active merchants and platform partnerships.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per Active Consumer</w:t>
      </w:r>
    </w:p>
    <w:p>
      <w:pPr>
        <w:spacing w:after="0" w:line="20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6.4 transactions per active consumer, an increase of 20% compared to December 31, 2024. The increase was primarily due to platform growth and a higher frequency of repeat users driven by consumer engagement, including growth of Affirm Card active consumers. As of December 31, 2025 and December 31, 2024, Affirm Card represented approximately 13% and 10%, respectively, of the total number of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interim condensed consolidated statements of operations and comprehensive income (loss) data for each of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10"/>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8"/>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328,380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244,895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579,527</w:t>
            </w: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429,234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150,293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 network revenue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142,365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36,743</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5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network revenue</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721,892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187,036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56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947,749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5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115,380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27,763</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25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1,123,019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866,381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256,638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2,056,357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1,564,861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491,496</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31 %</w:t>
            </w:r>
          </w:p>
        </w:tc>
      </w:tr>
      <w:tr>
        <w:trPr>
          <w:trHeight w:val="198"/>
        </w:trPr>
        <w:tc>
          <w:tcPr>
            <w:tcW w:w="25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1"/>
                <w:szCs w:val="21"/>
                <w:b w:val="1"/>
                <w:bCs w:val="1"/>
                <w:color w:val="auto"/>
                <w:vertAlign w:val="superscript"/>
              </w:rPr>
              <w:t>(3)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on loan purchase commitment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81,283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(103,998)</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3"/>
        </w:trPr>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8"/>
        </w:trPr>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1,005,393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870,703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134,690</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15 %</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1,875,070</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1,701,805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173,265</w:t>
            </w:r>
          </w:p>
        </w:tc>
        <w:tc>
          <w:tcPr>
            <w:tcW w:w="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10 %</w:t>
            </w:r>
          </w:p>
        </w:tc>
      </w:tr>
      <w:tr>
        <w:trPr>
          <w:trHeight w:val="211"/>
        </w:trPr>
        <w:tc>
          <w:tcPr>
            <w:tcW w:w="2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117,626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121,948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181,287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318,231</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r>
      <w:tr>
        <w:trPr>
          <w:trHeight w:val="207"/>
        </w:trPr>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87,181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(71,569)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(86,513)</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12"/>
        </w:trPr>
        <w:tc>
          <w:tcPr>
            <w:tcW w:w="2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133,238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82,859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50,379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216,257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231,718</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r>
      <w:tr>
        <w:trPr>
          <w:trHeight w:val="207"/>
        </w:trPr>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80,360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49,226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210,280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230,142</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NM</w:t>
            </w:r>
            <w:r>
              <w:rPr>
                <w:rFonts w:ascii="Times New Roman" w:cs="Times New Roman" w:eastAsia="Times New Roman" w:hAnsi="Times New Roman"/>
                <w:sz w:val="9"/>
                <w:szCs w:val="9"/>
                <w:b w:val="1"/>
                <w:bCs w:val="1"/>
                <w:color w:val="auto"/>
              </w:rPr>
              <w:t xml:space="preserve"> (1)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2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41"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 meaningful (“NM”)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hanging="332"/>
        <w:spacing w:after="0" w:line="244"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For loans held for sale,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5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loans purchased or originated, net of refunds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178,953</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(51,887)</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133,019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103,433</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35229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22980" cy="154305"/>
                    </a:xfrm>
                    <a:prstGeom prst="rect">
                      <a:avLst/>
                    </a:prstGeom>
                    <a:noFill/>
                  </pic:spPr>
                </pic:pic>
              </a:graphicData>
            </a:graphic>
          </wp:anchor>
        </w:drawing>
      </w:r>
    </w:p>
    <w:p>
      <w:pPr>
        <w:spacing w:after="0" w:line="377"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7"/>
                <w:szCs w:val="17"/>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08"/>
        </w:trPr>
        <w:tc>
          <w:tcPr>
            <w:tcW w:w="55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120,524</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49,648</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180,331</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94,186</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274,517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December 31,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20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35"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increased by $83.5 million, or 34%, and $150.3 million, or 35%, for the three and six months ended December 31, 2025, respectively, compared to the same periods in 2024. The increase is primarily attributed to an increase of $3.6 billion, or 36%, and $6.8 billion, or 38%, in GMV for the three and six months ended December 31, 2025, respectively, compared to the same periods in 2024. GMV from our top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merchants and platform partners for the three and six months ended December 31, 2025, increased 23% and 27%, respectively, compared to the same periods in 2024.</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Active consumers grew, reaching 25.8 million, as of December 31, 2025, up from 21.0 million as of December 31, 2024. Transactions per active consumer also increased from 5.3 as of December 31, 2024 to 6.4 as of December 31, 2025. The increase in active consumers and transactions per active consumer is partially offset by a decrease in AOV. For the three and six months ended December 31, 2025, AOV was $251 and $255, respectively, down from $267 and $270 for the same periods in 2024. The decrease in AOV is driven by the diversification of our merchant base and our ongoing initiative to drive repeat usage of our platform beyond one-time high AOV purchases.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Card network revenue increased by $14.9 million, or 26%, and $36.7 million, or 35%, for the three and six months ended December 31, 2025, respectively, compared to the same periods in 2024. Card network revenue growth is correlated with the growth of GMV processed by our issuer processors. As such, the increase is primarily driven by $4.5 billion and $8.2 billion of GMV processed through our issuer processors, an increase of approximately 45% and 47% for the three and six months ended December 31, 2025, respectively, as compared to the same periods in 2024. This was driven by increased card activity primarily through Affirm Card and our one-time-use virtual debit cards, as well as growth in existing and new merchants utilizing our agreement with card-issuing partners as a means of integrating Affirm services. Card network revenue is also impacted by the mix of merchants as different merchants can have different interchange rates depending on their industry or size, among other factors.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increased by $84.3 million, or 21%, and $161.3 million, or 21%, for the three and six months ended December 31, 2025, respectively, compared to the same periods in 2024. Generally, interest income is correlated with the changes in the average balance of loans held for investment, which increased by 22% to $8.0 billion and 23% to $7.7 billion for the three and six months ended December 31, 2025, respectively, compared to the same periods in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187" w:lineRule="exact"/>
        <w:rPr>
          <w:sz w:val="20"/>
          <w:szCs w:val="20"/>
          <w:color w:val="auto"/>
        </w:rPr>
      </w:pPr>
    </w:p>
    <w:p>
      <w:pPr>
        <w:ind w:left="120" w:firstLine="648"/>
        <w:spacing w:after="0" w:line="261" w:lineRule="auto"/>
        <w:rPr>
          <w:sz w:val="20"/>
          <w:szCs w:val="20"/>
          <w:color w:val="auto"/>
        </w:rPr>
      </w:pPr>
      <w:r>
        <w:rPr>
          <w:rFonts w:ascii="Times New Roman" w:cs="Times New Roman" w:eastAsia="Times New Roman" w:hAnsi="Times New Roman"/>
          <w:sz w:val="18"/>
          <w:szCs w:val="18"/>
          <w:color w:val="auto"/>
        </w:rPr>
        <w:t>Gain on sales of loans increased by $59.9 million, or 48%, and $115.4 million, or 61%, for the three and six months ended December 31, 2025, respectively, compared to the same periods in 2024. The increase is driven by higher loan sale volume to third-party loan buyers and favorable transaction economics. We sold loans with an unpaid principal balance of $6.0 billion and $10.9 billion for the three and six months ended December 31, 2025, respectively, compared to $4.6 billion and $7.4 billion for the same periods in 2024, respectively, an increase of 29% and 47%,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187"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fair value adjustments for servicing liabilities will increase servicing income. We discuss our valuation methodology and significant Level 3 inputs for servicing assets and liabilities within Note 12. Fair Value of Financial Assets and Liabilities in the notes to the interim condensed consolidated financial statements.</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Servicing income increased by $14.1 million, or 49%, and $27.8 million, or 51%, for the three and six months ended December 31, 2025, respectively, compared to the same periods in 2024. The increase was primarily due to an increase in servicing fee revenue which is calculated as a percentage of the unpaid principal balance of off-balance sheet loans. The average unpaid principal balance of loans held by third-party investors and off-balance sheet securitizations increased to $9.1 billion and $8.6 billion for the three and six months ended December 31, 2025, respectively, compared to the same periods in 2024, an increase of 50% for both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19"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8"/>
          <w:szCs w:val="18"/>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income (loss). These costs are incurred on a per loan basis.</w:t>
      </w:r>
    </w:p>
    <w:p>
      <w:pPr>
        <w:spacing w:after="0" w:line="138"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Loss on loan purchase commitment increased by $25.8 million, or 37%, and $43.1 million, or 35%, for the three and six months ended December 31, 2025, respectively, compared to the same periods in 2024, primarily due to an increase in total volume of loans purchased. During the three and six months ended December 31, 2025, we purchased $10.8 billion and $19.5 billion, respectively, of loans from our originating bank partners, compared to $8.1 billion and $14.5 billion in the same periods in 2024, respectively, representing an increase of 33% and 34%, respectively. Of the total loans purchased, 0% APR installment loans represented $1.8 billion and $3.1 billion during the three and six months ended December 31, 2025, respectively, and $1.2 billion and $2.0 billion for the same periods in 2024, respectively, an increase of 54%, and 57%,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generally represents the amount of expense required to maintain the allowance for credit losses within our interim condensed consolidated balance sheet, which represents management’s estimate of future losses on loans and other receivables. In the event that our loans and receivables outperform our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4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Provision for credit losses increased by $61.2 million, or 40%, and $64.1 million, or 20%, for the three and six months ended December 31, 2025, respectively, compared to the same periods in 2024. Provision expense is primarily related to loans held for investment, where the amount of provision expense recognized during the period will depend on the balance and composition of loans held for investment, future loss expectations and net charge-offs realized during the period. For the three and six months ended December 31, 2025, the provision expense for loans held for investment increased by $61.1 million, or 42%, and $62.7 million, or 21%, respectively. Over this same time period, the balance of loans held for investment increased to $6.8 billion as of December 31, 2025 compared to $7.2 billion and $7.0 billion as of September 30, 2025 and June 30, 2025,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173"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Funding costs increased by $4.0 million, or 4%, and $9.8 million, or 5%, for the three and six months ended December 31, 2025, respectively, compared to the same periods in 2024. The increase is primarily due to an increase of funding debt and notes issued by securitization trusts during the three and six months ended December 31, 2025. The average total of funding debt from warehouses and securitizations for the three and six months ended December 31, 2025 was $7.2 billion and $7.0 billion, respectively, compared to $5.9 billion and $5.7 billion during the same periods in 2024, an increase of $1.3 billion, or 22%, and $1.3 billion, or 24%. This was offset by favorable pricing terms.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Processing and servicing expense increased by $42.6 million, or 37%, and $81.3 million, or 39%, for the three and six months ended</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December 31, 2025, respectively, compared to the same periods in 2024. This increase is driven partially by an increase in payment processing fees of</w:t>
      </w:r>
    </w:p>
    <w:p>
      <w:pPr>
        <w:spacing w:after="0" w:line="21"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7"/>
          <w:szCs w:val="17"/>
          <w:color w:val="auto"/>
        </w:rPr>
        <w:t>$29.6 million, or 46%, and $53.2 million, or 44%, related to an increase of $3.1 billion, or 40%, and $6.0 billion, or 40%, in payment volume for the three and six months ended December 31, 2025, respectively, compared to the same periods in 2024. Platform fees increased by $6.1 million, or 19%, and $17.1 million, or 32%, respectively, due to an increase in volume with a large enterprise partner. Additionally, our customer service and collection costs increased by $9.1 million, or 54%, and $15.6 million, or 49%, for the three and six months ended December 31, 2025, respectively, compared to the same periods in 2024. These increases are driven by growth in our overall loan portfolio, including both loans held for investment and loans serviced for third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Technology and data analytics expense increased by $36.7 million, or 25%, and $70.5 million, or 25%, for the three and six months ended December 31, 2025, respectively, compared to the same periods in 2024. The increase is partially driven by amortization of internally-developed software which increased by $21.2 million, or 40%, and $40.5 million, or 42%, for the three and six months ended December 31, 2025, respectively, compared to the same periods in 2024, as a result of an increase in the number of capitalized projects. Capitalized projects in service grew by 34% from approximately</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1,230 projects as of December 31, 2024 to 1,650 projects as of December 31, 2025. Data infrastructure and hosting costs increased by $9.0 million, or 33%, and $17.9 million, or 35%, for the three and six months ended December 31, 2025, respectively, compared to the same periods in 2024. The increase in data infrastructure and hosting costs was primarily driven by an increase in the number of consumer transactions. For the three and six months ended December 31, 2025, the number of consumer transactions increased by 44% and 47%, respectively, from continued growth at our merchants and platform partners when compared to the same periods in 2024. Payroll and personnel-related expenses increased by $2.6 million, or 5%, and $6.0 million, or 6%, for the three and six months ended December 31, 2025, respectively, compared to the same periods in 2024, primarily due to an increase in headcount.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of the expense related to warrants and other share-based payments granted to our enterprise partners, salaries and personnel-related costs, and costs of marketing and promotional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 decreased by $37.3 million, or 27%, and $104.0 million, or 37%, during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respectively, compared to the same periods in 2024. The decrease was primarily driven by a $25.6 million, or 29%, and $91.9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47%, decrease in Amazon warrant expense during the three and six months ended December 31, 2025, respectively, compared to the same periods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primarily due to a portion of the warrants becoming fully vested as of December 2024. Additionally, the decrease was also driven by a $6.2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69%, and $12.4 million, or 69%, decrease in Shopify warrant expense during the three and six months ended December 31, 2025, respectively, compared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same periods in 2024, primarily due to an amendment made in our partnership agreement, which extended the period of benefit over which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 the commercial agreement asset.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49" w:lineRule="exact"/>
        <w:rPr>
          <w:sz w:val="20"/>
          <w:szCs w:val="20"/>
          <w:color w:val="auto"/>
        </w:rPr>
      </w:pPr>
    </w:p>
    <w:p>
      <w:pPr>
        <w:ind w:right="780" w:firstLine="648"/>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 increased by $1.8 million, or 1%, and $8.3 million, or 3%, during the three and six months ended December 31, 2025, respectively, compared to the same periods in 2024. The increase is primarily due to increases in software and subscriptions.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Other income, net includes interest earned on our money market funds included in cash and cash equivalents and restricted cash, interest earned on securities available for sale, impairment or other adjustments to the cost basis of non-marketable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spacing w:after="0" w:line="14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Other income, net, decreased by $71.6 million, or 82%, and $86.5 million, or 71%, during the three and six months ended December 31, 2025, respectively, compared to the same periods in 2024. The decrease was primarily driven by a $62.8 million, or 100%, and $80.9 million, or 98% reduction in the gain recognized on the early extinguishment of convertible debt for the three and six months ended December 31, 2025, respectively, reflecting fewer repurchases, compared to the same periods in 2024.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committed and long-term relationships with a diverse group of existing funding partners help provide flexibility as we optimize our funding to support the growth in loan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for sale securities, available capacity from warehouse and revolving credit facilities, securitization trusts, forward flow loan sale arrangements, and certain cash flows from our operations. As of December 31, 2025, we had $2.3 billion in cash and cash equivalents and available for sale securities, $4.2 billion in available funding debt capacity, excluding our purchase commitments from third party loan buyers, and $330.0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investments in debt securities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718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1,527,880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1,354,455</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short-term debt securities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652,491</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long-term debt securities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218,934</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 and investments in debt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2,251,255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2,225,880</w:t>
            </w:r>
          </w:p>
        </w:tc>
      </w:tr>
      <w:tr>
        <w:trPr>
          <w:trHeight w:val="21"/>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460" w:hanging="328"/>
        <w:spacing w:after="0" w:line="235" w:lineRule="auto"/>
        <w:tabs>
          <w:tab w:leader="none" w:pos="64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consist of checking, money market and savings accounts held at financial institutions and short-term highly liquid marketable securities, including money market funds, agency bonds, commercial paper, and government bonds purchased with an original maturity of three months or less.</w:t>
      </w:r>
    </w:p>
    <w:p>
      <w:pPr>
        <w:spacing w:after="0" w:line="2" w:lineRule="exact"/>
        <w:rPr>
          <w:rFonts w:ascii="Times New Roman" w:cs="Times New Roman" w:eastAsia="Times New Roman" w:hAnsi="Times New Roman"/>
          <w:sz w:val="23"/>
          <w:szCs w:val="23"/>
          <w:color w:val="auto"/>
          <w:vertAlign w:val="superscript"/>
        </w:rPr>
      </w:pPr>
    </w:p>
    <w:p>
      <w:pPr>
        <w:ind w:left="660" w:right="80" w:hanging="328"/>
        <w:spacing w:after="0" w:line="255" w:lineRule="auto"/>
        <w:tabs>
          <w:tab w:leader="none" w:pos="651"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Securities available for sale at fair value primarily consist of certificates of deposits, corporate bonds, municipal bonds, commercial paper, agency bonds, and government bonds. Short-term securities have maturities less than or equal to one year, and long-term securities range from greater than one year to less than five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8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Debt as of December 31, 2025 primarily includes funding debt, notes issued by securitization trusts, convertible senior notes and our revolving credit facilities. A detailed description of each of our borrowing arrangements is included in Note 8. Debt in the notes to the interim condensed consolidated financial statements.</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future maturities of our warehouse credit facilities, variable funding notes, sale and repurchase agreements, and notes issued by securitizations trusts as of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160" w:type="dxa"/>
            <w:vAlign w:val="bottom"/>
          </w:tcPr>
          <w:p>
            <w:pPr>
              <w:spacing w:after="0"/>
              <w:rPr>
                <w:sz w:val="18"/>
                <w:szCs w:val="18"/>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Principal Outstanding</w:t>
            </w:r>
          </w:p>
        </w:tc>
      </w:tr>
      <w:tr>
        <w:trPr>
          <w:trHeight w:val="193"/>
        </w:trPr>
        <w:tc>
          <w:tcPr>
            <w:tcW w:w="7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4"/>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535,867</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1,156,719</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1,262,831</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941,150</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4,017,209</w:t>
            </w: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12,143,781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7,913,776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warehouse credit facilities allow us to borrow up to an aggregate of $5.3 billion, and mature between 2027 and 2032. We may continue to pledge new receivables to allow us to borrow up to the commitment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loan terms. As of December 31, 2025, we have drawn an aggregate of $1.9 billion on our warehouse credit facilities. As of December 31, 2025, we were in compliance with all applicable covenants in the agreements.</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maturing between 2028 and 2030. As of December 31, 2025, the aggregate commitment amount of these facilities was $693.8 million on a revolving basis, of which $548.0 million was drawn.</w:t>
      </w:r>
    </w:p>
    <w:p>
      <w:pPr>
        <w:spacing w:after="0" w:line="149" w:lineRule="exact"/>
        <w:rPr>
          <w:sz w:val="20"/>
          <w:szCs w:val="20"/>
          <w:color w:val="auto"/>
        </w:rPr>
      </w:pPr>
    </w:p>
    <w:p>
      <w:pPr>
        <w:ind w:right="1280" w:firstLine="648"/>
        <w:spacing w:after="0" w:line="461" w:lineRule="auto"/>
        <w:rPr>
          <w:sz w:val="20"/>
          <w:szCs w:val="20"/>
          <w:color w:val="auto"/>
        </w:rPr>
      </w:pPr>
      <w:r>
        <w:rPr>
          <w:rFonts w:ascii="Times New Roman" w:cs="Times New Roman" w:eastAsia="Times New Roman" w:hAnsi="Times New Roman"/>
          <w:sz w:val="18"/>
          <w:szCs w:val="18"/>
          <w:color w:val="auto"/>
        </w:rPr>
        <w:t xml:space="preserve">As we continue to expand in new geographies, we intend to add the necessary funding capacity to support our growth objectives. </w:t>
      </w:r>
      <w:r>
        <w:rPr>
          <w:rFonts w:ascii="Times New Roman" w:cs="Times New Roman" w:eastAsia="Times New Roman" w:hAnsi="Times New Roman"/>
          <w:sz w:val="18"/>
          <w:szCs w:val="18"/>
          <w:i w:val="1"/>
          <w:iCs w:val="1"/>
          <w:color w:val="auto"/>
        </w:rPr>
        <w:t>Variable Funding Note</w:t>
      </w:r>
    </w:p>
    <w:p>
      <w:pPr>
        <w:spacing w:after="0" w:line="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 syndicated revolving loan agreement through a securitization master trust which is utilized to fund the purchase and origination of loans. In connection with the loan agreement, the master trust issued a variable funding note (“VFN”), where borrowings will be secured by loan collateral sold to the master trust. Our VFN allows us to borrow up to an aggregate of $1.4 billion and matures in 2032. As of December 31, 2025, we have drawn an aggregate of $597.2 million on our VFN. As of December 31, 2025, we were in compliance with all applicable covenants in the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20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entered into various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 notes pledged. We had $13.7 million in debt outstanding under our sale and repurchase agreements disclosed within funding debt in the interim condensed consolidated balance sheets as of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87"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8"/>
          <w:szCs w:val="18"/>
          <w:color w:val="auto"/>
        </w:rPr>
        <w:t>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Refer to Note 9. Securitization and Variable Interest Entities in the notes to the interim condensed consolidated financial statements for further details.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8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revolving credit facility has an aggregate commitment amount of $330.0 million, with a final maturity date of June 26, 2027. Proceeds from the borrowings under this facility will be used for general corporate purposes in the ordinary course of business. As of December 31, 2025, there are no borrowings outstanding under the facility. The facility contains certain covenants and restrictions, including certain financial maintenance covenants. As of December 31, 2025, we were in compliance with all applicable covenants in the agreements. Refer to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notes to the interim condensed consolidated financial statements for further details on our revolving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87"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convertible senior notes have an aggregate principal balance of $1.1 billion, and bear no interest, in the case of the 2026 Notes, and bear an interest rate of 0.75% per year, in the case of the 2029 Notes, which is payable semiannually. The 2026 Notes mature on November 15, 2026, and the 2029 Notes mature on December 15, 2029, in each case unless earlier converted, redeemed, or repurchased in accordance with their terms. Refer to Note 8. Debt in the notes to the interim condensed consolidated financial statements for further details.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Flow Loan Sale Arrangements</w:t>
      </w:r>
    </w:p>
    <w:p>
      <w:pPr>
        <w:spacing w:after="0" w:line="17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 As part of our capital strategy, we seek to partner with counterparties that can provide long-term, stable funding to support the ongoing growth and diversification of our loan portfolio.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during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Borders>
              <w:bottom w:val="single" w:sz="8" w:color="auto"/>
            </w:tcBorders>
            <w:gridSpan w:val="2"/>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right"/>
              <w:ind w:right="1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7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548,310</w:t>
            </w:r>
          </w:p>
        </w:tc>
        <w:tc>
          <w:tcPr>
            <w:tcW w:w="13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508,884</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78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(1,504,608)</w:t>
            </w:r>
          </w:p>
        </w:tc>
        <w:tc>
          <w:tcPr>
            <w:tcW w:w="13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(664,067)</w:t>
            </w: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7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1,296,666</w:t>
            </w:r>
          </w:p>
        </w:tc>
        <w:tc>
          <w:tcPr>
            <w:tcW w:w="13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609,721</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35"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Net cash provided by operating activities was $548.3 million for the six months ended December 31, 2025, which reflected adjustments for significant non-cash items, including provision for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$338.0 million.</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$508.9 million for the six months ended December 31, 2024, which reflected adjustments for significant non-cash items, including provision for credit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$528.7 million.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$1.5 billion for the six months ended December 31, 2025. Cash outflows were primarily driven by purchases and origination of loans held for investment of $22.5 billion,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of securities available for sale of $214.4 million, and property, equipment and software additions of $110.1 million. Cash inflows included $11.2 billion from principal repayments and other loan servicing activity, $9.6 billion in proceeds from the sale of loans held for investment, and $426.7 million of proceeds from maturities and repayments of securities available for sale.</w:t>
      </w:r>
    </w:p>
    <w:p>
      <w:pPr>
        <w:spacing w:after="0" w:line="135"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Net cash used in investing activities was $664.1 million for the six months ended December 31, 2024. Cash outflows were primarily driven by purchases and origination of loans held for investment of $15.1 billion, purchases of securities available for sale of $184.9 million, and property, equipment and software additions of $88.1 million. Cash inflows included $8.7 billion of principal repayments and other loan servicing activity, $5.3 billion in proceeds from the sale of loans held for investment, and $720.6 million of proceeds from maturities and repayments of securities available for sale.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$1.3 billion for the six months ended December 31, 2025. Cash inflows were driven by $18.4 billion in proceeds from the issuance of secured debt, including funding debt and securitization notes and certificates, and $104.1 million from the exercise of common stock options and warrants and employee contributions to ESPP. Cash outflows included $17.0 billion related to principal repayments on secured debt, $25.8 million related to the extinguishment of a portion of our 2026 Notes and $193.2 million for taxes paid on vested equity awards.</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$609.7 million for the six months ended December 31, 2024. Cash inflows were primarily driven by $8.6 billion in proceeds from the issuance of secured debt, including funding debt and securitization notes and certificates. Cash outflows included $7.5 billion related to principal repayments on secured debt, $1,012.9 million related to the extinguishment of a portion of our 2026 Notes, and $158.5 million related to taxes paid on vested equity awards.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for the three and six months ended December 31, 2025 from the commitments and contractual obligations disclosed in the section 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 — Contractual Obligations</w:t>
      </w:r>
      <w:r>
        <w:rPr>
          <w:rFonts w:ascii="Times New Roman" w:cs="Times New Roman" w:eastAsia="Times New Roman" w:hAnsi="Times New Roman"/>
          <w:sz w:val="18"/>
          <w:szCs w:val="18"/>
          <w:color w:val="auto"/>
        </w:rPr>
        <w:t>,” set forth in our Annual Report on Form 10-K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which was filed with the SEC on August 28,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within our interim condensed consolidated balance sheets, generally referred to as off-balance sheet arrangements. These activities involve transactions with unconsolidated VIEs, including securitization and forward flow transactions. Across these transactions, ongoing involvement typically includes contractual loan servicing arrangements and loan repurchase obligations in connection with breaches in ordinary course of business representations and warranties.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have entered into unconsolidated securitization transactions where Affirm is the sponsor and risk retention holder,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certain other forward flow loan sale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risk sharing arrangements, we may hold beneficial interests in certain off-balance sheet VIEs that have been established by third-party loan buyers in connection with structured transactions. These beneficial interests represent our right to receive a portion of the residual cash flows from the underlying loans sold in connection with these transactions.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Risk sharing arrangements and beneficial interests are considered variable interests in the unconsolidated VIEs holding the loan assets transferred, as their value is exposed to the performance of those loans. For off-balance sheet VIEs where we hold variable interest, we have determined that our exposure to transaction economics is insignificant relative to the expected losses or residual returns.</w:t>
      </w:r>
    </w:p>
    <w:p>
      <w:pPr>
        <w:spacing w:after="0" w:line="20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aggregate outstanding balance of loans held by third-party investors and off-balance sheet securitizations was $9.7 billion. Refer to Note 9. Securitization and Variable Interest Entities and Note 12. Fair Value of Financial Assets and Liabilities of the accompanying notes to our interim condensed consolidated financial statements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w:t>
      </w:r>
    </w:p>
    <w:p>
      <w:pPr>
        <w:spacing w:after="0" w:line="14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and six months ended December 31, 2025.</w:t>
      </w:r>
    </w:p>
    <w:p>
      <w:pPr>
        <w:spacing w:after="0" w:line="14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and critical accounting estimates, refer to our Annual Report on Form 10-K for the year ended June 30, 2025 within Note 2 to the Notes to Consolidated Financial Statements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Critical Accounting Policies and Estimates.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within the United States, Canada and U.K.,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securities available for sale at fair value as of December 31, 2025, included $718.1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Continued volatility in interest rates and inflation, which may persist longer than previously expected, may adversely impact our consumers’ spending levels, and ability and willingness to pay outstanding amounts owed to us. Elevated interest rates may lead to higher payment obligations on our future credit products but also for consumers’ other financial commitments, including their mortgages, credit cards, and other types of loans. Therefore, elevated interest rates may lead to increased delinquencies, charge-offs, and allowances for loans and interest receivable, which could have an adverse effect on our operating results.</w:t>
      </w:r>
    </w:p>
    <w:p>
      <w:pPr>
        <w:spacing w:after="0" w:line="1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4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December 31, 2025, we estimate that a hypothetical instantaneous 100 basis point upward parallel shock to interest rates would have a less than $70.0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 monitor portfolio performance, we utilize a wide range of internal and external metrics to review user and loan populations. Each week, management reviews performance for each consumer segment, typically split by ITACs model score at the time of origination,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and June 30, 2025, we were exposed to credit risk on $8.8 billion and $7.0 billion, respectively, of loans held within our interim condensed consolidated balance sheet. Loan receivables are diversified geographically. As of both December 31, 2025 and June 30, 2025, approximately 11% and 10% of loan receivables related to customers residing in the states of California and Texas, respectively. No other states or provinces represent 10% or more of total loan receivables.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have credit risk exposure in relation to certain off-balance sheet loans sold to third parties where we have entered into risk sharing arrangements, retained interests in unconsolidated securitization trusts and our residual interests in structured transactions. As of December 31, 2025 and June 30, 2025, we have sold $10.2 billion and $8.6 billion, respectively, in unpaid principal balance loans which are subject to risk sharing arrangements, of which our maximum exposure to losses was $75.9 million and $91.1 million, respectively. The fair value of notes receivable and residual trust certificate retained interests in unconsolidated securitization trusts was $80.1 million and $69.1 million as of December 31, 2025 and December 31, 2024, respectively. The fair value of residual interests in structured transactions was $5.4 million as of December 31, 2025, of which our maximum exposure to losses was $17.7 million.</w:t>
      </w:r>
    </w:p>
    <w:p>
      <w:pPr>
        <w:spacing w:after="0" w:line="216"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2025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7. Commitments and Contingencies of the accompanying notes to our interim condensed consolidated financial statements.</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risks described under the heading “Risk Factors” in our Annual Report on Form 10-K for the fiscal year ended June 30, 2025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You should carefully read and consider such risks, together with all of the other information in our Annual Report on Form 10-K for the fiscal year ended June 30, 2025,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under the heading “Risk Factors” in our Annual Report on Form 10-K for the fiscal year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 following directors and officers of the Company adopted or terminated a “Rule 10b5-1 trading arrangement” or “non-Rule 10b5-1 trading arrangement,” as each term is defined in Item 408(a) of Regulation S-K, as follows: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2, 2025, Noel Watson, a member of our Board of Directors, adopted a Rule 10b5-1 trading arrangement providing for the sale of the Company's Class A common stock (a “Rule 10b5-1 Trading Plan”) that is intended to satisfy the affirmative defense conditions of Exchange Act Rule</w:t>
      </w:r>
    </w:p>
    <w:p>
      <w:pPr>
        <w:ind w:right="140"/>
        <w:spacing w:after="0" w:line="260" w:lineRule="auto"/>
        <w:rPr>
          <w:sz w:val="20"/>
          <w:szCs w:val="20"/>
          <w:color w:val="auto"/>
        </w:rPr>
      </w:pPr>
      <w:r>
        <w:rPr>
          <w:rFonts w:ascii="Times New Roman" w:cs="Times New Roman" w:eastAsia="Times New Roman" w:hAnsi="Times New Roman"/>
          <w:sz w:val="18"/>
          <w:szCs w:val="18"/>
          <w:color w:val="auto"/>
        </w:rPr>
        <w:t>10b5-1(c). Mr. Watson’s Rule 10b5-1 Trading Plan provides for the sale of up to 8,000 shares of our Class A common stock pursuant to one or more limit orders on or after March 3, 2026 until November 16, 2026, or earlier if all transactions under the trading arrangement are completed.</w:t>
      </w:r>
    </w:p>
    <w:p>
      <w:pPr>
        <w:spacing w:after="0" w:line="2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December 9, 2025, Libor Michalek, our President and a member of our Board of Directors, adopted a Rule 10b5-1 Trading Plan. Mr. Michalek’s Rule 10b5-1 Trading Plan provides for the exercise of up to 500,000 employee stock options, subject to increase based on any employee stock options not exercised under a previous 10b5-1 Trading Plan which will expire on March 31, 2026, and sale of the underlying shares of our Class A common stock pursuant to one or more limit orders from April 1, 2026 until March 31, 2027, or earlier if all transactions under the trading arrangement are completed.</w:t>
      </w:r>
    </w:p>
    <w:p>
      <w:pPr>
        <w:spacing w:after="0" w:line="21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December 9, 2025, Michael Linford, our Chief Operating Officer, adopted a Rule 10b5-1 Trading Plan. Mr. Linford’s Rule 10b5-1 Trading Plan provides for the exercise of up to 533,870 employee stock options and sale of the underlying shares of our Class A common stock pursuant to one or more limit orders from March 10, 2026 until September 30, 2026, or earlier if all transactions under the trading arrangement are completed.</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No other directors or officers, as defined in Rule 16a-1(f), adopted and/or terminated a “Rule 10b5-1 trading arrangement” or a “non-Rule 10b5-1 trading arrangement,” as defined in Regulation S-K Item 408, during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vMerge w:val="restart"/>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62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060"/>
          </w:cols>
          <w:pgMar w:left="320" w:top="121" w:right="519" w:bottom="1440" w:gutter="0" w:footer="0" w:header="0"/>
        </w:sectPr>
      </w:pPr>
    </w:p>
    <w:p>
      <w:pPr>
        <w:ind w:left="340"/>
        <w:spacing w:after="0"/>
        <w:tabs>
          <w:tab w:leader="none" w:pos="96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u w:val="single" w:color="auto"/>
          <w:color w:val="0000FF"/>
        </w:rPr>
        <w:t>Second Amendment to the Amended and Restated Warrant to Purchase Class A</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0000FF"/>
        </w:rPr>
        <w:t>Common Stock of Affirm Holdings, Inc., by and between Affirm Holdings, Inc.</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0000FF"/>
        </w:rPr>
        <w:t>and Amazon.com Services LLC, dated as of November 2, 2025</w:t>
      </w:r>
      <w:r>
        <w:rPr>
          <w:rFonts w:ascii="Times New Roman" w:cs="Times New Roman" w:eastAsia="Times New Roman" w:hAnsi="Times New Roman"/>
          <w:sz w:val="14"/>
          <w:szCs w:val="14"/>
          <w:color w:val="000000"/>
        </w:rPr>
        <w:t>*</w:t>
      </w:r>
    </w:p>
    <w:p>
      <w:pPr>
        <w:spacing w:after="0" w:line="19"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Loan Servicing Agreement, dated as of May 31, 2023, between Lead Bank and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0000FF"/>
        </w:rPr>
        <w:t>Affirm,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184" w:lineRule="exact"/>
        <w:rPr>
          <w:sz w:val="20"/>
          <w:szCs w:val="20"/>
          <w:color w:val="auto"/>
        </w:rPr>
      </w:pPr>
    </w:p>
    <w:p>
      <w:pPr>
        <w:sectPr>
          <w:pgSz w:w="11900" w:h="16838" w:orient="portrait"/>
          <w:cols w:equalWidth="0" w:num="2">
            <w:col w:w="10000" w:space="720"/>
            <w:col w:w="340"/>
          </w:cols>
          <w:pgMar w:left="320" w:top="121" w:right="519" w:bottom="1440" w:gutter="0" w:footer="0" w:header="0"/>
          <w:type w:val="continuous"/>
        </w:sectPr>
      </w:pPr>
    </w:p>
    <w:tbl>
      <w:tblPr>
        <w:tblLayout w:type="fixed"/>
        <w:tblInd w:w="30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97"/>
              </w:rPr>
              <w:t>10.2</w:t>
            </w:r>
          </w:p>
        </w:tc>
        <w:tc>
          <w:tcPr>
            <w:tcW w:w="71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Loan Sale Agreement, dated as of May 31, 2023, between Lead Bank and</w:t>
            </w:r>
          </w:p>
        </w:tc>
        <w:tc>
          <w:tcPr>
            <w:tcW w:w="2720" w:type="dxa"/>
            <w:vAlign w:val="bottom"/>
          </w:tcPr>
          <w:p>
            <w:pPr>
              <w:ind w:left="2620"/>
              <w:spacing w:after="0"/>
              <w:rPr>
                <w:sz w:val="20"/>
                <w:szCs w:val="20"/>
                <w:color w:val="auto"/>
              </w:rPr>
            </w:pPr>
            <w:r>
              <w:rPr>
                <w:rFonts w:ascii="Times New Roman" w:cs="Times New Roman" w:eastAsia="Times New Roman" w:hAnsi="Times New Roman"/>
                <w:sz w:val="14"/>
                <w:szCs w:val="14"/>
                <w:color w:val="auto"/>
                <w:w w:val="78"/>
              </w:rPr>
              <w:t>X</w:t>
            </w:r>
          </w:p>
        </w:tc>
      </w:tr>
      <w:tr>
        <w:trPr>
          <w:trHeight w:val="142"/>
        </w:trPr>
        <w:tc>
          <w:tcPr>
            <w:tcW w:w="680" w:type="dxa"/>
            <w:vAlign w:val="bottom"/>
          </w:tcPr>
          <w:p>
            <w:pPr>
              <w:spacing w:after="0"/>
              <w:rPr>
                <w:sz w:val="12"/>
                <w:szCs w:val="12"/>
                <w:color w:val="auto"/>
              </w:rPr>
            </w:pPr>
          </w:p>
        </w:tc>
        <w:tc>
          <w:tcPr>
            <w:tcW w:w="7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4"/>
                <w:szCs w:val="14"/>
                <w:color w:val="0000FF"/>
                <w:w w:val="99"/>
              </w:rPr>
              <w:t>Affirm, Inc.*</w:t>
            </w:r>
          </w:p>
        </w:tc>
        <w:tc>
          <w:tcPr>
            <w:tcW w:w="348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209"/>
        </w:trPr>
        <w:tc>
          <w:tcPr>
            <w:tcW w:w="6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97"/>
              </w:rPr>
              <w:t>10.3</w:t>
            </w:r>
          </w:p>
        </w:tc>
        <w:tc>
          <w:tcPr>
            <w:tcW w:w="71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Loan Program Agreement, dated as of May 31, 2023, between Lead Bank and</w:t>
            </w:r>
          </w:p>
        </w:tc>
        <w:tc>
          <w:tcPr>
            <w:tcW w:w="2720" w:type="dxa"/>
            <w:vAlign w:val="bottom"/>
          </w:tcPr>
          <w:p>
            <w:pPr>
              <w:ind w:left="2620"/>
              <w:spacing w:after="0"/>
              <w:rPr>
                <w:sz w:val="20"/>
                <w:szCs w:val="20"/>
                <w:color w:val="auto"/>
              </w:rPr>
            </w:pPr>
            <w:r>
              <w:rPr>
                <w:rFonts w:ascii="Times New Roman" w:cs="Times New Roman" w:eastAsia="Times New Roman" w:hAnsi="Times New Roman"/>
                <w:sz w:val="14"/>
                <w:szCs w:val="14"/>
                <w:color w:val="auto"/>
                <w:w w:val="78"/>
              </w:rPr>
              <w:t>X</w:t>
            </w:r>
          </w:p>
        </w:tc>
      </w:tr>
      <w:tr>
        <w:trPr>
          <w:trHeight w:val="142"/>
        </w:trPr>
        <w:tc>
          <w:tcPr>
            <w:tcW w:w="680" w:type="dxa"/>
            <w:vAlign w:val="bottom"/>
          </w:tcPr>
          <w:p>
            <w:pPr>
              <w:spacing w:after="0"/>
              <w:rPr>
                <w:sz w:val="12"/>
                <w:szCs w:val="12"/>
                <w:color w:val="auto"/>
              </w:rPr>
            </w:pPr>
          </w:p>
        </w:tc>
        <w:tc>
          <w:tcPr>
            <w:tcW w:w="7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4"/>
                <w:szCs w:val="14"/>
                <w:color w:val="0000FF"/>
                <w:w w:val="99"/>
              </w:rPr>
              <w:t>Affirm, Inc.*</w:t>
            </w:r>
          </w:p>
        </w:tc>
        <w:tc>
          <w:tcPr>
            <w:tcW w:w="3720" w:type="dxa"/>
            <w:vAlign w:val="bottom"/>
            <w:tcBorders>
              <w:top w:val="single" w:sz="8" w:color="0000FF"/>
            </w:tcBorders>
            <w:gridSpan w:val="2"/>
          </w:tcPr>
          <w:p>
            <w:pPr>
              <w:spacing w:after="0"/>
              <w:rPr>
                <w:sz w:val="12"/>
                <w:szCs w:val="12"/>
                <w:color w:val="auto"/>
              </w:rPr>
            </w:pPr>
          </w:p>
        </w:tc>
        <w:tc>
          <w:tcPr>
            <w:tcW w:w="2640" w:type="dxa"/>
            <w:vAlign w:val="bottom"/>
          </w:tcPr>
          <w:p>
            <w:pPr>
              <w:spacing w:after="0"/>
              <w:rPr>
                <w:sz w:val="12"/>
                <w:szCs w:val="12"/>
                <w:color w:val="auto"/>
              </w:rPr>
            </w:pPr>
          </w:p>
        </w:tc>
        <w:tc>
          <w:tcPr>
            <w:tcW w:w="2720" w:type="dxa"/>
            <w:vAlign w:val="bottom"/>
          </w:tcPr>
          <w:p>
            <w:pPr>
              <w:spacing w:after="0"/>
              <w:rPr>
                <w:sz w:val="12"/>
                <w:szCs w:val="12"/>
                <w:color w:val="auto"/>
              </w:rPr>
            </w:pPr>
          </w:p>
        </w:tc>
      </w:tr>
    </w:tbl>
    <w:p>
      <w:pPr>
        <w:spacing w:after="0" w:line="35" w:lineRule="exact"/>
        <w:rPr>
          <w:sz w:val="20"/>
          <w:szCs w:val="20"/>
          <w:color w:val="auto"/>
        </w:rPr>
      </w:pPr>
    </w:p>
    <w:p>
      <w:pPr>
        <w:sectPr>
          <w:pgSz w:w="11900" w:h="16838" w:orient="portrait"/>
          <w:cols w:equalWidth="0" w:num="1">
            <w:col w:w="11060"/>
          </w:cols>
          <w:pgMar w:left="320" w:top="121" w:right="519" w:bottom="1440" w:gutter="0" w:footer="0" w:header="0"/>
          <w:type w:val="continuous"/>
        </w:sectPr>
      </w:pPr>
    </w:p>
    <w:p>
      <w:pPr>
        <w:ind w:left="300"/>
        <w:spacing w:after="0"/>
        <w:tabs>
          <w:tab w:leader="none" w:pos="9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u w:val="single" w:color="auto"/>
          <w:color w:val="0000FF"/>
        </w:rPr>
        <w:t>Second Amended and Restated Installment Financing Services Agreement,</w:t>
      </w:r>
    </w:p>
    <w:p>
      <w:pPr>
        <w:ind w:left="980"/>
        <w:spacing w:after="0" w:line="206" w:lineRule="auto"/>
        <w:rPr>
          <w:sz w:val="20"/>
          <w:szCs w:val="20"/>
          <w:color w:val="auto"/>
        </w:rPr>
      </w:pPr>
      <w:r>
        <w:rPr>
          <w:rFonts w:ascii="Times New Roman" w:cs="Times New Roman" w:eastAsia="Times New Roman" w:hAnsi="Times New Roman"/>
          <w:sz w:val="14"/>
          <w:szCs w:val="14"/>
          <w:u w:val="single" w:color="auto"/>
          <w:color w:val="0000FF"/>
        </w:rPr>
        <w:t>dated as of November 6, 2025, by and among Affirm Holdings, Inc.,</w:t>
      </w:r>
    </w:p>
    <w:p>
      <w:pPr>
        <w:ind w:left="980"/>
        <w:spacing w:after="0"/>
        <w:rPr>
          <w:sz w:val="20"/>
          <w:szCs w:val="20"/>
          <w:color w:val="auto"/>
        </w:rPr>
      </w:pPr>
      <w:r>
        <w:rPr>
          <w:rFonts w:ascii="Times New Roman" w:cs="Times New Roman" w:eastAsia="Times New Roman" w:hAnsi="Times New Roman"/>
          <w:sz w:val="14"/>
          <w:szCs w:val="14"/>
          <w:u w:val="single" w:color="auto"/>
          <w:color w:val="0000FF"/>
        </w:rPr>
        <w:t>Amazon.com Services LLC and Amazon Payments, Inc.*</w:t>
      </w:r>
    </w:p>
    <w:p>
      <w:pPr>
        <w:spacing w:after="0" w:line="39" w:lineRule="exact"/>
        <w:rPr>
          <w:sz w:val="20"/>
          <w:szCs w:val="20"/>
          <w:color w:val="auto"/>
        </w:rPr>
      </w:pPr>
    </w:p>
    <w:p>
      <w:pPr>
        <w:ind w:left="260"/>
        <w:spacing w:after="0"/>
        <w:tabs>
          <w:tab w:leader="none" w:pos="960" w:val="left"/>
        </w:tabs>
        <w:rPr>
          <w:sz w:val="20"/>
          <w:szCs w:val="20"/>
          <w:color w:val="auto"/>
        </w:rPr>
      </w:pPr>
      <w:r>
        <w:rPr>
          <w:rFonts w:ascii="Times New Roman" w:cs="Times New Roman" w:eastAsia="Times New Roman" w:hAnsi="Times New Roman"/>
          <w:sz w:val="14"/>
          <w:szCs w:val="14"/>
          <w:color w:val="auto"/>
        </w:rPr>
        <w:t>10.5+</w:t>
      </w:r>
      <w:r>
        <w:rPr>
          <w:sz w:val="20"/>
          <w:szCs w:val="20"/>
          <w:color w:val="auto"/>
        </w:rPr>
        <w:tab/>
      </w:r>
      <w:r>
        <w:rPr>
          <w:rFonts w:ascii="Times New Roman" w:cs="Times New Roman" w:eastAsia="Times New Roman" w:hAnsi="Times New Roman"/>
          <w:sz w:val="14"/>
          <w:szCs w:val="14"/>
          <w:u w:val="single" w:color="auto"/>
          <w:color w:val="0000FF"/>
        </w:rPr>
        <w:t>Form of Director RSU Agreement pursuant to the Affirm Holdings, Inc.</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0000FF"/>
        </w:rPr>
        <w:t>Amended and Restated 2012 Stock Plan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38" w:lineRule="exact"/>
        <w:rPr>
          <w:sz w:val="20"/>
          <w:szCs w:val="20"/>
          <w:color w:val="auto"/>
        </w:rPr>
      </w:pPr>
    </w:p>
    <w:p>
      <w:pPr>
        <w:sectPr>
          <w:pgSz w:w="11900" w:h="16838" w:orient="portrait"/>
          <w:cols w:equalWidth="0" w:num="2">
            <w:col w:w="10000" w:space="720"/>
            <w:col w:w="340"/>
          </w:cols>
          <w:pgMar w:left="320" w:top="121" w:right="519" w:bottom="1440" w:gutter="0" w:footer="0" w:header="0"/>
          <w:type w:val="continuous"/>
        </w:sectPr>
      </w:pPr>
    </w:p>
    <w:tbl>
      <w:tblPr>
        <w:tblLayout w:type="fixed"/>
        <w:tblInd w:w="160" w:type="dxa"/>
        <w:tblCellMar>
          <w:top w:w="0" w:type="dxa"/>
          <w:left w:w="0" w:type="dxa"/>
          <w:bottom w:w="0" w:type="dxa"/>
          <w:right w:w="0" w:type="dxa"/>
        </w:tblCellMar>
      </w:tblPr>
      <w:tr>
        <w:trPr>
          <w:trHeight w:val="161"/>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10.6+</w:t>
            </w:r>
          </w:p>
        </w:tc>
        <w:tc>
          <w:tcPr>
            <w:tcW w:w="2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Nonqualified Deferred Compensation Plan</w:t>
            </w:r>
          </w:p>
        </w:tc>
        <w:tc>
          <w:tcPr>
            <w:tcW w:w="2100" w:type="dxa"/>
            <w:vAlign w:val="bottom"/>
            <w:gridSpan w:val="7"/>
          </w:tcPr>
          <w:p>
            <w:pPr>
              <w:spacing w:after="0"/>
              <w:rPr>
                <w:sz w:val="13"/>
                <w:szCs w:val="13"/>
                <w:color w:val="auto"/>
              </w:rPr>
            </w:pP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31.1</w:t>
            </w:r>
          </w:p>
        </w:tc>
        <w:tc>
          <w:tcPr>
            <w:tcW w:w="4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180" w:type="dxa"/>
            <w:vAlign w:val="bottom"/>
            <w:gridSpan w:val="3"/>
          </w:tcPr>
          <w:p>
            <w:pPr>
              <w:spacing w:after="0"/>
              <w:rPr>
                <w:sz w:val="17"/>
                <w:szCs w:val="17"/>
                <w:color w:val="auto"/>
              </w:rPr>
            </w:pP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142"/>
        </w:trPr>
        <w:tc>
          <w:tcPr>
            <w:tcW w:w="820" w:type="dxa"/>
            <w:vAlign w:val="bottom"/>
          </w:tcPr>
          <w:p>
            <w:pPr>
              <w:spacing w:after="0"/>
              <w:rPr>
                <w:sz w:val="12"/>
                <w:szCs w:val="12"/>
                <w:color w:val="auto"/>
              </w:rPr>
            </w:pPr>
          </w:p>
        </w:tc>
        <w:tc>
          <w:tcPr>
            <w:tcW w:w="4480" w:type="dxa"/>
            <w:vAlign w:val="bottom"/>
            <w:tcBorders>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 the</w:t>
            </w:r>
          </w:p>
        </w:tc>
        <w:tc>
          <w:tcPr>
            <w:tcW w:w="80" w:type="dxa"/>
            <w:vAlign w:val="bottom"/>
          </w:tcPr>
          <w:p>
            <w:pPr>
              <w:spacing w:after="0"/>
              <w:rPr>
                <w:sz w:val="12"/>
                <w:szCs w:val="12"/>
                <w:color w:val="auto"/>
              </w:rPr>
            </w:pPr>
          </w:p>
        </w:tc>
        <w:tc>
          <w:tcPr>
            <w:tcW w:w="5280" w:type="dxa"/>
            <w:vAlign w:val="bottom"/>
          </w:tcPr>
          <w:p>
            <w:pPr>
              <w:spacing w:after="0"/>
              <w:rPr>
                <w:sz w:val="12"/>
                <w:szCs w:val="12"/>
                <w:color w:val="auto"/>
              </w:rPr>
            </w:pPr>
          </w:p>
        </w:tc>
      </w:tr>
      <w:tr>
        <w:trPr>
          <w:trHeight w:val="156"/>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920" w:type="dxa"/>
            <w:vAlign w:val="bottom"/>
            <w:gridSpan w:val="8"/>
          </w:tcPr>
          <w:p>
            <w:pPr>
              <w:spacing w:after="0"/>
              <w:rPr>
                <w:sz w:val="13"/>
                <w:szCs w:val="13"/>
                <w:color w:val="auto"/>
              </w:rPr>
            </w:pPr>
          </w:p>
        </w:tc>
        <w:tc>
          <w:tcPr>
            <w:tcW w:w="5280" w:type="dxa"/>
            <w:vAlign w:val="bottom"/>
          </w:tcPr>
          <w:p>
            <w:pPr>
              <w:spacing w:after="0"/>
              <w:rPr>
                <w:sz w:val="13"/>
                <w:szCs w:val="13"/>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31.2</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142"/>
        </w:trPr>
        <w:tc>
          <w:tcPr>
            <w:tcW w:w="8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w:t>
            </w:r>
          </w:p>
        </w:tc>
        <w:tc>
          <w:tcPr>
            <w:tcW w:w="14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FF"/>
                <w:w w:val="75"/>
              </w:rPr>
              <w:t>the</w:t>
            </w:r>
          </w:p>
        </w:tc>
        <w:tc>
          <w:tcPr>
            <w:tcW w:w="80" w:type="dxa"/>
            <w:vAlign w:val="bottom"/>
          </w:tcPr>
          <w:p>
            <w:pPr>
              <w:spacing w:after="0"/>
              <w:rPr>
                <w:sz w:val="12"/>
                <w:szCs w:val="12"/>
                <w:color w:val="auto"/>
              </w:rPr>
            </w:pPr>
          </w:p>
        </w:tc>
        <w:tc>
          <w:tcPr>
            <w:tcW w:w="5280" w:type="dxa"/>
            <w:vAlign w:val="bottom"/>
          </w:tcPr>
          <w:p>
            <w:pPr>
              <w:spacing w:after="0"/>
              <w:rPr>
                <w:sz w:val="12"/>
                <w:szCs w:val="12"/>
                <w:color w:val="auto"/>
              </w:rPr>
            </w:pPr>
          </w:p>
        </w:tc>
      </w:tr>
      <w:tr>
        <w:trPr>
          <w:trHeight w:val="155"/>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920" w:type="dxa"/>
            <w:vAlign w:val="bottom"/>
            <w:gridSpan w:val="8"/>
          </w:tcPr>
          <w:p>
            <w:pPr>
              <w:spacing w:after="0"/>
              <w:rPr>
                <w:sz w:val="13"/>
                <w:szCs w:val="13"/>
                <w:color w:val="auto"/>
              </w:rPr>
            </w:pPr>
          </w:p>
        </w:tc>
        <w:tc>
          <w:tcPr>
            <w:tcW w:w="5280" w:type="dxa"/>
            <w:vAlign w:val="bottom"/>
          </w:tcPr>
          <w:p>
            <w:pPr>
              <w:spacing w:after="0"/>
              <w:rPr>
                <w:sz w:val="13"/>
                <w:szCs w:val="13"/>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32.1</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20"/>
        </w:trPr>
        <w:tc>
          <w:tcPr>
            <w:tcW w:w="820" w:type="dxa"/>
            <w:vAlign w:val="bottom"/>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100" w:type="dxa"/>
            <w:vAlign w:val="bottom"/>
            <w:gridSpan w:val="2"/>
          </w:tcPr>
          <w:p>
            <w:pPr>
              <w:spacing w:after="0"/>
              <w:rPr>
                <w:sz w:val="12"/>
                <w:szCs w:val="12"/>
                <w:color w:val="auto"/>
              </w:rPr>
            </w:pPr>
          </w:p>
        </w:tc>
        <w:tc>
          <w:tcPr>
            <w:tcW w:w="5280" w:type="dxa"/>
            <w:vAlign w:val="bottom"/>
          </w:tcPr>
          <w:p>
            <w:pPr>
              <w:spacing w:after="0"/>
              <w:rPr>
                <w:sz w:val="12"/>
                <w:szCs w:val="12"/>
                <w:color w:val="auto"/>
              </w:rPr>
            </w:pPr>
          </w:p>
        </w:tc>
      </w:tr>
      <w:tr>
        <w:trPr>
          <w:trHeight w:val="21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32.2</w:t>
            </w:r>
          </w:p>
        </w:tc>
        <w:tc>
          <w:tcPr>
            <w:tcW w:w="4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142"/>
        </w:trPr>
        <w:tc>
          <w:tcPr>
            <w:tcW w:w="820" w:type="dxa"/>
            <w:vAlign w:val="bottom"/>
          </w:tcPr>
          <w:p>
            <w:pPr>
              <w:spacing w:after="0"/>
              <w:rPr>
                <w:sz w:val="12"/>
                <w:szCs w:val="12"/>
                <w:color w:val="auto"/>
              </w:rPr>
            </w:pPr>
          </w:p>
        </w:tc>
        <w:tc>
          <w:tcPr>
            <w:tcW w:w="410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460" w:type="dxa"/>
            <w:vAlign w:val="bottom"/>
            <w:gridSpan w:val="6"/>
          </w:tcPr>
          <w:p>
            <w:pPr>
              <w:spacing w:after="0"/>
              <w:rPr>
                <w:sz w:val="12"/>
                <w:szCs w:val="12"/>
                <w:color w:val="auto"/>
              </w:rPr>
            </w:pPr>
          </w:p>
        </w:tc>
        <w:tc>
          <w:tcPr>
            <w:tcW w:w="5280" w:type="dxa"/>
            <w:vAlign w:val="bottom"/>
          </w:tcPr>
          <w:p>
            <w:pPr>
              <w:spacing w:after="0"/>
              <w:rPr>
                <w:sz w:val="12"/>
                <w:szCs w:val="12"/>
                <w:color w:val="auto"/>
              </w:rPr>
            </w:pPr>
          </w:p>
        </w:tc>
      </w:tr>
      <w:tr>
        <w:trPr>
          <w:trHeight w:val="214"/>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101.INS</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175"/>
        </w:trPr>
        <w:tc>
          <w:tcPr>
            <w:tcW w:w="820" w:type="dxa"/>
            <w:vAlign w:val="bottom"/>
          </w:tcPr>
          <w:p>
            <w:pPr>
              <w:spacing w:after="0"/>
              <w:rPr>
                <w:sz w:val="15"/>
                <w:szCs w:val="15"/>
                <w:color w:val="auto"/>
              </w:rPr>
            </w:pP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5280" w:type="dxa"/>
            <w:vAlign w:val="bottom"/>
          </w:tcPr>
          <w:p>
            <w:pPr>
              <w:spacing w:after="0"/>
              <w:rPr>
                <w:sz w:val="15"/>
                <w:szCs w:val="15"/>
                <w:color w:val="auto"/>
              </w:rPr>
            </w:pPr>
          </w:p>
        </w:tc>
      </w:tr>
      <w:tr>
        <w:trPr>
          <w:trHeight w:val="188"/>
        </w:trPr>
        <w:tc>
          <w:tcPr>
            <w:tcW w:w="820" w:type="dxa"/>
            <w:vAlign w:val="bottom"/>
          </w:tcPr>
          <w:p>
            <w:pPr>
              <w:spacing w:after="0"/>
              <w:rPr>
                <w:sz w:val="16"/>
                <w:szCs w:val="16"/>
                <w:color w:val="auto"/>
              </w:rPr>
            </w:pP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5280" w:type="dxa"/>
            <w:vAlign w:val="bottom"/>
          </w:tcPr>
          <w:p>
            <w:pPr>
              <w:spacing w:after="0"/>
              <w:rPr>
                <w:sz w:val="16"/>
                <w:szCs w:val="16"/>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101.SCH</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101.CAL</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101.DEF</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101.LAB</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101.PRE</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19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104</w:t>
            </w: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5280" w:type="dxa"/>
            <w:vAlign w:val="bottom"/>
          </w:tcPr>
          <w:p>
            <w:pPr>
              <w:ind w:left="5180"/>
              <w:spacing w:after="0"/>
              <w:rPr>
                <w:sz w:val="20"/>
                <w:szCs w:val="20"/>
                <w:color w:val="auto"/>
              </w:rPr>
            </w:pPr>
            <w:r>
              <w:rPr>
                <w:rFonts w:ascii="Times New Roman" w:cs="Times New Roman" w:eastAsia="Times New Roman" w:hAnsi="Times New Roman"/>
                <w:sz w:val="14"/>
                <w:szCs w:val="14"/>
                <w:color w:val="auto"/>
                <w:w w:val="78"/>
              </w:rPr>
              <w:t>X</w:t>
            </w:r>
          </w:p>
        </w:tc>
      </w:tr>
      <w:tr>
        <w:trPr>
          <w:trHeight w:val="188"/>
        </w:trPr>
        <w:tc>
          <w:tcPr>
            <w:tcW w:w="820" w:type="dxa"/>
            <w:vAlign w:val="bottom"/>
          </w:tcPr>
          <w:p>
            <w:pPr>
              <w:spacing w:after="0"/>
              <w:rPr>
                <w:sz w:val="16"/>
                <w:szCs w:val="16"/>
                <w:color w:val="auto"/>
              </w:rPr>
            </w:pPr>
          </w:p>
        </w:tc>
        <w:tc>
          <w:tcPr>
            <w:tcW w:w="45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Exhibit 101)</w:t>
            </w:r>
          </w:p>
        </w:tc>
        <w:tc>
          <w:tcPr>
            <w:tcW w:w="5280" w:type="dxa"/>
            <w:vAlign w:val="bottom"/>
          </w:tcPr>
          <w:p>
            <w:pPr>
              <w:spacing w:after="0"/>
              <w:rPr>
                <w:sz w:val="16"/>
                <w:szCs w:val="16"/>
                <w:color w:val="auto"/>
              </w:rPr>
            </w:pPr>
          </w:p>
        </w:tc>
      </w:tr>
    </w:tbl>
    <w:p>
      <w:pPr>
        <w:spacing w:after="0" w:line="244" w:lineRule="exact"/>
        <w:rPr>
          <w:sz w:val="20"/>
          <w:szCs w:val="20"/>
          <w:color w:val="auto"/>
        </w:rPr>
      </w:pPr>
    </w:p>
    <w:p>
      <w:pPr>
        <w:ind w:left="980" w:hanging="587"/>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contract or compensatory plan or arrangement.</w:t>
      </w:r>
    </w:p>
    <w:p>
      <w:pPr>
        <w:spacing w:after="0" w:line="55" w:lineRule="exact"/>
        <w:rPr>
          <w:sz w:val="20"/>
          <w:szCs w:val="20"/>
          <w:color w:val="auto"/>
        </w:rPr>
      </w:pPr>
    </w:p>
    <w:p>
      <w:pPr>
        <w:ind w:left="980" w:right="20" w:hanging="583"/>
        <w:spacing w:after="0" w:line="282" w:lineRule="auto"/>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36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AFFIRM HOLDINGS, INC.</w:t>
            </w:r>
          </w:p>
        </w:tc>
      </w:tr>
      <w:tr>
        <w:trPr>
          <w:trHeight w:val="54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19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50"/>
        </w:trPr>
        <w:tc>
          <w:tcPr>
            <w:tcW w:w="30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Levchin</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040" w:type="dxa"/>
            <w:vAlign w:val="bottom"/>
          </w:tcPr>
          <w:p>
            <w:pPr>
              <w:spacing w:after="0"/>
              <w:rPr>
                <w:sz w:val="24"/>
                <w:szCs w:val="24"/>
                <w:color w:val="auto"/>
              </w:rPr>
            </w:pPr>
          </w:p>
        </w:tc>
        <w:tc>
          <w:tcPr>
            <w:tcW w:w="19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 O’Hare</w:t>
            </w:r>
          </w:p>
        </w:tc>
      </w:tr>
      <w:tr>
        <w:trPr>
          <w:trHeight w:val="250"/>
        </w:trPr>
        <w:tc>
          <w:tcPr>
            <w:tcW w:w="30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 O’Hare</w:t>
            </w:r>
          </w:p>
        </w:tc>
      </w:tr>
      <w:tr>
        <w:trPr>
          <w:trHeight w:val="257"/>
        </w:trPr>
        <w:tc>
          <w:tcPr>
            <w:tcW w:w="30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121" w:right="4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THE AMENDED AND RESTATED WARRANT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PURCHASE CLASS A COMMON STOCK</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Second Amendment to the Amended and Restated Warrant to Purchase Class A Common Stock (this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November 2, 2025 (the “</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by and between Affirm Holdings, Inc., a Nevada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Amazon.com Services LLC, a Delaware limited liability company (“</w:t>
      </w:r>
      <w:r>
        <w:rPr>
          <w:rFonts w:ascii="Times New Roman" w:cs="Times New Roman" w:eastAsia="Times New Roman" w:hAnsi="Times New Roman"/>
          <w:sz w:val="22"/>
          <w:szCs w:val="22"/>
          <w:u w:val="single" w:color="auto"/>
          <w:color w:val="auto"/>
        </w:rPr>
        <w:t>Warrantholder</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WHEREAS, the parties previously entered into an Amended and Restated Warrant to Purchase Class A Common Stock dated October 27, 2023, as amended by that certain First Amendment to the Amended and Restated Warrant to Purchase Class A Common Stock dated July 29, 2024, with original issue date of November 10, 2021, whereby Warrantholder holds a warrant to purchase 15,000,000 shares of Class A Common Stock of the Company (the “</w:t>
      </w:r>
      <w:r>
        <w:rPr>
          <w:rFonts w:ascii="Times New Roman" w:cs="Times New Roman" w:eastAsia="Times New Roman" w:hAnsi="Times New Roman"/>
          <w:sz w:val="22"/>
          <w:szCs w:val="22"/>
          <w:u w:val="single" w:color="auto"/>
          <w:color w:val="auto"/>
        </w:rPr>
        <w:t>A&amp;R Second Warrant</w:t>
      </w:r>
      <w:r>
        <w:rPr>
          <w:rFonts w:ascii="Times New Roman" w:cs="Times New Roman" w:eastAsia="Times New Roman" w:hAnsi="Times New Roman"/>
          <w:sz w:val="22"/>
          <w:szCs w:val="22"/>
          <w:color w:val="auto"/>
        </w:rPr>
        <w: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wish to amend the A&amp;R Second Warrant as set forth in this Second Amendment.</w:t>
      </w:r>
    </w:p>
    <w:p>
      <w:pPr>
        <w:spacing w:after="0" w:line="220" w:lineRule="exact"/>
        <w:rPr>
          <w:sz w:val="20"/>
          <w:szCs w:val="20"/>
          <w:color w:val="auto"/>
        </w:rPr>
      </w:pPr>
    </w:p>
    <w:p>
      <w:pPr>
        <w:jc w:val="both"/>
        <w:ind w:firstLine="233"/>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herein, and further good and valuable consideration, the parties agree to amend the A&amp;R Second Warrant as follows:</w:t>
      </w:r>
    </w:p>
    <w:p>
      <w:pPr>
        <w:spacing w:after="0" w:line="158" w:lineRule="exact"/>
        <w:rPr>
          <w:sz w:val="20"/>
          <w:szCs w:val="20"/>
          <w:color w:val="auto"/>
        </w:rPr>
      </w:pPr>
    </w:p>
    <w:p>
      <w:pPr>
        <w:ind w:right="300" w:firstLine="8"/>
        <w:spacing w:after="0" w:line="284" w:lineRule="auto"/>
        <w:tabs>
          <w:tab w:leader="none" w:pos="37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Definitions</w:t>
      </w:r>
      <w:r>
        <w:rPr>
          <w:rFonts w:ascii="Times New Roman" w:cs="Times New Roman" w:eastAsia="Times New Roman" w:hAnsi="Times New Roman"/>
          <w:sz w:val="22"/>
          <w:szCs w:val="22"/>
          <w:color w:val="auto"/>
        </w:rPr>
        <w:t>. Terms used herein without further definition shall have the same meanings ascribed to them as in the A&amp;R Second Warrant.</w:t>
      </w:r>
    </w:p>
    <w:p>
      <w:pPr>
        <w:spacing w:after="0" w:line="14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2.1 The definition of “Exercise Price,” as set forth in </w:t>
      </w:r>
      <w:r>
        <w:rPr>
          <w:rFonts w:ascii="Times New Roman" w:cs="Times New Roman" w:eastAsia="Times New Roman" w:hAnsi="Times New Roman"/>
          <w:sz w:val="22"/>
          <w:szCs w:val="22"/>
          <w:u w:val="single" w:color="auto"/>
          <w:color w:val="auto"/>
        </w:rPr>
        <w:t>Section 1 (Definitions)</w:t>
      </w:r>
      <w:r>
        <w:rPr>
          <w:rFonts w:ascii="Times New Roman" w:cs="Times New Roman" w:eastAsia="Times New Roman" w:hAnsi="Times New Roman"/>
          <w:sz w:val="22"/>
          <w:szCs w:val="22"/>
          <w:color w:val="auto"/>
        </w:rPr>
        <w:t xml:space="preserve"> of the A&amp;R Second Warrant, is hereby amended and restated as follows:</w:t>
      </w:r>
    </w:p>
    <w:p>
      <w:pPr>
        <w:spacing w:after="0" w:line="158"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means, with respect to a Warrant Share that vested pursuant to (i) New Users Acquired (as defined in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prior to February 1, 2026, $100.00, and (ii) New Users Acquired on or after February 1, 2026, $63.06.”</w:t>
      </w:r>
    </w:p>
    <w:p>
      <w:pPr>
        <w:spacing w:after="0" w:line="16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 xml:space="preserve">The first paragraph of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xml:space="preserve"> of the A&amp;R Second Warrant is hereby amended and restated as follows:</w:t>
      </w:r>
    </w:p>
    <w:p>
      <w:pPr>
        <w:spacing w:after="0" w:line="220" w:lineRule="exact"/>
        <w:rPr>
          <w:sz w:val="20"/>
          <w:szCs w:val="20"/>
          <w:color w:val="auto"/>
        </w:rPr>
      </w:pPr>
    </w:p>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“For [***] New Users Acquired prior to November 9, 2028, [***] will vest; provided, that, for purposes of this clause, the vesting shall occur quarterly for each calendar</w:t>
      </w:r>
    </w:p>
    <w:p>
      <w:pPr>
        <w:sectPr>
          <w:pgSz w:w="11900" w:h="16838" w:orient="portrait"/>
          <w:cols w:equalWidth="0" w:num="1">
            <w:col w:w="11240"/>
          </w:cols>
          <w:pgMar w:left="320" w:top="117" w:right="339" w:bottom="1440" w:gutter="0" w:footer="0" w:header="0"/>
        </w:sectPr>
      </w:pPr>
    </w:p>
    <w:bookmarkStart w:id="84" w:name="page85"/>
    <w:bookmarkEnd w:id="84"/>
    <w:p>
      <w:pPr>
        <w:jc w:val="both"/>
        <w:ind w:left="660"/>
        <w:spacing w:after="0" w:line="265" w:lineRule="auto"/>
        <w:rPr>
          <w:sz w:val="20"/>
          <w:szCs w:val="20"/>
          <w:color w:val="auto"/>
        </w:rPr>
      </w:pPr>
      <w:r>
        <w:rPr>
          <w:rFonts w:ascii="Times New Roman" w:cs="Times New Roman" w:eastAsia="Times New Roman" w:hAnsi="Times New Roman"/>
          <w:sz w:val="21"/>
          <w:szCs w:val="21"/>
          <w:color w:val="auto"/>
        </w:rPr>
        <w:t>quarter beginning with the calendar quarter ended December 31, 2021 and ending with the calendar quarter ended December 31, 2028, and such Warrant Shares shall become exercisable with respect thereto, on the date that the Company delivers (with such delivery to occur no later than [***] after the end of the applicable calendar quarter) to Amazon (as defined in the Commercial Agreement) an executed vesting confirmation letter with respect to the (i) number of New Users Acquired in the applicable calendar quarter and (ii) number of Warrant Shares that vested in such applicable calendar quarter based on the number of New Users Acquired as set forth in such vesting confirmation letter.”</w:t>
      </w:r>
    </w:p>
    <w:p>
      <w:pPr>
        <w:spacing w:after="0" w:line="16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2.3 The definition of “New User Acquired,” as set forth on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of the A&amp;R Second Warrant, is hereby amended and restated as follows:</w:t>
      </w:r>
    </w:p>
    <w:p>
      <w:pPr>
        <w:spacing w:after="0" w:line="171" w:lineRule="exact"/>
        <w:rPr>
          <w:sz w:val="20"/>
          <w:szCs w:val="20"/>
          <w:color w:val="auto"/>
        </w:rPr>
      </w:pPr>
    </w:p>
    <w:p>
      <w:pPr>
        <w:ind w:left="660" w:right="10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User Acquired</w:t>
      </w:r>
      <w:r>
        <w:rPr>
          <w:rFonts w:ascii="Times New Roman" w:cs="Times New Roman" w:eastAsia="Times New Roman" w:hAnsi="Times New Roman"/>
          <w:sz w:val="22"/>
          <w:szCs w:val="22"/>
          <w:color w:val="auto"/>
        </w:rPr>
        <w:t>” means either an (A) Approved Customer whose Program Credit is the first with respect to the Amazon Site and any Additional Sites, (B) Applying Beneficial Owner with respect to any Approved Business Customer whose Business Program Credit (as jointly obtained by such Applying Beneficial Owner and Approved Business Customer) is the first with respect to the Amazon Business Site [***]. For the avoidance of doubt, if any individual satisfies the criteria in more than one of the foregoing clauses (A), (B) [***], then such individual shall be counted as only one New User Acquired.”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 xml:space="preserve">The following definitions are hereby added to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xml:space="preserve"> of the A&amp;R Second Warrant in the appropriate alphabetical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660" w:right="5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BNPL Product</w:t>
      </w:r>
      <w:r>
        <w:rPr>
          <w:rFonts w:ascii="Times New Roman" w:cs="Times New Roman" w:eastAsia="Times New Roman" w:hAnsi="Times New Roman"/>
          <w:sz w:val="22"/>
          <w:szCs w:val="22"/>
          <w:color w:val="auto"/>
        </w:rPr>
        <w:t>” means an unsecured closed-end installment loan marketed and offered to consumers for the purpose of financing a specific purchase, repaid in installments during a term.</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Effectiveness; No Other Modification</w:t>
      </w:r>
      <w:r>
        <w:rPr>
          <w:rFonts w:ascii="Times New Roman" w:cs="Times New Roman" w:eastAsia="Times New Roman" w:hAnsi="Times New Roman"/>
          <w:sz w:val="22"/>
          <w:szCs w:val="22"/>
          <w:color w:val="auto"/>
        </w:rPr>
        <w:t>. This Second Amendment is effective as of the Second Amendment Effective Date. Except as modified in this Second Amendment, all of the terms and conditions of the A&amp;R Second Warrant remain unchanged and in full force and effect. In the event of any conflict between the terms of the A&amp;R Second Warrant and those in this Second Amendment, the terms of this Second Amendment shall govern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71" w:lineRule="auto"/>
        <w:rPr>
          <w:sz w:val="20"/>
          <w:szCs w:val="20"/>
          <w:color w:val="auto"/>
        </w:rPr>
      </w:pPr>
      <w:r>
        <w:rPr>
          <w:rFonts w:ascii="Times New Roman" w:cs="Times New Roman" w:eastAsia="Times New Roman" w:hAnsi="Times New Roman"/>
          <w:sz w:val="22"/>
          <w:szCs w:val="22"/>
          <w:color w:val="auto"/>
        </w:rPr>
        <w:t>subject matter hereof. Any future reference to the Warrant shall be deemed to be a reference to the Warrant as modified by this Second Amendment.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Governing Law and Jurisdiction. Section 13 (Governing Law and Jurisdiction)</w:t>
      </w:r>
      <w:r>
        <w:rPr>
          <w:rFonts w:ascii="Times New Roman" w:cs="Times New Roman" w:eastAsia="Times New Roman" w:hAnsi="Times New Roman"/>
          <w:sz w:val="22"/>
          <w:szCs w:val="22"/>
          <w:color w:val="auto"/>
        </w:rPr>
        <w:t xml:space="preserve"> of the A&amp;R Second Warrant is hereby incorporated by reference in its entirety with respect to governing, construing, and enforcing this Second Amendment.</w:t>
      </w:r>
    </w:p>
    <w:p>
      <w:pPr>
        <w:spacing w:after="0" w:line="144"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Second Amendment may be executed simultaneously in any number of counterparts, each of which may be deemed an original but all of which together constitute one and the same agreement. The parties may execute and deliver signatures to this Second Amendment electronically, including by facsimile or portable document format (PDF) file.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6" w:name="page87"/>
    <w:bookmarkEnd w:id="8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Second Amendment to be effective as of the Second Amendment Effective Date.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AFFIRM HOLDINGS, INC.</w:t>
      </w:r>
    </w:p>
    <w:p>
      <w:pPr>
        <w:spacing w:after="0" w:line="200" w:lineRule="exact"/>
        <w:rPr>
          <w:sz w:val="20"/>
          <w:szCs w:val="20"/>
          <w:color w:val="auto"/>
        </w:rPr>
      </w:pP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9753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8" w:lineRule="exact"/>
        <w:rPr>
          <w:sz w:val="20"/>
          <w:szCs w:val="20"/>
          <w:color w:val="auto"/>
        </w:rPr>
      </w:pPr>
    </w:p>
    <w:p>
      <w:pPr>
        <w:ind w:left="4060"/>
        <w:spacing w:after="0"/>
        <w:tabs>
          <w:tab w:leader="none" w:pos="48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 O’Hare</w:t>
      </w:r>
    </w:p>
    <w:p>
      <w:pPr>
        <w:spacing w:after="0" w:line="4" w:lineRule="exact"/>
        <w:rPr>
          <w:sz w:val="20"/>
          <w:szCs w:val="20"/>
          <w:color w:val="auto"/>
        </w:rPr>
      </w:pPr>
    </w:p>
    <w:p>
      <w:pPr>
        <w:ind w:left="406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AMAZON.COM SERVICES LLC</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 /s/ Cem Sibay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9067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 w:lineRule="exact"/>
        <w:rPr>
          <w:sz w:val="20"/>
          <w:szCs w:val="20"/>
          <w:color w:val="auto"/>
        </w:rPr>
      </w:pPr>
    </w:p>
    <w:p>
      <w:pPr>
        <w:ind w:left="4060"/>
        <w:spacing w:after="0"/>
        <w:tabs>
          <w:tab w:leader="none" w:pos="48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Cem Sibay</w:t>
      </w:r>
    </w:p>
    <w:p>
      <w:pPr>
        <w:spacing w:after="0" w:line="15" w:lineRule="exact"/>
        <w:rPr>
          <w:sz w:val="20"/>
          <w:szCs w:val="20"/>
          <w:color w:val="auto"/>
        </w:rPr>
      </w:pPr>
    </w:p>
    <w:p>
      <w:pPr>
        <w:jc w:val="center"/>
        <w:ind w:right="140"/>
        <w:spacing w:after="0"/>
        <w:tabs>
          <w:tab w:leader="none" w:pos="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[Signature Page to Second Amendment to the Amended and Restated Warrant to Purchase Class A Common Stock]</w:t>
      </w:r>
    </w:p>
    <w:p>
      <w:pPr>
        <w:sectPr>
          <w:pgSz w:w="11900" w:h="16838" w:orient="portrait"/>
          <w:cols w:equalWidth="0" w:num="1">
            <w:col w:w="10780"/>
          </w:cols>
          <w:pgMar w:left="320" w:top="1422" w:right="79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line="312" w:lineRule="auto"/>
        <w:rPr>
          <w:sz w:val="20"/>
          <w:szCs w:val="20"/>
          <w:color w:val="auto"/>
        </w:rPr>
      </w:pPr>
      <w:r>
        <w:rPr>
          <w:rFonts w:ascii="Times New Roman" w:cs="Times New Roman" w:eastAsia="Times New Roman" w:hAnsi="Times New Roman"/>
          <w:sz w:val="17"/>
          <w:szCs w:val="17"/>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100330</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LOAN SERVICING AGREEMENT</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between</w:t>
      </w:r>
    </w:p>
    <w:p>
      <w:pPr>
        <w:spacing w:after="0" w:line="26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LEAD BANK</w:t>
      </w: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AFFIRM, INC.,</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as Servicer</w:t>
      </w:r>
    </w:p>
    <w:p>
      <w:pPr>
        <w:spacing w:after="0" w:line="200" w:lineRule="exact"/>
        <w:rPr>
          <w:sz w:val="20"/>
          <w:szCs w:val="20"/>
          <w:color w:val="auto"/>
        </w:rPr>
      </w:pPr>
    </w:p>
    <w:p>
      <w:pPr>
        <w:spacing w:after="0" w:line="2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Dated as of</w:t>
      </w:r>
    </w:p>
    <w:p>
      <w:pPr>
        <w:spacing w:after="0" w:line="26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610870</wp:posOffset>
            </wp:positionV>
            <wp:extent cx="1783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480" w:top="11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86"/>
        </w:trPr>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21"/>
          </w:tcPr>
          <w:p>
            <w:pPr>
              <w:ind w:left="3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640" w:type="dxa"/>
            <w:vAlign w:val="bottom"/>
          </w:tcPr>
          <w:p>
            <w:pPr>
              <w:spacing w:after="0"/>
              <w:rPr>
                <w:sz w:val="24"/>
                <w:szCs w:val="24"/>
                <w:color w:val="auto"/>
              </w:rPr>
            </w:pPr>
          </w:p>
        </w:tc>
      </w:tr>
      <w:tr>
        <w:trPr>
          <w:trHeight w:val="702"/>
        </w:trPr>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540"/>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1.1</w:t>
            </w:r>
          </w:p>
        </w:tc>
        <w:tc>
          <w:tcPr>
            <w:tcW w:w="7000" w:type="dxa"/>
            <w:vAlign w:val="bottom"/>
            <w:gridSpan w:val="24"/>
          </w:tcPr>
          <w:p>
            <w:pPr>
              <w:spacing w:after="0" w:line="244" w:lineRule="exact"/>
              <w:rPr>
                <w:sz w:val="20"/>
                <w:szCs w:val="20"/>
                <w:color w:val="auto"/>
              </w:rPr>
            </w:pPr>
            <w:r>
              <w:rPr>
                <w:rFonts w:ascii="Times New Roman" w:cs="Times New Roman" w:eastAsia="Times New Roman" w:hAnsi="Times New Roman"/>
                <w:sz w:val="22"/>
                <w:szCs w:val="22"/>
                <w:color w:val="auto"/>
              </w:rPr>
              <w:t>Definitions</w:t>
            </w: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1</w:t>
            </w:r>
          </w:p>
        </w:tc>
      </w:tr>
      <w:tr>
        <w:trPr>
          <w:trHeight w:val="20"/>
        </w:trPr>
        <w:tc>
          <w:tcPr>
            <w:tcW w:w="2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1.2</w:t>
            </w:r>
          </w:p>
        </w:tc>
        <w:tc>
          <w:tcPr>
            <w:tcW w:w="700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Rules of Construction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0"/>
        </w:trPr>
        <w:tc>
          <w:tcPr>
            <w:tcW w:w="21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29"/>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II BANK’S ENGAGEMENT OF SERVICER TO PERFORM SERVICING</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2.1</w:t>
            </w:r>
          </w:p>
        </w:tc>
        <w:tc>
          <w:tcPr>
            <w:tcW w:w="7000" w:type="dxa"/>
            <w:vAlign w:val="bottom"/>
            <w:gridSpan w:val="24"/>
          </w:tcPr>
          <w:p>
            <w:pPr>
              <w:spacing w:after="0" w:line="244" w:lineRule="exact"/>
              <w:rPr>
                <w:sz w:val="20"/>
                <w:szCs w:val="20"/>
                <w:color w:val="auto"/>
              </w:rPr>
            </w:pPr>
            <w:r>
              <w:rPr>
                <w:rFonts w:ascii="Times New Roman" w:cs="Times New Roman" w:eastAsia="Times New Roman" w:hAnsi="Times New Roman"/>
                <w:sz w:val="22"/>
                <w:szCs w:val="22"/>
                <w:color w:val="auto"/>
              </w:rPr>
              <w:t>Contract for Servicing; Possession of Servicing Files</w:t>
            </w: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4</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2.2</w:t>
            </w:r>
          </w:p>
        </w:tc>
        <w:tc>
          <w:tcPr>
            <w:tcW w:w="458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22"/>
                <w:szCs w:val="22"/>
                <w:color w:val="auto"/>
              </w:rPr>
              <w:t>Use of Subcontractors</w:t>
            </w:r>
          </w:p>
        </w:tc>
        <w:tc>
          <w:tcPr>
            <w:tcW w:w="2420" w:type="dxa"/>
            <w:vAlign w:val="bottom"/>
            <w:gridSpan w:val="3"/>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0"/>
        </w:trPr>
        <w:tc>
          <w:tcPr>
            <w:tcW w:w="21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29"/>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III SERVICING OF BANK LOANS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3.1</w:t>
            </w:r>
          </w:p>
        </w:tc>
        <w:tc>
          <w:tcPr>
            <w:tcW w:w="7000" w:type="dxa"/>
            <w:vAlign w:val="bottom"/>
            <w:gridSpan w:val="24"/>
          </w:tcPr>
          <w:p>
            <w:pPr>
              <w:spacing w:after="0" w:line="244" w:lineRule="exact"/>
              <w:rPr>
                <w:sz w:val="20"/>
                <w:szCs w:val="20"/>
                <w:color w:val="auto"/>
              </w:rPr>
            </w:pPr>
            <w:r>
              <w:rPr>
                <w:rFonts w:ascii="Times New Roman" w:cs="Times New Roman" w:eastAsia="Times New Roman" w:hAnsi="Times New Roman"/>
                <w:sz w:val="22"/>
                <w:szCs w:val="22"/>
                <w:color w:val="auto"/>
              </w:rPr>
              <w:t>Servicer to Service Bank Loans</w:t>
            </w: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6</w:t>
            </w:r>
          </w:p>
        </w:tc>
      </w:tr>
      <w:tr>
        <w:trPr>
          <w:trHeight w:val="20"/>
        </w:trPr>
        <w:tc>
          <w:tcPr>
            <w:tcW w:w="21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3.2</w:t>
            </w:r>
          </w:p>
        </w:tc>
        <w:tc>
          <w:tcPr>
            <w:tcW w:w="31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2"/>
                <w:szCs w:val="22"/>
                <w:color w:val="auto"/>
                <w:w w:val="98"/>
              </w:rPr>
              <w:t>Collection and Liquidation of Loans</w:t>
            </w:r>
          </w:p>
        </w:tc>
        <w:tc>
          <w:tcPr>
            <w:tcW w:w="3840" w:type="dxa"/>
            <w:vAlign w:val="bottom"/>
            <w:gridSpan w:val="8"/>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3.3</w:t>
            </w:r>
          </w:p>
        </w:tc>
        <w:tc>
          <w:tcPr>
            <w:tcW w:w="700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Withdrawals from Collection Account; Fees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3.4</w:t>
            </w:r>
          </w:p>
        </w:tc>
        <w:tc>
          <w:tcPr>
            <w:tcW w:w="382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22"/>
                <w:szCs w:val="22"/>
                <w:color w:val="auto"/>
              </w:rPr>
              <w:t>Credit Reporting</w:t>
            </w:r>
          </w:p>
        </w:tc>
        <w:tc>
          <w:tcPr>
            <w:tcW w:w="3180" w:type="dxa"/>
            <w:vAlign w:val="bottom"/>
            <w:gridSpan w:val="4"/>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0"/>
        </w:trPr>
        <w:tc>
          <w:tcPr>
            <w:tcW w:w="21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3.5</w:t>
            </w:r>
          </w:p>
        </w:tc>
        <w:tc>
          <w:tcPr>
            <w:tcW w:w="700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Statements and Reports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0"/>
        </w:trPr>
        <w:tc>
          <w:tcPr>
            <w:tcW w:w="216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3.6</w:t>
            </w:r>
          </w:p>
        </w:tc>
        <w:tc>
          <w:tcPr>
            <w:tcW w:w="30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22"/>
                <w:szCs w:val="22"/>
                <w:color w:val="auto"/>
                <w:w w:val="98"/>
              </w:rPr>
              <w:t>Inspection Rights and Remediation</w:t>
            </w:r>
          </w:p>
        </w:tc>
        <w:tc>
          <w:tcPr>
            <w:tcW w:w="3940" w:type="dxa"/>
            <w:vAlign w:val="bottom"/>
            <w:gridSpan w:val="10"/>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3.7</w:t>
            </w:r>
          </w:p>
        </w:tc>
        <w:tc>
          <w:tcPr>
            <w:tcW w:w="580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2"/>
                <w:szCs w:val="22"/>
                <w:color w:val="auto"/>
                <w:w w:val="98"/>
              </w:rPr>
              <w:t>Maintenance of Fidelity Bond and Errors and Omissions Insurance</w:t>
            </w:r>
          </w:p>
        </w:tc>
        <w:tc>
          <w:tcPr>
            <w:tcW w:w="1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29"/>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IV GENERAL SERVICING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4.1</w:t>
            </w:r>
          </w:p>
        </w:tc>
        <w:tc>
          <w:tcPr>
            <w:tcW w:w="5220" w:type="dxa"/>
            <w:vAlign w:val="bottom"/>
            <w:tcBorders>
              <w:bottom w:val="single" w:sz="8" w:color="auto"/>
            </w:tcBorders>
            <w:gridSpan w:val="22"/>
          </w:tcPr>
          <w:p>
            <w:pPr>
              <w:spacing w:after="0" w:line="244" w:lineRule="exact"/>
              <w:rPr>
                <w:sz w:val="20"/>
                <w:szCs w:val="20"/>
                <w:color w:val="auto"/>
              </w:rPr>
            </w:pPr>
            <w:r>
              <w:rPr>
                <w:rFonts w:ascii="Times New Roman" w:cs="Times New Roman" w:eastAsia="Times New Roman" w:hAnsi="Times New Roman"/>
                <w:sz w:val="22"/>
                <w:szCs w:val="22"/>
                <w:color w:val="auto"/>
                <w:w w:val="98"/>
              </w:rPr>
              <w:t>Satisfaction of Bank Loans and Release of Loan Documents</w:t>
            </w:r>
          </w:p>
        </w:tc>
        <w:tc>
          <w:tcPr>
            <w:tcW w:w="1780" w:type="dxa"/>
            <w:vAlign w:val="bottom"/>
            <w:gridSpan w:val="2"/>
          </w:tcPr>
          <w:p>
            <w:pPr>
              <w:spacing w:after="0"/>
              <w:rPr>
                <w:sz w:val="21"/>
                <w:szCs w:val="21"/>
                <w:color w:val="auto"/>
              </w:rPr>
            </w:pP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8</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4.2</w:t>
            </w:r>
          </w:p>
        </w:tc>
        <w:tc>
          <w:tcPr>
            <w:tcW w:w="21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7"/>
              </w:rPr>
              <w:t>Servicing Compensation</w:t>
            </w:r>
          </w:p>
        </w:tc>
        <w:tc>
          <w:tcPr>
            <w:tcW w:w="4860" w:type="dxa"/>
            <w:vAlign w:val="bottom"/>
            <w:gridSpan w:val="15"/>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4.3</w:t>
            </w:r>
          </w:p>
        </w:tc>
        <w:tc>
          <w:tcPr>
            <w:tcW w:w="700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Consumer Complaints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0"/>
        </w:trPr>
        <w:tc>
          <w:tcPr>
            <w:tcW w:w="216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29"/>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V REPRESENTATIONS, WARRANTIES AND COVENANTS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5.1</w:t>
            </w:r>
          </w:p>
        </w:tc>
        <w:tc>
          <w:tcPr>
            <w:tcW w:w="7000" w:type="dxa"/>
            <w:vAlign w:val="bottom"/>
            <w:gridSpan w:val="24"/>
          </w:tcPr>
          <w:p>
            <w:pPr>
              <w:spacing w:after="0" w:line="244" w:lineRule="exact"/>
              <w:rPr>
                <w:sz w:val="20"/>
                <w:szCs w:val="20"/>
                <w:color w:val="auto"/>
              </w:rPr>
            </w:pPr>
            <w:r>
              <w:rPr>
                <w:rFonts w:ascii="Times New Roman" w:cs="Times New Roman" w:eastAsia="Times New Roman" w:hAnsi="Times New Roman"/>
                <w:sz w:val="22"/>
                <w:szCs w:val="22"/>
                <w:color w:val="auto"/>
              </w:rPr>
              <w:t>Representations and Warranties of Servicer</w:t>
            </w: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9</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5.2</w:t>
            </w:r>
          </w:p>
        </w:tc>
        <w:tc>
          <w:tcPr>
            <w:tcW w:w="374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22"/>
                <w:szCs w:val="22"/>
                <w:color w:val="auto"/>
              </w:rPr>
              <w:t>Representations and Warranties of Bank</w:t>
            </w:r>
          </w:p>
        </w:tc>
        <w:tc>
          <w:tcPr>
            <w:tcW w:w="3260" w:type="dxa"/>
            <w:vAlign w:val="bottom"/>
            <w:gridSpan w:val="5"/>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5.3</w:t>
            </w:r>
          </w:p>
        </w:tc>
        <w:tc>
          <w:tcPr>
            <w:tcW w:w="348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22"/>
                <w:szCs w:val="22"/>
                <w:color w:val="auto"/>
              </w:rPr>
              <w:t>Covenants of the Servicer</w:t>
            </w:r>
          </w:p>
        </w:tc>
        <w:tc>
          <w:tcPr>
            <w:tcW w:w="3520" w:type="dxa"/>
            <w:vAlign w:val="bottom"/>
            <w:gridSpan w:val="6"/>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0"/>
        </w:trPr>
        <w:tc>
          <w:tcPr>
            <w:tcW w:w="216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5.4</w:t>
            </w:r>
          </w:p>
        </w:tc>
        <w:tc>
          <w:tcPr>
            <w:tcW w:w="700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Negative Covenants of the Servicer</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0"/>
        </w:trPr>
        <w:tc>
          <w:tcPr>
            <w:tcW w:w="216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29"/>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VI SERVICER</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6.1</w:t>
            </w:r>
          </w:p>
        </w:tc>
        <w:tc>
          <w:tcPr>
            <w:tcW w:w="7000" w:type="dxa"/>
            <w:vAlign w:val="bottom"/>
            <w:gridSpan w:val="24"/>
          </w:tcPr>
          <w:p>
            <w:pPr>
              <w:spacing w:after="0" w:line="244" w:lineRule="exact"/>
              <w:rPr>
                <w:sz w:val="20"/>
                <w:szCs w:val="20"/>
                <w:color w:val="auto"/>
              </w:rPr>
            </w:pPr>
            <w:r>
              <w:rPr>
                <w:rFonts w:ascii="Times New Roman" w:cs="Times New Roman" w:eastAsia="Times New Roman" w:hAnsi="Times New Roman"/>
                <w:sz w:val="22"/>
                <w:szCs w:val="22"/>
                <w:color w:val="auto"/>
              </w:rPr>
              <w:t>Limitation on Resignation by Servicer</w:t>
            </w: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13</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6.2</w:t>
            </w:r>
          </w:p>
        </w:tc>
        <w:tc>
          <w:tcPr>
            <w:tcW w:w="2400" w:type="dxa"/>
            <w:vAlign w:val="bottom"/>
            <w:tcBorders>
              <w:top w:val="single" w:sz="8" w:color="auto"/>
              <w:bottom w:val="single" w:sz="8" w:color="auto"/>
            </w:tcBorders>
            <w:gridSpan w:val="11"/>
          </w:tcPr>
          <w:p>
            <w:pPr>
              <w:spacing w:after="0"/>
              <w:rPr>
                <w:sz w:val="20"/>
                <w:szCs w:val="20"/>
                <w:color w:val="auto"/>
              </w:rPr>
            </w:pPr>
            <w:r>
              <w:rPr>
                <w:rFonts w:ascii="Times New Roman" w:cs="Times New Roman" w:eastAsia="Times New Roman" w:hAnsi="Times New Roman"/>
                <w:sz w:val="22"/>
                <w:szCs w:val="22"/>
                <w:color w:val="auto"/>
                <w:w w:val="98"/>
              </w:rPr>
              <w:t>Reliance and Other Matters</w:t>
            </w:r>
          </w:p>
        </w:tc>
        <w:tc>
          <w:tcPr>
            <w:tcW w:w="920" w:type="dxa"/>
            <w:vAlign w:val="bottom"/>
            <w:tcBorders>
              <w:top w:val="single" w:sz="8" w:color="auto"/>
            </w:tcBorders>
            <w:gridSpan w:val="6"/>
          </w:tcPr>
          <w:p>
            <w:pPr>
              <w:spacing w:after="0"/>
              <w:rPr>
                <w:sz w:val="24"/>
                <w:szCs w:val="24"/>
                <w:color w:val="auto"/>
              </w:rPr>
            </w:pPr>
          </w:p>
        </w:tc>
        <w:tc>
          <w:tcPr>
            <w:tcW w:w="3680" w:type="dxa"/>
            <w:vAlign w:val="bottom"/>
            <w:gridSpan w:val="7"/>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6.3</w:t>
            </w:r>
          </w:p>
        </w:tc>
        <w:tc>
          <w:tcPr>
            <w:tcW w:w="7000" w:type="dxa"/>
            <w:vAlign w:val="bottom"/>
            <w:gridSpan w:val="24"/>
          </w:tcPr>
          <w:p>
            <w:pPr>
              <w:spacing w:after="0"/>
              <w:rPr>
                <w:sz w:val="20"/>
                <w:szCs w:val="20"/>
                <w:color w:val="auto"/>
              </w:rPr>
            </w:pPr>
            <w:r>
              <w:rPr>
                <w:rFonts w:ascii="Times New Roman" w:cs="Times New Roman" w:eastAsia="Times New Roman" w:hAnsi="Times New Roman"/>
                <w:sz w:val="22"/>
                <w:szCs w:val="22"/>
                <w:color w:val="auto"/>
              </w:rPr>
              <w:t>Bank Notification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0"/>
        </w:trPr>
        <w:tc>
          <w:tcPr>
            <w:tcW w:w="216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560" w:type="dxa"/>
            <w:vAlign w:val="bottom"/>
            <w:gridSpan w:val="1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29"/>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VII TERMINATION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7.1</w:t>
            </w:r>
          </w:p>
        </w:tc>
        <w:tc>
          <w:tcPr>
            <w:tcW w:w="7000" w:type="dxa"/>
            <w:vAlign w:val="bottom"/>
            <w:gridSpan w:val="24"/>
          </w:tcPr>
          <w:p>
            <w:pPr>
              <w:spacing w:after="0" w:line="244" w:lineRule="exact"/>
              <w:rPr>
                <w:sz w:val="20"/>
                <w:szCs w:val="20"/>
                <w:color w:val="auto"/>
              </w:rPr>
            </w:pPr>
            <w:r>
              <w:rPr>
                <w:rFonts w:ascii="Times New Roman" w:cs="Times New Roman" w:eastAsia="Times New Roman" w:hAnsi="Times New Roman"/>
                <w:sz w:val="22"/>
                <w:szCs w:val="22"/>
                <w:color w:val="auto"/>
              </w:rPr>
              <w:t>Servicer Event of Default</w:t>
            </w: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14</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7.2</w:t>
            </w:r>
          </w:p>
        </w:tc>
        <w:tc>
          <w:tcPr>
            <w:tcW w:w="20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w w:val="97"/>
              </w:rPr>
              <w:t>Term of this Agreement</w:t>
            </w:r>
          </w:p>
        </w:tc>
        <w:tc>
          <w:tcPr>
            <w:tcW w:w="160" w:type="dxa"/>
            <w:vAlign w:val="bottom"/>
            <w:tcBorders>
              <w:top w:val="single" w:sz="8" w:color="auto"/>
            </w:tcBorders>
            <w:gridSpan w:val="2"/>
          </w:tcPr>
          <w:p>
            <w:pPr>
              <w:spacing w:after="0"/>
              <w:rPr>
                <w:sz w:val="24"/>
                <w:szCs w:val="24"/>
                <w:color w:val="auto"/>
              </w:rPr>
            </w:pPr>
          </w:p>
        </w:tc>
        <w:tc>
          <w:tcPr>
            <w:tcW w:w="4760" w:type="dxa"/>
            <w:vAlign w:val="bottom"/>
            <w:gridSpan w:val="14"/>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0"/>
        </w:trPr>
        <w:tc>
          <w:tcPr>
            <w:tcW w:w="9160" w:type="dxa"/>
            <w:vAlign w:val="bottom"/>
            <w:gridSpan w:val="25"/>
          </w:tcPr>
          <w:p>
            <w:pPr>
              <w:spacing w:after="0"/>
              <w:rPr>
                <w:sz w:val="20"/>
                <w:szCs w:val="20"/>
                <w:color w:val="auto"/>
              </w:rPr>
            </w:pPr>
            <w:r>
              <w:rPr>
                <w:rFonts w:ascii="Times New Roman" w:cs="Times New Roman" w:eastAsia="Times New Roman" w:hAnsi="Times New Roman"/>
                <w:sz w:val="22"/>
                <w:szCs w:val="22"/>
                <w:color w:val="auto"/>
              </w:rPr>
              <w:t>ARTICLE VIII INDEMNIFICATION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44"/>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8.1</w:t>
            </w:r>
          </w:p>
        </w:tc>
        <w:tc>
          <w:tcPr>
            <w:tcW w:w="2440" w:type="dxa"/>
            <w:vAlign w:val="bottom"/>
            <w:tcBorders>
              <w:bottom w:val="single" w:sz="8" w:color="auto"/>
            </w:tcBorders>
            <w:gridSpan w:val="12"/>
          </w:tcPr>
          <w:p>
            <w:pPr>
              <w:spacing w:after="0" w:line="244" w:lineRule="exact"/>
              <w:rPr>
                <w:sz w:val="20"/>
                <w:szCs w:val="20"/>
                <w:color w:val="auto"/>
              </w:rPr>
            </w:pPr>
            <w:r>
              <w:rPr>
                <w:rFonts w:ascii="Times New Roman" w:cs="Times New Roman" w:eastAsia="Times New Roman" w:hAnsi="Times New Roman"/>
                <w:sz w:val="22"/>
                <w:szCs w:val="22"/>
                <w:color w:val="auto"/>
                <w:w w:val="98"/>
              </w:rPr>
              <w:t>Indemnification by Servicer</w:t>
            </w:r>
          </w:p>
        </w:tc>
        <w:tc>
          <w:tcPr>
            <w:tcW w:w="4560" w:type="dxa"/>
            <w:vAlign w:val="bottom"/>
            <w:gridSpan w:val="12"/>
          </w:tcPr>
          <w:p>
            <w:pPr>
              <w:spacing w:after="0"/>
              <w:rPr>
                <w:sz w:val="21"/>
                <w:szCs w:val="21"/>
                <w:color w:val="auto"/>
              </w:rPr>
            </w:pPr>
          </w:p>
        </w:tc>
        <w:tc>
          <w:tcPr>
            <w:tcW w:w="16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800"/>
          </w:cols>
          <w:pgMar w:left="760" w:top="1404" w:right="339" w:bottom="1440" w:gutter="0" w:footer="0" w:header="0"/>
        </w:sectPr>
      </w:pPr>
    </w:p>
    <w:bookmarkStart w:id="89" w:name="page90"/>
    <w:bookmarkEnd w:id="89"/>
    <w:tbl>
      <w:tblPr>
        <w:tblLayout w:type="fixed"/>
        <w:tblInd w:w="440" w:type="dxa"/>
        <w:tblCellMar>
          <w:top w:w="0" w:type="dxa"/>
          <w:left w:w="0" w:type="dxa"/>
          <w:bottom w:w="0" w:type="dxa"/>
          <w:right w:w="0" w:type="dxa"/>
        </w:tblCellMar>
      </w:tblPr>
      <w:tr>
        <w:trPr>
          <w:trHeight w:val="253"/>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8.2</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Indemnification by Bank</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0"/>
        </w:trPr>
        <w:tc>
          <w:tcPr>
            <w:tcW w:w="2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8.3</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8.4</w:t>
            </w:r>
          </w:p>
        </w:tc>
        <w:tc>
          <w:tcPr>
            <w:tcW w:w="180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w w:val="97"/>
              </w:rPr>
              <w:t>Mitigation of Losses</w:t>
            </w:r>
          </w:p>
        </w:tc>
        <w:tc>
          <w:tcPr>
            <w:tcW w:w="600" w:type="dxa"/>
            <w:vAlign w:val="bottom"/>
            <w:tcBorders>
              <w:top w:val="single" w:sz="8" w:color="auto"/>
            </w:tcBorders>
            <w:gridSpan w:val="5"/>
          </w:tcPr>
          <w:p>
            <w:pPr>
              <w:spacing w:after="0"/>
              <w:rPr>
                <w:sz w:val="24"/>
                <w:szCs w:val="24"/>
                <w:color w:val="auto"/>
              </w:rPr>
            </w:pPr>
          </w:p>
        </w:tc>
        <w:tc>
          <w:tcPr>
            <w:tcW w:w="980" w:type="dxa"/>
            <w:vAlign w:val="bottom"/>
            <w:gridSpan w:val="3"/>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8.5</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Single Recovery</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0"/>
        </w:trPr>
        <w:tc>
          <w:tcPr>
            <w:tcW w:w="2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29"/>
        </w:trPr>
        <w:tc>
          <w:tcPr>
            <w:tcW w:w="5540" w:type="dxa"/>
            <w:vAlign w:val="bottom"/>
            <w:gridSpan w:val="17"/>
          </w:tcPr>
          <w:p>
            <w:pPr>
              <w:spacing w:after="0"/>
              <w:rPr>
                <w:sz w:val="20"/>
                <w:szCs w:val="20"/>
                <w:color w:val="auto"/>
              </w:rPr>
            </w:pPr>
            <w:r>
              <w:rPr>
                <w:rFonts w:ascii="Times New Roman" w:cs="Times New Roman" w:eastAsia="Times New Roman" w:hAnsi="Times New Roman"/>
                <w:sz w:val="22"/>
                <w:szCs w:val="22"/>
                <w:color w:val="auto"/>
              </w:rPr>
              <w:t>ARTICLE IX MISCELLANEOUS PROVISIONS</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45"/>
        </w:trPr>
        <w:tc>
          <w:tcPr>
            <w:tcW w:w="2160" w:type="dxa"/>
            <w:vAlign w:val="bottom"/>
          </w:tcPr>
          <w:p>
            <w:pPr>
              <w:ind w:left="220"/>
              <w:spacing w:after="0" w:line="244" w:lineRule="exact"/>
              <w:rPr>
                <w:sz w:val="20"/>
                <w:szCs w:val="20"/>
                <w:color w:val="auto"/>
              </w:rPr>
            </w:pPr>
            <w:r>
              <w:rPr>
                <w:rFonts w:ascii="Times New Roman" w:cs="Times New Roman" w:eastAsia="Times New Roman" w:hAnsi="Times New Roman"/>
                <w:sz w:val="22"/>
                <w:szCs w:val="22"/>
                <w:color w:val="auto"/>
              </w:rPr>
              <w:t>Section 9.1</w:t>
            </w:r>
          </w:p>
        </w:tc>
        <w:tc>
          <w:tcPr>
            <w:tcW w:w="3380" w:type="dxa"/>
            <w:vAlign w:val="bottom"/>
            <w:gridSpan w:val="16"/>
          </w:tcPr>
          <w:p>
            <w:pPr>
              <w:spacing w:after="0" w:line="244" w:lineRule="exact"/>
              <w:rPr>
                <w:sz w:val="20"/>
                <w:szCs w:val="20"/>
                <w:color w:val="auto"/>
              </w:rPr>
            </w:pPr>
            <w:r>
              <w:rPr>
                <w:rFonts w:ascii="Times New Roman" w:cs="Times New Roman" w:eastAsia="Times New Roman" w:hAnsi="Times New Roman"/>
                <w:sz w:val="22"/>
                <w:szCs w:val="22"/>
                <w:color w:val="auto"/>
              </w:rPr>
              <w:t>Notice</w:t>
            </w:r>
          </w:p>
        </w:tc>
        <w:tc>
          <w:tcPr>
            <w:tcW w:w="52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18</w:t>
            </w:r>
          </w:p>
        </w:tc>
      </w:tr>
      <w:tr>
        <w:trPr>
          <w:trHeight w:val="20"/>
        </w:trPr>
        <w:tc>
          <w:tcPr>
            <w:tcW w:w="2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9.2</w:t>
            </w: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7"/>
              </w:rPr>
              <w:t>Severability</w:t>
            </w:r>
          </w:p>
        </w:tc>
        <w:tc>
          <w:tcPr>
            <w:tcW w:w="2320" w:type="dxa"/>
            <w:vAlign w:val="bottom"/>
            <w:gridSpan w:val="13"/>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9.3</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Governing Law; Arbitration</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9.4</w:t>
            </w:r>
          </w:p>
        </w:tc>
        <w:tc>
          <w:tcPr>
            <w:tcW w:w="196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7"/>
              </w:rPr>
              <w:t>Limitation of Liability</w:t>
            </w:r>
          </w:p>
        </w:tc>
        <w:tc>
          <w:tcPr>
            <w:tcW w:w="480" w:type="dxa"/>
            <w:vAlign w:val="bottom"/>
            <w:tcBorders>
              <w:top w:val="single" w:sz="8" w:color="auto"/>
            </w:tcBorders>
            <w:gridSpan w:val="5"/>
          </w:tcPr>
          <w:p>
            <w:pPr>
              <w:spacing w:after="0"/>
              <w:rPr>
                <w:sz w:val="24"/>
                <w:szCs w:val="24"/>
                <w:color w:val="auto"/>
              </w:rPr>
            </w:pPr>
          </w:p>
        </w:tc>
        <w:tc>
          <w:tcPr>
            <w:tcW w:w="940" w:type="dxa"/>
            <w:vAlign w:val="bottom"/>
            <w:gridSpan w:val="2"/>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9.5</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Further Assurances</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0"/>
        </w:trPr>
        <w:tc>
          <w:tcPr>
            <w:tcW w:w="2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9.6</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Successors and Assigns</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9.7</w:t>
            </w:r>
          </w:p>
        </w:tc>
        <w:tc>
          <w:tcPr>
            <w:tcW w:w="156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w w:val="98"/>
              </w:rPr>
              <w:t>Entire Agreement</w:t>
            </w:r>
          </w:p>
        </w:tc>
        <w:tc>
          <w:tcPr>
            <w:tcW w:w="500" w:type="dxa"/>
            <w:vAlign w:val="bottom"/>
            <w:tcBorders>
              <w:top w:val="single" w:sz="8" w:color="auto"/>
            </w:tcBorders>
            <w:gridSpan w:val="4"/>
          </w:tcPr>
          <w:p>
            <w:pPr>
              <w:spacing w:after="0"/>
              <w:rPr>
                <w:sz w:val="24"/>
                <w:szCs w:val="24"/>
                <w:color w:val="auto"/>
              </w:rPr>
            </w:pPr>
          </w:p>
        </w:tc>
        <w:tc>
          <w:tcPr>
            <w:tcW w:w="1320" w:type="dxa"/>
            <w:vAlign w:val="bottom"/>
            <w:gridSpan w:val="6"/>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9.8</w:t>
            </w:r>
          </w:p>
        </w:tc>
        <w:tc>
          <w:tcPr>
            <w:tcW w:w="22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2"/>
                <w:szCs w:val="22"/>
                <w:color w:val="auto"/>
                <w:w w:val="96"/>
              </w:rPr>
              <w:t>Amendment and Waivers</w:t>
            </w:r>
          </w:p>
        </w:tc>
        <w:tc>
          <w:tcPr>
            <w:tcW w:w="1180" w:type="dxa"/>
            <w:vAlign w:val="bottom"/>
            <w:gridSpan w:val="4"/>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9.9</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Referrals</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0"/>
        </w:trPr>
        <w:tc>
          <w:tcPr>
            <w:tcW w:w="2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9.10.</w:t>
            </w:r>
          </w:p>
        </w:tc>
        <w:tc>
          <w:tcPr>
            <w:tcW w:w="21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2"/>
                <w:szCs w:val="22"/>
                <w:color w:val="auto"/>
                <w:w w:val="98"/>
              </w:rPr>
              <w:t>Interpretation; Headings</w:t>
            </w:r>
          </w:p>
        </w:tc>
        <w:tc>
          <w:tcPr>
            <w:tcW w:w="1220" w:type="dxa"/>
            <w:vAlign w:val="bottom"/>
            <w:gridSpan w:val="5"/>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9.11.</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Counterparts</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0"/>
        </w:trPr>
        <w:tc>
          <w:tcPr>
            <w:tcW w:w="2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9.12.</w:t>
            </w:r>
          </w:p>
        </w:tc>
        <w:tc>
          <w:tcPr>
            <w:tcW w:w="3380" w:type="dxa"/>
            <w:vAlign w:val="bottom"/>
            <w:gridSpan w:val="16"/>
          </w:tcPr>
          <w:p>
            <w:pPr>
              <w:spacing w:after="0"/>
              <w:rPr>
                <w:sz w:val="20"/>
                <w:szCs w:val="20"/>
                <w:color w:val="auto"/>
              </w:rPr>
            </w:pPr>
            <w:r>
              <w:rPr>
                <w:rFonts w:ascii="Times New Roman" w:cs="Times New Roman" w:eastAsia="Times New Roman" w:hAnsi="Times New Roman"/>
                <w:sz w:val="22"/>
                <w:szCs w:val="22"/>
                <w:color w:val="auto"/>
              </w:rPr>
              <w:t>No Joint Venture or Partnership</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9.13.</w:t>
            </w:r>
          </w:p>
        </w:tc>
        <w:tc>
          <w:tcPr>
            <w:tcW w:w="274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2"/>
                <w:szCs w:val="22"/>
                <w:color w:val="auto"/>
              </w:rPr>
              <w:t>Survival</w:t>
            </w:r>
          </w:p>
        </w:tc>
        <w:tc>
          <w:tcPr>
            <w:tcW w:w="640" w:type="dxa"/>
            <w:vAlign w:val="bottom"/>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0"/>
        </w:trPr>
        <w:tc>
          <w:tcPr>
            <w:tcW w:w="2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40" w:type="dxa"/>
            <w:vAlign w:val="bottom"/>
            <w:gridSpan w:val="14"/>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77"/>
        </w:trPr>
        <w:tc>
          <w:tcPr>
            <w:tcW w:w="21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Section 9.14.</w:t>
            </w:r>
          </w:p>
        </w:tc>
        <w:tc>
          <w:tcPr>
            <w:tcW w:w="338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2"/>
                <w:szCs w:val="22"/>
                <w:color w:val="auto"/>
                <w:w w:val="97"/>
              </w:rPr>
              <w:t>Disclosure of Confidential Information</w:t>
            </w:r>
          </w:p>
        </w:tc>
        <w:tc>
          <w:tcPr>
            <w:tcW w:w="5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Accepted Servicing Practices</w:t>
      </w: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Servicing Fee</w:t>
      </w:r>
    </w:p>
    <w:p>
      <w:pPr>
        <w:spacing w:after="0" w:line="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Power of Attorney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20"/>
          </w:cols>
          <w:pgMar w:left="320" w:top="1439" w:right="359" w:bottom="1440" w:gutter="0" w:footer="0" w:header="0"/>
        </w:sectPr>
      </w:pPr>
    </w:p>
    <w:bookmarkStart w:id="90" w:name="page91"/>
    <w:bookmarkEnd w:id="9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LOAN SERVICING AGREEMENT, dated as of May 31,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between AFFIRM, INC., a Delaware corporation (“</w:t>
      </w:r>
      <w:r>
        <w:rPr>
          <w:rFonts w:ascii="Times New Roman" w:cs="Times New Roman" w:eastAsia="Times New Roman" w:hAnsi="Times New Roman"/>
          <w:sz w:val="22"/>
          <w:szCs w:val="22"/>
          <w:u w:val="single" w:color="auto"/>
          <w:color w:val="auto"/>
        </w:rPr>
        <w:t>Affirm</w:t>
      </w:r>
      <w:r>
        <w:rPr>
          <w:rFonts w:ascii="Times New Roman" w:cs="Times New Roman" w:eastAsia="Times New Roman" w:hAnsi="Times New Roman"/>
          <w:sz w:val="22"/>
          <w:szCs w:val="22"/>
          <w:color w:val="auto"/>
        </w:rPr>
        <w:t>”), in its capacity as servicer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and LEAD BANK, an FDIC insured state-chartered bank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Affirm and Bank have entered into that certain Loan Program Agreement, dated as of the date hereof (as may be amended, restated, supplemented or otherwise modified from time to time, the “</w:t>
      </w:r>
      <w:r>
        <w:rPr>
          <w:rFonts w:ascii="Times New Roman" w:cs="Times New Roman" w:eastAsia="Times New Roman" w:hAnsi="Times New Roman"/>
          <w:sz w:val="22"/>
          <w:szCs w:val="22"/>
          <w:u w:val="single" w:color="auto"/>
          <w:color w:val="auto"/>
        </w:rPr>
        <w:t>Program Agreement</w:t>
      </w:r>
      <w:r>
        <w:rPr>
          <w:rFonts w:ascii="Times New Roman" w:cs="Times New Roman" w:eastAsia="Times New Roman" w:hAnsi="Times New Roman"/>
          <w:sz w:val="22"/>
          <w:szCs w:val="22"/>
          <w:color w:val="auto"/>
        </w:rPr>
        <w:t>”), pursuant to which Affirm has agreed to provide services to Bank for the origination of loans;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Affirm and Bank have entered into that certain Loan Sale Agreement, dated as of the date hereof (as may be amended, restated, supplemented or otherwise modified from time to time, the “</w:t>
      </w:r>
      <w:r>
        <w:rPr>
          <w:rFonts w:ascii="Times New Roman" w:cs="Times New Roman" w:eastAsia="Times New Roman" w:hAnsi="Times New Roman"/>
          <w:sz w:val="22"/>
          <w:szCs w:val="22"/>
          <w:u w:val="single" w:color="auto"/>
          <w:color w:val="auto"/>
        </w:rPr>
        <w:t>Sale Agreement</w:t>
      </w:r>
      <w:r>
        <w:rPr>
          <w:rFonts w:ascii="Times New Roman" w:cs="Times New Roman" w:eastAsia="Times New Roman" w:hAnsi="Times New Roman"/>
          <w:sz w:val="22"/>
          <w:szCs w:val="22"/>
          <w:color w:val="auto"/>
        </w:rPr>
        <w:t>”), pursuant to which Bank has agreed to sell the loans specified therein from time to time; and</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Servicer has agreed to service the Bank Loans (as defined below), and Servicer and Bank desire to set forth the terms and conditions under which Servicer will service such Bank Loans on behalf of Bank;</w:t>
      </w:r>
    </w:p>
    <w:p>
      <w:pPr>
        <w:spacing w:after="0" w:line="15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mutual agreements hereinafter set forth, and for other good and reasonable consideration, the receipt and adequacy of which is hereby acknowledged, Bank and Servicer hereby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Capitalized terms used in this Agreement shall have the meanings specified in the Program Agreement, or if not defined therein, in the Sale Agreement; or if not defined in the Program Agreement or the Sale Agreement, as set forth below:</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Accepted Servicing Practices</w:t>
      </w:r>
      <w:r>
        <w:rPr>
          <w:rFonts w:ascii="Times New Roman" w:cs="Times New Roman" w:eastAsia="Times New Roman" w:hAnsi="Times New Roman"/>
          <w:sz w:val="22"/>
          <w:szCs w:val="22"/>
          <w:color w:val="auto"/>
        </w:rPr>
        <w:t xml:space="preserve">” shall mean the collection and servicing policies of the Servicer with respect to the servicing and administration of the Bank Loans delivered by the Servicer to Bank and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as such policies may be amended, restated, modified or supplemented from time to time in accordance with the terms of this Agreement.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Loan Servicing Agreement, including all exhibits and schedules attached hereto or delivered in connection herewith.</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Fees</w:t>
      </w:r>
      <w:r>
        <w:rPr>
          <w:rFonts w:ascii="Times New Roman" w:cs="Times New Roman" w:eastAsia="Times New Roman" w:hAnsi="Times New Roman"/>
          <w:sz w:val="22"/>
          <w:szCs w:val="22"/>
          <w:color w:val="auto"/>
        </w:rPr>
        <w:t>” shall mean [***].</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Requirements</w:t>
      </w:r>
      <w:r>
        <w:rPr>
          <w:rFonts w:ascii="Times New Roman" w:cs="Times New Roman" w:eastAsia="Times New Roman" w:hAnsi="Times New Roman"/>
          <w:sz w:val="22"/>
          <w:szCs w:val="22"/>
          <w:color w:val="auto"/>
        </w:rPr>
        <w:t>” shall mean, as of the time of reference, (a) this Agreement, (b) the applicable Loan Documents, (c) all Applicable Laws applicable to Servicer or to the enforcement and servicing of the Bank Loans where failure to comply would reasonably be</w:t>
      </w:r>
    </w:p>
    <w:p>
      <w:pPr>
        <w:sectPr>
          <w:pgSz w:w="11900" w:h="16838" w:orient="portrait"/>
          <w:cols w:equalWidth="0" w:num="1">
            <w:col w:w="11240"/>
          </w:cols>
          <w:pgMar w:left="320" w:top="1422" w:right="339" w:bottom="1440" w:gutter="0" w:footer="0" w:header="0"/>
        </w:sectPr>
      </w:pPr>
    </w:p>
    <w:bookmarkStart w:id="91" w:name="page92"/>
    <w:bookmarkEnd w:id="91"/>
    <w:p>
      <w:pPr>
        <w:jc w:val="both"/>
        <w:spacing w:after="0" w:line="271" w:lineRule="auto"/>
        <w:rPr>
          <w:sz w:val="20"/>
          <w:szCs w:val="20"/>
          <w:color w:val="auto"/>
        </w:rPr>
      </w:pPr>
      <w:r>
        <w:rPr>
          <w:rFonts w:ascii="Times New Roman" w:cs="Times New Roman" w:eastAsia="Times New Roman" w:hAnsi="Times New Roman"/>
          <w:sz w:val="22"/>
          <w:szCs w:val="22"/>
          <w:color w:val="auto"/>
        </w:rPr>
        <w:t>expected to have a Material Adverse Effect on Servicer or the Bank Loans and (d) all judicial and administrative judgments, orders, stipulations and injunctions applicable to Bank, Servicer and the Bank Loans.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shall mean a back-up servicer that is in the business of servicing loans similar to the Bank Loans, that is designated by Servicer, and acceptable to Bank.</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Servicing Agreement</w:t>
      </w:r>
      <w:r>
        <w:rPr>
          <w:rFonts w:ascii="Times New Roman" w:cs="Times New Roman" w:eastAsia="Times New Roman" w:hAnsi="Times New Roman"/>
          <w:sz w:val="22"/>
          <w:szCs w:val="22"/>
          <w:color w:val="auto"/>
        </w:rPr>
        <w:t>” shall mean a back-up servicing agreement with a Back-Up Servicer, on terms and conditions satisfactory to Bank.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Loan</w:t>
      </w:r>
      <w:r>
        <w:rPr>
          <w:rFonts w:ascii="Times New Roman" w:cs="Times New Roman" w:eastAsia="Times New Roman" w:hAnsi="Times New Roman"/>
          <w:sz w:val="22"/>
          <w:szCs w:val="22"/>
          <w:color w:val="auto"/>
        </w:rPr>
        <w:t>” shall mean a Loan that is owned by Bank.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shall mean Title 11 of the United States Code. 11 U.S.C. §§ 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as amended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xml:space="preserve">” shall mean any deposit account designated by Bank by written notice to Servicer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shall give Servicer at least five (5) Business Days prior written notice of any change to the Collection Account.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Agent</w:t>
      </w:r>
      <w:r>
        <w:rPr>
          <w:rFonts w:ascii="Times New Roman" w:cs="Times New Roman" w:eastAsia="Times New Roman" w:hAnsi="Times New Roman"/>
          <w:sz w:val="22"/>
          <w:szCs w:val="22"/>
          <w:color w:val="auto"/>
        </w:rPr>
        <w:t>” shall mean any Person that Servicer hires to provide servicing and collection activities for a Delinquent Loan or a Defaulted Loan.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Fees</w:t>
      </w:r>
      <w:r>
        <w:rPr>
          <w:rFonts w:ascii="Times New Roman" w:cs="Times New Roman" w:eastAsia="Times New Roman" w:hAnsi="Times New Roman"/>
          <w:sz w:val="22"/>
          <w:szCs w:val="22"/>
          <w:color w:val="auto"/>
        </w:rPr>
        <w:t>” shall mean [***].</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xml:space="preserve">” shall mean, with respect to any Monthly Settlement Date, the calendar month immediately preceding such Monthly Settlement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initial Monthly Settlement Date, the Collection Period shall mean the period commencing on the ninetieth (90th) day following the Effective Date and ending on the last day of the calendar month in which the ninetieth (90th) day following the Effective Date occurs.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shall mean (i) the Bankruptcy Code and (ii) all other applicable liquidation, conservatorship, bankruptcy, moratorium, arrangement, receivership, insolvency, reorganization, suspension of payments, adjustment of debt, marshaling of assets or similar debtor relief laws of the United States, any state or any foreign country from time to time in effect affecting the rights of creditors generally.</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Loan</w:t>
      </w:r>
      <w:r>
        <w:rPr>
          <w:rFonts w:ascii="Times New Roman" w:cs="Times New Roman" w:eastAsia="Times New Roman" w:hAnsi="Times New Roman"/>
          <w:sz w:val="22"/>
          <w:szCs w:val="22"/>
          <w:color w:val="auto"/>
        </w:rPr>
        <w:t>” shall mean, as of any date of determination, a Bank Loan (i) for which the related Borrower is more than one hundred twenty (120) calendar days past due on any portion of any payment required to be made under the terms of the related Loan Documents in an amount greater than [***], (ii) for which the related Borrower has become the subject of a proceeding under a Debtor Relief Law and Affirm has actual knowledge of such proceeding, (iii) which the Servicer has charged off or is required to charge off pursuant to the Accepted Servicing Practices and has an outstanding principal balance of more than [***] or (iv) was obtained fraudulently by a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Loan</w:t>
      </w:r>
      <w:r>
        <w:rPr>
          <w:rFonts w:ascii="Times New Roman" w:cs="Times New Roman" w:eastAsia="Times New Roman" w:hAnsi="Times New Roman"/>
          <w:sz w:val="22"/>
          <w:szCs w:val="22"/>
          <w:color w:val="auto"/>
        </w:rPr>
        <w:t>” shall mean, as of any date of determination, a Bank Loan that is not a Defaulted Loan and for which the related Borrower is more than thirty (30) calendar days past due on any portion of any payment required to be made under the related Loan Documents in an amount greater than [***].</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Insolvent</w:t>
      </w:r>
      <w:r>
        <w:rPr>
          <w:rFonts w:ascii="Times New Roman" w:cs="Times New Roman" w:eastAsia="Times New Roman" w:hAnsi="Times New Roman"/>
          <w:sz w:val="22"/>
          <w:szCs w:val="22"/>
          <w:color w:val="auto"/>
        </w:rPr>
        <w:t>” shall mean, with respect to any specified Person, the failure by such Person to pay its debts in the ordinary course of business, the inability of such Person to pay its debts as they come due or the condition whereby the sum of such Person’s debt is greater than the sum of its assets.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Schedule</w:t>
      </w:r>
      <w:r>
        <w:rPr>
          <w:rFonts w:ascii="Times New Roman" w:cs="Times New Roman" w:eastAsia="Times New Roman" w:hAnsi="Times New Roman"/>
          <w:sz w:val="22"/>
          <w:szCs w:val="22"/>
          <w:color w:val="auto"/>
        </w:rPr>
        <w:t>” shall mean the schedule of Bank Loans being serviced hereunder and maintained by Servicer.</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Payment</w:t>
      </w:r>
      <w:r>
        <w:rPr>
          <w:rFonts w:ascii="Times New Roman" w:cs="Times New Roman" w:eastAsia="Times New Roman" w:hAnsi="Times New Roman"/>
          <w:sz w:val="22"/>
          <w:szCs w:val="22"/>
          <w:color w:val="auto"/>
        </w:rPr>
        <w:t>” shall mean, with respect to any Bank Loan, the scheduled monthly payment of principal or interest on such Bank Loan.</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Settlement Date</w:t>
      </w:r>
      <w:r>
        <w:rPr>
          <w:rFonts w:ascii="Times New Roman" w:cs="Times New Roman" w:eastAsia="Times New Roman" w:hAnsi="Times New Roman"/>
          <w:sz w:val="22"/>
          <w:szCs w:val="22"/>
          <w:color w:val="auto"/>
        </w:rPr>
        <w:t>” shall mean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each month after the date of this Agreement or, if such day is not a Business Day, the following Business Day.</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Proceeds</w:t>
      </w:r>
      <w:r>
        <w:rPr>
          <w:rFonts w:ascii="Times New Roman" w:cs="Times New Roman" w:eastAsia="Times New Roman" w:hAnsi="Times New Roman"/>
          <w:sz w:val="22"/>
          <w:szCs w:val="22"/>
          <w:color w:val="auto"/>
        </w:rPr>
        <w:t>” shall mean, with respect to a Bank Loan, (i) all payments on account of principal received from the Borrower related to such Bank Loan; (ii) all payments on account of interest and fees (excluding Collection Fees) received from the Borrower related to such Bank Loan; (iii) all proceeds from the sale of Defaulted Loans and other recoveries; and (iv) any other payments on or proceeds of such Bank Loan received or recovered by or through Servicer, any Subcontractor or any Collection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Agreement</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Agreement</w:t>
      </w:r>
      <w:r>
        <w:rPr>
          <w:rFonts w:ascii="Times New Roman" w:cs="Times New Roman" w:eastAsia="Times New Roman" w:hAnsi="Times New Roman"/>
          <w:sz w:val="22"/>
          <w:szCs w:val="22"/>
          <w:color w:val="auto"/>
        </w:rPr>
        <w:t>” has the meaning set forth in the recitals to this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Event of Default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Compensation</w:t>
      </w:r>
      <w:r>
        <w:rPr>
          <w:rFonts w:ascii="Times New Roman" w:cs="Times New Roman" w:eastAsia="Times New Roman" w:hAnsi="Times New Roman"/>
          <w:sz w:val="22"/>
          <w:szCs w:val="22"/>
          <w:color w:val="auto"/>
        </w:rPr>
        <w:t>” shall mean the compensation payable to Servicer hereunder consisting of (a) the Servicing Fees and (b) the Ancillary Fees.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File</w:t>
      </w:r>
      <w:r>
        <w:rPr>
          <w:rFonts w:ascii="Times New Roman" w:cs="Times New Roman" w:eastAsia="Times New Roman" w:hAnsi="Times New Roman"/>
          <w:sz w:val="22"/>
          <w:szCs w:val="22"/>
          <w:color w:val="auto"/>
        </w:rPr>
        <w:t>” shall mean, with respect to each Bank Loan, the items, documents, files and records pertaining to the servicing of such Bank Loan, including the computer files, data tapes, books, records, notes, copies of the Loan Documents, the related Borrower authorization to debit bank accounts by ACH transfer and all additional documents generated as a result of, or utilized in originating or servicing such Bank Loan, which are delivered to, or generated by, Servicer (or any Subcontractor or other agent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3" w:name="page94"/>
    <w:bookmarkEnd w:id="9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Standard</w:t>
      </w:r>
      <w:r>
        <w:rPr>
          <w:rFonts w:ascii="Times New Roman" w:cs="Times New Roman" w:eastAsia="Times New Roman" w:hAnsi="Times New Roman"/>
          <w:sz w:val="22"/>
          <w:szCs w:val="22"/>
          <w:color w:val="auto"/>
        </w:rPr>
        <w:t>” shall mean the customary, reasonable and prudent standards of care for institutions servicing and administering unsecured consumer loans such as the Bank Loans.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Subcontractor</w:t>
      </w:r>
      <w:r>
        <w:rPr>
          <w:rFonts w:ascii="Times New Roman" w:cs="Times New Roman" w:eastAsia="Times New Roman" w:hAnsi="Times New Roman"/>
          <w:sz w:val="22"/>
          <w:szCs w:val="22"/>
          <w:color w:val="auto"/>
        </w:rPr>
        <w:t>” shall mean, subject to the terms hereof, any vendor, third-party service provider or other Person that is not responsible for the overall servicing (as “servicing” is commonly understood) of Bank Loans but performs one or more discrete functions with respect to Bank Loans under the direction or authority of Servicer, which excludes any Collection Agent, provided, that no Subcontractor shall be a Person that may be entitled to impose a statutory lien upon any Bank Loan to secure payment for services rendered by such Person.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Three Complaint</w:t>
      </w:r>
      <w:r>
        <w:rPr>
          <w:rFonts w:ascii="Times New Roman" w:cs="Times New Roman" w:eastAsia="Times New Roman" w:hAnsi="Times New Roman"/>
          <w:sz w:val="22"/>
          <w:szCs w:val="22"/>
          <w:color w:val="auto"/>
        </w:rPr>
        <w:t>” shall mean Complaints from federal or state regulators (e.g., CFPB, FDIC, State Attorney General or other governmental agency, official or elected representative), complaints that are received from a Borrower’s attorney or directed to the chief executive officer, a board member or other executive officer of the Servicer or the Bank. Complaints alleging violations of law and complaints that seriously threaten legal action; other matters that raise legal implications or for which there is ambiguity or uncertainty as to whether any legal issues are implicated.</w:t>
      </w:r>
    </w:p>
    <w:p>
      <w:pPr>
        <w:spacing w:after="0" w:line="17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rules of construction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Program Agreement shall be applicable to this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ind w:left="660" w:right="2440" w:firstLine="1789"/>
        <w:spacing w:after="0" w:line="448" w:lineRule="auto"/>
        <w:rPr>
          <w:sz w:val="20"/>
          <w:szCs w:val="20"/>
          <w:color w:val="auto"/>
        </w:rPr>
      </w:pPr>
      <w:r>
        <w:rPr>
          <w:rFonts w:ascii="Times New Roman" w:cs="Times New Roman" w:eastAsia="Times New Roman" w:hAnsi="Times New Roman"/>
          <w:sz w:val="22"/>
          <w:szCs w:val="22"/>
          <w:color w:val="auto"/>
        </w:rPr>
        <w:t xml:space="preserve">BANK’S ENGAGEMENT OF SERVICER TO PERFORM SERVICING Section 2.1. </w:t>
      </w:r>
      <w:r>
        <w:rPr>
          <w:rFonts w:ascii="Times New Roman" w:cs="Times New Roman" w:eastAsia="Times New Roman" w:hAnsi="Times New Roman"/>
          <w:sz w:val="22"/>
          <w:szCs w:val="22"/>
          <w:u w:val="single" w:color="auto"/>
          <w:color w:val="auto"/>
        </w:rPr>
        <w:t>Contract for Servicing; Possession of Servicing Files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656"/>
        <w:spacing w:after="0" w:line="268" w:lineRule="auto"/>
        <w:tabs>
          <w:tab w:leader="none" w:pos="110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Appointment</w:t>
      </w:r>
      <w:r>
        <w:rPr>
          <w:rFonts w:ascii="Times New Roman" w:cs="Times New Roman" w:eastAsia="Times New Roman" w:hAnsi="Times New Roman"/>
          <w:sz w:val="21"/>
          <w:szCs w:val="21"/>
          <w:color w:val="auto"/>
        </w:rPr>
        <w:t xml:space="preserve">. From the date specified in </w:t>
      </w:r>
      <w:r>
        <w:rPr>
          <w:rFonts w:ascii="Times New Roman" w:cs="Times New Roman" w:eastAsia="Times New Roman" w:hAnsi="Times New Roman"/>
          <w:sz w:val="21"/>
          <w:szCs w:val="21"/>
          <w:u w:val="single" w:color="auto"/>
          <w:color w:val="auto"/>
        </w:rPr>
        <w:t>Section 2.1(f)</w:t>
      </w:r>
      <w:r>
        <w:rPr>
          <w:rFonts w:ascii="Times New Roman" w:cs="Times New Roman" w:eastAsia="Times New Roman" w:hAnsi="Times New Roman"/>
          <w:sz w:val="21"/>
          <w:szCs w:val="21"/>
          <w:color w:val="auto"/>
        </w:rPr>
        <w:t xml:space="preserve"> until the earlier of: (i) such date as all Bank Loans are paid in full or become Defaulted Loans; (ii) subject to the terms of the Sale Agreement, Bank sells, transfers or otherwise disposes of such Bank Loan, or (iii) this Agreement is terminated in accordance with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Bank authorizes, appoints and contracts with Servicer, as an independent contractor, subject to the terms of this Agreement, to service each such Bank Loan in accordance with the terms of this Agreement. Servicer hereby accepts such appointment and agrees to act as the Servicer hereunder.</w:t>
      </w:r>
    </w:p>
    <w:p>
      <w:pPr>
        <w:spacing w:after="0" w:line="163"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File</w:t>
      </w:r>
      <w:r>
        <w:rPr>
          <w:rFonts w:ascii="Times New Roman" w:cs="Times New Roman" w:eastAsia="Times New Roman" w:hAnsi="Times New Roman"/>
          <w:sz w:val="22"/>
          <w:szCs w:val="22"/>
          <w:color w:val="auto"/>
        </w:rPr>
        <w:t>. Servicer shall maintain each Servicing File with respect to the Bank Loans.</w:t>
      </w:r>
    </w:p>
    <w:p>
      <w:pPr>
        <w:spacing w:after="0" w:line="219" w:lineRule="exact"/>
        <w:rPr>
          <w:rFonts w:ascii="Times New Roman" w:cs="Times New Roman" w:eastAsia="Times New Roman" w:hAnsi="Times New Roman"/>
          <w:sz w:val="22"/>
          <w:szCs w:val="22"/>
          <w:color w:val="auto"/>
        </w:rPr>
      </w:pPr>
    </w:p>
    <w:p>
      <w:pPr>
        <w:jc w:val="both"/>
        <w:ind w:firstLine="656"/>
        <w:spacing w:after="0" w:line="253" w:lineRule="auto"/>
        <w:tabs>
          <w:tab w:leader="none" w:pos="1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xml:space="preserve">. Bank hereby appoints Servicer to enforce its rights and interests in and under the Bank Loans, and hereby grants an irrevocable power of attorney in the form set forth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to take, as appropriate, in Bank’s name and on behalf of Bank any and all steps necessary or desirable, in the determination of Servicer, to collect all amounts due under any and all Bank Loans in accordance with the terms of this Agreement, commence enforcement proceedings, exercise other powers under the Bank Loans, execute and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71" w:lineRule="auto"/>
        <w:rPr>
          <w:sz w:val="20"/>
          <w:szCs w:val="20"/>
          <w:color w:val="auto"/>
        </w:rPr>
      </w:pPr>
      <w:r>
        <w:rPr>
          <w:rFonts w:ascii="Times New Roman" w:cs="Times New Roman" w:eastAsia="Times New Roman" w:hAnsi="Times New Roman"/>
          <w:sz w:val="22"/>
          <w:szCs w:val="22"/>
          <w:color w:val="auto"/>
        </w:rPr>
        <w:t>instruments of satisfaction or cancellation, or full or partial discharge, with respect to the Bank Loans, endorse Bank’s name on checks and other instruments representing payments and enforce the Bank Loans.</w:t>
      </w:r>
    </w:p>
    <w:p>
      <w:pPr>
        <w:spacing w:after="0" w:line="158" w:lineRule="exact"/>
        <w:rPr>
          <w:sz w:val="20"/>
          <w:szCs w:val="20"/>
          <w:color w:val="auto"/>
        </w:rPr>
      </w:pPr>
    </w:p>
    <w:p>
      <w:pPr>
        <w:ind w:right="20" w:firstLine="656"/>
        <w:spacing w:after="0" w:line="284" w:lineRule="auto"/>
        <w:tabs>
          <w:tab w:leader="none" w:pos="117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Ownership</w:t>
      </w:r>
      <w:r>
        <w:rPr>
          <w:rFonts w:ascii="Times New Roman" w:cs="Times New Roman" w:eastAsia="Times New Roman" w:hAnsi="Times New Roman"/>
          <w:sz w:val="22"/>
          <w:szCs w:val="22"/>
          <w:color w:val="auto"/>
        </w:rPr>
        <w:t>. As between Servicer and Bank, record title to each Bank Loan and the related Loan Documents shall remain in the name of Bank.</w:t>
      </w:r>
    </w:p>
    <w:p>
      <w:pPr>
        <w:spacing w:after="0" w:line="143" w:lineRule="exact"/>
        <w:rPr>
          <w:rFonts w:ascii="Times New Roman" w:cs="Times New Roman" w:eastAsia="Times New Roman" w:hAnsi="Times New Roman"/>
          <w:sz w:val="22"/>
          <w:szCs w:val="22"/>
          <w:color w:val="auto"/>
        </w:rPr>
      </w:pPr>
    </w:p>
    <w:p>
      <w:pPr>
        <w:jc w:val="both"/>
        <w:ind w:firstLine="656"/>
        <w:spacing w:after="0" w:line="259" w:lineRule="auto"/>
        <w:tabs>
          <w:tab w:leader="none" w:pos="114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xml:space="preserve">. Servicer may waive, modify or vary any term of any Bank Loan or consent to the postponement of strict compliance with any such term or in any manner, or grant indulgence to any Borrower of a Bank Loan if such action is consistent with the Servicing Standard and the Accepted Servicing Practices. Without limiting the generality of the foregoing, Servicer, in its own name or in the name of Bank, is hereby authorized and empowered by Bank in accordance with the Accepted Servicing Practices to execute and deliver, on behalf of Bank, any and all instruments of satisfaction or cancellation, or of partial or full release or discharge and all other comparable instruments, with respect to any Bank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Servicer shall not be entitled to release, discharge, terminate or cancel any Bank Loan or the corresponding Loan Documents unless (i) Servicer shall have received payment in full of all principal, interest and fees owed by the Borrower related thereto, or</w:t>
      </w:r>
    </w:p>
    <w:p>
      <w:pPr>
        <w:spacing w:after="0" w:line="4" w:lineRule="exact"/>
        <w:rPr>
          <w:rFonts w:ascii="Times New Roman" w:cs="Times New Roman" w:eastAsia="Times New Roman" w:hAnsi="Times New Roman"/>
          <w:sz w:val="21"/>
          <w:szCs w:val="21"/>
          <w:color w:val="auto"/>
        </w:rPr>
      </w:pPr>
    </w:p>
    <w:p>
      <w:pPr>
        <w:ind w:firstLine="8"/>
        <w:spacing w:after="0" w:line="248" w:lineRule="auto"/>
        <w:tabs>
          <w:tab w:leader="none" w:pos="33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accepts a short pay or reduced payment of full principal, interest and fees owed on such Bank Loan in accordance with Accepted Servicing Practices.</w:t>
      </w:r>
    </w:p>
    <w:p>
      <w:pPr>
        <w:spacing w:after="0" w:line="19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provisions of this Agreement shall become effective on the Effective Date.</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Use of Subcontractors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Bank acknowledges that Servicer may use one or more Subcontractors to assist or facilitate the servicing of the Bank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use of a Subcontractor shall not relieve Servicer of any of its obligations hereunder, including with respect to (a) any reporting requirements pursuant to this Agreement and (b) the obligation to cause all Proceeds of such Bank Loans to be deposited into the Collection Account pursuant to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xml:space="preserve">. Servicer shall remain responsible for any and all acts or omissions of its Subcontractors to the same extent as if such acts or omissions were taken or omitted by Servicer directly. Servicer shall conduct periodic monitoring and auditing of all Subcontractors to ensure compliance with the Accepted Servicing Practices, the Applicable Requirements and the Servicing Standard, and report any findings of material noncompliance to the Bank in accordance with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SERVICING OF BANK LOANS</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Servicer to Service Bank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7" w:lineRule="auto"/>
        <w:tabs>
          <w:tab w:leader="none" w:pos="121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Bank Loan, Servicer shall: (i) direct the Borrower related to such Bank Loan to make all payments to Servicer, (ii) remit all payments received by Servicer related to such Bank Loan to the Collection Account within three (3) Business Days of receipt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5" w:name="page96"/>
    <w:bookmarkEnd w:id="95"/>
    <w:p>
      <w:pPr>
        <w:spacing w:after="0" w:line="271" w:lineRule="auto"/>
        <w:rPr>
          <w:sz w:val="20"/>
          <w:szCs w:val="20"/>
          <w:color w:val="auto"/>
        </w:rPr>
      </w:pPr>
      <w:r>
        <w:rPr>
          <w:rFonts w:ascii="Times New Roman" w:cs="Times New Roman" w:eastAsia="Times New Roman" w:hAnsi="Times New Roman"/>
          <w:sz w:val="22"/>
          <w:szCs w:val="22"/>
          <w:color w:val="auto"/>
        </w:rPr>
        <w:t>Servicer and (iii) answer the inquiries, complaints, demands and requests of the related Borrower in accordance with the Accepted Servicing Practices.</w:t>
      </w:r>
    </w:p>
    <w:p>
      <w:pPr>
        <w:spacing w:after="0" w:line="158" w:lineRule="exact"/>
        <w:rPr>
          <w:sz w:val="20"/>
          <w:szCs w:val="20"/>
          <w:color w:val="auto"/>
        </w:rPr>
      </w:pPr>
    </w:p>
    <w:p>
      <w:pPr>
        <w:jc w:val="both"/>
        <w:ind w:firstLine="656"/>
        <w:spacing w:after="0" w:line="263" w:lineRule="auto"/>
        <w:tabs>
          <w:tab w:leader="none" w:pos="113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Bank Loan, Servicer shall make available on its website a copy of Bank’s privacy notice or, on or prior to each anniversary date of the Commencement Date for such Bank Loan, deliver a copy of Bank’s privacy notice to the related Borrower.</w:t>
      </w:r>
    </w:p>
    <w:p>
      <w:pPr>
        <w:spacing w:after="0" w:line="167"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Collection and Liquidation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6" w:lineRule="auto"/>
        <w:tabs>
          <w:tab w:leader="none" w:pos="115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Continuously until the date a Bank Loan ceases to be serviced under this Agreement, Servicer shall, in accordance with Applicable Laws, the Accepted Servicing Practices and the Servicing Standard, use its commercially reasonable efforts to collect all Monthly Payments and any other payments due under each Bank Loan when the same shall become due and payable in such manner that reasonably attempts to maximize the receipt of such amounts.</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4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any Bank Loan becoming a Defaulted Loan, Servicer shall charge off such Bank Loan. If Servicer delegates any of its duties hereunder to a Collection Agent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any related past due amounts are received with respect to any Defaulted Loan, such Bank Loan shall no longer be a Defaulted Loan, and Servicer shall resume its servicing and collection obligations with respect to such Bank Loan. To the extent Servicer receives information from a Collection Agent regarding any Defaulted Loans, Servicer shall make available upon Bank’s request such information in the reports regarding the Bank Loans that are required to be delivered under this Agreement.</w:t>
      </w:r>
    </w:p>
    <w:p>
      <w:pPr>
        <w:spacing w:after="0" w:line="18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Withdrawals from Collection Account; Fees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Credit Reporting</w:t>
      </w:r>
      <w:r>
        <w:rPr>
          <w:rFonts w:ascii="Times New Roman" w:cs="Times New Roman" w:eastAsia="Times New Roman" w:hAnsi="Times New Roman"/>
          <w:sz w:val="22"/>
          <w:szCs w:val="22"/>
          <w:color w:val="auto"/>
        </w:rPr>
        <w:t>. Servicer shall furnish, in accordance with the FCRA and the Accepted Servicing Practices, information related to Bank Loans to Experian Information Solutions, Inc. For purposes of the FCRA, Servicer, and not Bank, shall be the “furnisher.”</w:t>
      </w:r>
    </w:p>
    <w:p>
      <w:pPr>
        <w:spacing w:after="0" w:line="1"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Statements and Reports</w:t>
      </w:r>
      <w:r>
        <w:rPr>
          <w:rFonts w:ascii="Times New Roman" w:cs="Times New Roman" w:eastAsia="Times New Roman" w:hAnsi="Times New Roman"/>
          <w:sz w:val="22"/>
          <w:szCs w:val="22"/>
          <w:color w:val="auto"/>
        </w:rPr>
        <w:t>. Servicer shall provide or make available or cause to be provided or made available to Bank the following:</w:t>
      </w:r>
    </w:p>
    <w:p>
      <w:pPr>
        <w:spacing w:after="0" w:line="182" w:lineRule="exact"/>
        <w:rPr>
          <w:sz w:val="20"/>
          <w:szCs w:val="20"/>
          <w:color w:val="auto"/>
        </w:rPr>
      </w:pPr>
    </w:p>
    <w:p>
      <w:pPr>
        <w:jc w:val="both"/>
        <w:ind w:firstLine="656"/>
        <w:spacing w:after="0" w:line="263" w:lineRule="auto"/>
        <w:tabs>
          <w:tab w:leader="none" w:pos="110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each Monthly Settlement Date, a written report in a form agreed to by Bank and Servicer, which may be in electronic form, that shall state the amount of the Servicing Fee payable on such Monthly Settlement Date that has been netted by Servicer or is owed by Bank and such other information as may be reasonably requested by Bank;</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monthly basis, a log of customer complaints (including private or state attorneys general, the Better Business Bureau or other regulatory complaints) and investigations relating to any of the Bank Loans or to the Servicer, in a form reasonably satisfactory to Bank;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96" w:name="page97"/>
    <w:bookmarkEnd w:id="96"/>
    <w:p>
      <w:pPr>
        <w:jc w:val="both"/>
        <w:ind w:firstLine="656"/>
        <w:spacing w:after="0" w:line="256" w:lineRule="auto"/>
        <w:tabs>
          <w:tab w:leader="none" w:pos="11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before each Monthly Settlement Date, data submissions and reports reasonably required by Bank to maintain effective internal controls and monitor results under this Agreement or to comply with any Applicable Laws; as of the ninetieth (90th) day following the Effective Date, this reporting shall consist of the items set forth in </w:t>
      </w:r>
      <w:r>
        <w:rPr>
          <w:rFonts w:ascii="Times New Roman" w:cs="Times New Roman" w:eastAsia="Times New Roman" w:hAnsi="Times New Roman"/>
          <w:sz w:val="22"/>
          <w:szCs w:val="22"/>
          <w:u w:val="single" w:color="auto"/>
          <w:color w:val="auto"/>
        </w:rPr>
        <w:t>Schedule 3.2(f)</w:t>
      </w:r>
      <w:r>
        <w:rPr>
          <w:rFonts w:ascii="Times New Roman" w:cs="Times New Roman" w:eastAsia="Times New Roman" w:hAnsi="Times New Roman"/>
          <w:sz w:val="22"/>
          <w:szCs w:val="22"/>
          <w:color w:val="auto"/>
        </w:rPr>
        <w:t xml:space="preserve"> of the Program Agreement.</w:t>
      </w:r>
    </w:p>
    <w:p>
      <w:pPr>
        <w:spacing w:after="0" w:line="17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Inspection Rights and Remediation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At the same time as an audit performed pursuant to </w:t>
      </w:r>
      <w:r>
        <w:rPr>
          <w:rFonts w:ascii="Times New Roman" w:cs="Times New Roman" w:eastAsia="Times New Roman" w:hAnsi="Times New Roman"/>
          <w:sz w:val="22"/>
          <w:szCs w:val="22"/>
          <w:u w:val="single" w:color="auto"/>
          <w:color w:val="auto"/>
        </w:rPr>
        <w:t>Section 3.2(f)</w:t>
      </w:r>
      <w:r>
        <w:rPr>
          <w:rFonts w:ascii="Times New Roman" w:cs="Times New Roman" w:eastAsia="Times New Roman" w:hAnsi="Times New Roman"/>
          <w:sz w:val="22"/>
          <w:szCs w:val="22"/>
          <w:color w:val="auto"/>
        </w:rPr>
        <w:t xml:space="preserve"> of the Program Agreement, Servicer shall provide Bank and the applicable Regulatory Authorities with reasonable access to Servicer’s (and shall use its reasonable efforts to cause any Subcontractor or Collection Agent to provide access) offices, books and records (solely to the extent such books and records pertain to the Bank Loans), the officers, employees and accountants of Servicer in each case, and to all computer files containing the Loan Documents, for the purpose of ensuring that Servicer and any Subcontractor or Collection Agent are complying with the Accepted Servicing Practices, the Applicable Requirements and the Servicing Standard.</w:t>
      </w:r>
    </w:p>
    <w:p>
      <w:pPr>
        <w:spacing w:after="0" w:line="18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Maintenance of Fidelity Bond and Errors and Omissions Insurance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Servicer shall maintain with responsible companies, at its own expense, the insurance coverage required by </w:t>
      </w:r>
      <w:r>
        <w:rPr>
          <w:rFonts w:ascii="Times New Roman" w:cs="Times New Roman" w:eastAsia="Times New Roman" w:hAnsi="Times New Roman"/>
          <w:sz w:val="22"/>
          <w:szCs w:val="22"/>
          <w:u w:val="single" w:color="auto"/>
          <w:color w:val="auto"/>
        </w:rPr>
        <w:t>Section 9.1(r)</w:t>
      </w:r>
      <w:r>
        <w:rPr>
          <w:rFonts w:ascii="Times New Roman" w:cs="Times New Roman" w:eastAsia="Times New Roman" w:hAnsi="Times New Roman"/>
          <w:sz w:val="22"/>
          <w:szCs w:val="22"/>
          <w:color w:val="auto"/>
        </w:rPr>
        <w:t xml:space="preserve"> of the Program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ind w:left="660" w:right="3780" w:firstLine="3140"/>
        <w:spacing w:after="0" w:line="469" w:lineRule="auto"/>
        <w:rPr>
          <w:sz w:val="20"/>
          <w:szCs w:val="20"/>
          <w:color w:val="auto"/>
        </w:rPr>
      </w:pPr>
      <w:r>
        <w:rPr>
          <w:rFonts w:ascii="Times New Roman" w:cs="Times New Roman" w:eastAsia="Times New Roman" w:hAnsi="Times New Roman"/>
          <w:sz w:val="21"/>
          <w:szCs w:val="21"/>
          <w:color w:val="auto"/>
        </w:rPr>
        <w:t xml:space="preserve">GENERAL SERVICING PROCEDURES Section 4.1. </w:t>
      </w:r>
      <w:r>
        <w:rPr>
          <w:rFonts w:ascii="Times New Roman" w:cs="Times New Roman" w:eastAsia="Times New Roman" w:hAnsi="Times New Roman"/>
          <w:sz w:val="21"/>
          <w:szCs w:val="21"/>
          <w:u w:val="single" w:color="auto"/>
          <w:color w:val="auto"/>
        </w:rPr>
        <w:t>Satisfaction of Bank Loans and Release of Loan Documents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Upon the receipt of all payments in satisfaction of any Bank Loan, Servicer shall release or otherwise deliver a notice to the related Borrower that the last payment has been received. Servicer shall provide appropriate notification of the satisfaction in full of such Bank Loan and the cancellation or termination of the related Loan Documents promptly to Bank, but in no event later than the time period prescribed by any Applicable Laws or a Regulatory Authority.</w:t>
      </w:r>
    </w:p>
    <w:p>
      <w:pPr>
        <w:spacing w:after="0" w:line="17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Servicing Compensation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Consumer Complaints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57" w:lineRule="auto"/>
        <w:tabs>
          <w:tab w:leader="none" w:pos="124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and Bank acknowledge and agree that Servicer is responsible for receiving and responding timely to consumer complaints (as they pertain to Bank Loans or the Borrowers related thereto) and shall maintain complaint resolution policies and procedures acceptable to Bank.</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14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shall provide the Bank with notice and copies of any Tier Three Complaint within three (3) Business Days of receipt. Servicer shall promptly propose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7" w:name="page98"/>
    <w:bookmarkEnd w:id="97"/>
    <w:p>
      <w:pPr>
        <w:spacing w:after="0" w:line="271" w:lineRule="auto"/>
        <w:rPr>
          <w:sz w:val="20"/>
          <w:szCs w:val="20"/>
          <w:color w:val="auto"/>
        </w:rPr>
      </w:pPr>
      <w:r>
        <w:rPr>
          <w:rFonts w:ascii="Times New Roman" w:cs="Times New Roman" w:eastAsia="Times New Roman" w:hAnsi="Times New Roman"/>
          <w:sz w:val="22"/>
          <w:szCs w:val="22"/>
          <w:color w:val="auto"/>
        </w:rPr>
        <w:t>appropriate response to such Tier Three Complaint, and Bank shall approve the final responses for all Tier Three Complaints. If Bank does not object to Servicer’s responses within five (5) Business Days, responses shall be considered approved by Bank.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WARRANTIES AND COVENANTS</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Representations and Warranties of Servicer</w:t>
      </w:r>
      <w:r>
        <w:rPr>
          <w:rFonts w:ascii="Times New Roman" w:cs="Times New Roman" w:eastAsia="Times New Roman" w:hAnsi="Times New Roman"/>
          <w:sz w:val="22"/>
          <w:szCs w:val="22"/>
          <w:color w:val="auto"/>
        </w:rPr>
        <w:t>. As a condition to the consummation of the transactions contemplated hereby, Servicer hereby makes the following representations and warranties as of the date hereof to Bank:</w:t>
      </w:r>
    </w:p>
    <w:p>
      <w:pPr>
        <w:spacing w:after="0" w:line="2" w:lineRule="exact"/>
        <w:rPr>
          <w:sz w:val="20"/>
          <w:szCs w:val="20"/>
          <w:color w:val="auto"/>
        </w:rPr>
      </w:pPr>
    </w:p>
    <w:p>
      <w:pPr>
        <w:ind w:firstLine="656"/>
        <w:spacing w:after="0" w:line="248" w:lineRule="auto"/>
        <w:tabs>
          <w:tab w:leader="none" w:pos="122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is a corporation duly organized, validly existing under the laws of the State of Delaware and has full corporate authority and power to execute, deliver and perform its obligations under this Agreement;</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have been duly authorized, and are not in conflict with and do not violate the terms of Servicer’s certificate of incorporation and shall not result in a material breach of or constitute a default under, or require any consent under, any indenture, loan or agreement to which Servicer is a party;</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7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a valid, legal and binding obligation of Servicer, enforceable against Servicer in accordance with its terms, except (i) to the extent that such enforceability may be limited by applicable insolvency, bankruptcy reorganization, receivership, moratorium, conservatorship or other similar laws now or hereafter in effect, which may affect the enforcement of creditors’ rights in general, and (ii) to the extent that such enforceability may be limited by general principles of equity (whether considered in a suit in law or in equity);</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5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authorizations, approvals, licenses, consents, registrations and other actions by, notices to, and filings with any Person required to be obtained for the execution, delivery, and performance of this Agreement by Servicer, have been obtained (other than those required to be made to or received from Borrowers or Loan Applicants) except where the failure to obtain such authorizations, approvals, licenses, consents or registrations would not reasonably be expected to have a Material Adverse Effect on Servicer;</w:t>
      </w:r>
    </w:p>
    <w:p>
      <w:pPr>
        <w:spacing w:after="0" w:line="178" w:lineRule="exact"/>
        <w:rPr>
          <w:rFonts w:ascii="Times New Roman" w:cs="Times New Roman" w:eastAsia="Times New Roman" w:hAnsi="Times New Roman"/>
          <w:sz w:val="22"/>
          <w:szCs w:val="22"/>
          <w:color w:val="auto"/>
        </w:rPr>
      </w:pPr>
    </w:p>
    <w:p>
      <w:pPr>
        <w:jc w:val="both"/>
        <w:ind w:firstLine="656"/>
        <w:spacing w:after="0" w:line="266" w:lineRule="auto"/>
        <w:tabs>
          <w:tab w:leader="none" w:pos="123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investigations or proceedings pending or, to the best of Servicer’s knowledge, threatened against Servicer (i) seeking to prevent the consummation of any of the transactions contemplated by Servicer pursuant to this Agreement,</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32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asserting the invalidity or enforceability of this Agreement, (iii) seeking any determination or ruling that would reasonably be expected to have a Material Adverse Effect on the performance by Servicer of its obligations under this Agreement, (iv) seeking any determination or ruling that would reasonably be expected to have a Material Adverse Effect on the validity or enforceability of this Agreement or (v) that would reasonably be expected to have a Material Adverse Effect on Servicer or its operations if resolved adversely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98" w:name="page99"/>
    <w:bookmarkEnd w:id="98"/>
    <w:p>
      <w:pPr>
        <w:ind w:firstLine="656"/>
        <w:spacing w:after="0" w:line="271" w:lineRule="auto"/>
        <w:tabs>
          <w:tab w:leader="none" w:pos="110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Servicer, neither Servicer nor any principal thereof has been or is the subject of any of the following that will materially affect Servicer’s ability to perform its obligations under this Agreement: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enforcement agreement, memorandum of understanding, cease and desist order, the suspension, surrender or revocation of a license of any kind (other than the operation of a motor vehicle), administrative penalty or similar agreement or other monetary sanctions by a state or local entity concerning discrimination or lending matters, or participation in the affairs of a financial institution;</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79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administrative or enforcement proceeding or investigation commenced by any Governmental Authority or Regulatory Authority; or</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restraining order, decree, injunction or judgment in any proceeding or lawsuit alleging fraud or deceptive practices on the part of Servicer or any principal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color w:val="auto"/>
        </w:rPr>
        <w:t xml:space="preserve"> the word “principal” of Servicer shall include (i) any person owning or controlling</w:t>
      </w:r>
    </w:p>
    <w:p>
      <w:pPr>
        <w:spacing w:after="0" w:line="28" w:lineRule="exact"/>
        <w:rPr>
          <w:sz w:val="20"/>
          <w:szCs w:val="20"/>
          <w:color w:val="auto"/>
        </w:rPr>
      </w:pPr>
    </w:p>
    <w:p>
      <w:pPr>
        <w:ind w:right="20" w:firstLine="8"/>
        <w:spacing w:after="0" w:line="248" w:lineRule="auto"/>
        <w:tabs>
          <w:tab w:leader="none" w:pos="52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of the voting power of Servicer, (ii) any officer or director of Servicer and (iii) any person actively participating in the control of Servicer’s business;</w:t>
      </w:r>
    </w:p>
    <w:p>
      <w:pPr>
        <w:spacing w:after="0" w:line="18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is not Insolvent; and</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has in place a business continuity plan consistent with standard industry practices (for businesses in the same or similar business and location(s)), which may be part of its disaster recovery plan, designed to enable the Bank Loans to be serviced upon any business interruption or failure.</w:t>
      </w:r>
    </w:p>
    <w:p>
      <w:pPr>
        <w:spacing w:after="0" w:line="17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Representations and Warranties of Bank</w:t>
      </w:r>
      <w:r>
        <w:rPr>
          <w:rFonts w:ascii="Times New Roman" w:cs="Times New Roman" w:eastAsia="Times New Roman" w:hAnsi="Times New Roman"/>
          <w:sz w:val="22"/>
          <w:szCs w:val="22"/>
          <w:color w:val="auto"/>
        </w:rPr>
        <w:t>. As a condition to the consummation of the transactions contemplated hereby, Bank hereby makes the following representations and warranties as of the date hereof to Servicer:</w:t>
      </w:r>
    </w:p>
    <w:p>
      <w:pPr>
        <w:spacing w:after="0" w:line="1" w:lineRule="exact"/>
        <w:rPr>
          <w:sz w:val="20"/>
          <w:szCs w:val="20"/>
          <w:color w:val="auto"/>
        </w:rPr>
      </w:pPr>
    </w:p>
    <w:p>
      <w:pPr>
        <w:jc w:val="both"/>
        <w:ind w:firstLine="656"/>
        <w:spacing w:after="0" w:line="258" w:lineRule="auto"/>
        <w:tabs>
          <w:tab w:leader="none" w:pos="112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constitutes a valid and binding obligation of Bank, enforceable against Bank in accordance with its terms except (i) to the extent that such enforceability may be limited by applicable bankruptcy, insolvency, reorganization, moratorium, or other similar laws now or hereafter in effect, which may affect the enforcement of creditors’ rights in general, and</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such enforceability may be limited by general principles of equity.</w:t>
      </w:r>
    </w:p>
    <w:p>
      <w:pPr>
        <w:spacing w:after="0" w:line="195" w:lineRule="exact"/>
        <w:rPr>
          <w:rFonts w:ascii="Times New Roman" w:cs="Times New Roman" w:eastAsia="Times New Roman" w:hAnsi="Times New Roman"/>
          <w:sz w:val="22"/>
          <w:szCs w:val="22"/>
          <w:color w:val="auto"/>
        </w:rPr>
      </w:pPr>
    </w:p>
    <w:p>
      <w:pPr>
        <w:ind w:firstLine="656"/>
        <w:spacing w:after="0" w:line="284" w:lineRule="auto"/>
        <w:tabs>
          <w:tab w:leader="none" w:pos="113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an FDIC-insured state-chartered bank, duly organized, validly existing, and in good standing under the laws of the State of Missouri and under applicable federal law.</w:t>
      </w:r>
    </w:p>
    <w:p>
      <w:pPr>
        <w:spacing w:after="0" w:line="14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has full corporate power and authority to execute, deliver and perform all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99" w:name="page100"/>
    <w:bookmarkEnd w:id="99"/>
    <w:p>
      <w:pPr>
        <w:ind w:right="20" w:firstLine="656"/>
        <w:spacing w:after="0" w:line="271"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this Agreement and the completion of all actions required or contemplated to be taken by Bank hereunder are within the ordinary course of Bank’s business and not prohibited by Applicable Laws.</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0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have been duly authorized by Bank, and are not in conflict with and do not violate the terms of the charter or by-laws of Bank and shall not result in a material breach of or constitute a default under, or require any consent under, any indenture, loan or agreement to which Bank is a party.</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12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Bank’s reasonable knowledge, no Bank Loan is subject to any right of recission, set off, claim, counterclaim or defense, including the defense of usury.</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9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license, registration, authorization or order of any Regulatory Authority is required for the execution, delivery and performance by Bank of, or compliance by Bank with this Agreement, including the holding of each Bank Loan hereunder, or if any such consent, approval, authorization, registration, filing or order is required, Bank has obtained or shall obtain it prior to the date hereof.</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Covenants of the Servicer.</w:t>
      </w:r>
      <w:r>
        <w:rPr>
          <w:rFonts w:ascii="Times New Roman" w:cs="Times New Roman" w:eastAsia="Times New Roman" w:hAnsi="Times New Roman"/>
          <w:sz w:val="22"/>
          <w:szCs w:val="22"/>
          <w:color w:val="auto"/>
        </w:rPr>
        <w:t xml:space="preserve"> Servicer hereby covenants and agrees that until this Agreement is terminated in accordance with its terms, it will:</w:t>
      </w:r>
    </w:p>
    <w:p>
      <w:pPr>
        <w:spacing w:after="0" w:line="2" w:lineRule="exact"/>
        <w:rPr>
          <w:sz w:val="20"/>
          <w:szCs w:val="20"/>
          <w:color w:val="auto"/>
        </w:rPr>
      </w:pPr>
    </w:p>
    <w:p>
      <w:pPr>
        <w:jc w:val="both"/>
        <w:ind w:firstLine="656"/>
        <w:spacing w:after="0" w:line="285" w:lineRule="auto"/>
        <w:tabs>
          <w:tab w:leader="none" w:pos="121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Applicable Laws</w:t>
      </w:r>
      <w:r>
        <w:rPr>
          <w:rFonts w:ascii="Times New Roman" w:cs="Times New Roman" w:eastAsia="Times New Roman" w:hAnsi="Times New Roman"/>
          <w:sz w:val="21"/>
          <w:szCs w:val="21"/>
          <w:color w:val="auto"/>
        </w:rPr>
        <w:t>. Comply with all Applicable Laws where the failure to do so would have a Material Adverse Effect, including those with respect to the Bank Loans, the Proceeds and the Servicing Files or any part thereof.</w:t>
      </w:r>
    </w:p>
    <w:p>
      <w:pPr>
        <w:spacing w:after="0" w:line="144" w:lineRule="exact"/>
        <w:rPr>
          <w:rFonts w:ascii="Times New Roman" w:cs="Times New Roman" w:eastAsia="Times New Roman" w:hAnsi="Times New Roman"/>
          <w:sz w:val="21"/>
          <w:szCs w:val="21"/>
          <w:color w:val="auto"/>
        </w:rPr>
      </w:pPr>
    </w:p>
    <w:p>
      <w:pPr>
        <w:jc w:val="both"/>
        <w:ind w:firstLine="656"/>
        <w:spacing w:after="0" w:line="252" w:lineRule="auto"/>
        <w:tabs>
          <w:tab w:leader="none" w:pos="122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and Compliance with Loan Documents</w:t>
      </w:r>
      <w:r>
        <w:rPr>
          <w:rFonts w:ascii="Times New Roman" w:cs="Times New Roman" w:eastAsia="Times New Roman" w:hAnsi="Times New Roman"/>
          <w:sz w:val="22"/>
          <w:szCs w:val="22"/>
          <w:color w:val="auto"/>
        </w:rPr>
        <w:t>. Fulfill and comply with all obligations on the part of the Servicer to be fulfilled or complied with under or in connection with each Loan Document and, except as expressly provided herein, will do nothing to impair the rights of Bank in, to and under any Loan.</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6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Maintain and implement administrative and operating procedures (including an ability to re-create records evidencing Proceeds, including the Servicing Files, in the event of the destruction of the originals thereof), and keep and maintain all documents, books, records and other information reasonably necessary or advisable for the collection of all Proceeds, including the Servicing Files.</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Anti-Money Laundering Laws and Sanctions</w:t>
      </w:r>
      <w:r>
        <w:rPr>
          <w:rFonts w:ascii="Times New Roman" w:cs="Times New Roman" w:eastAsia="Times New Roman" w:hAnsi="Times New Roman"/>
          <w:sz w:val="22"/>
          <w:szCs w:val="22"/>
          <w:color w:val="auto"/>
        </w:rPr>
        <w:t>. Comply and cause each of its Affiliates and Subcontractors to take action to comply in all material respects with all applicable Anti-Money Laundering Laws, Anti-Corruption Laws and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00" w:name="page101"/>
    <w:bookmarkEnd w:id="100"/>
    <w:p>
      <w:pPr>
        <w:jc w:val="both"/>
        <w:ind w:firstLine="656"/>
        <w:spacing w:after="0" w:line="265" w:lineRule="auto"/>
        <w:tabs>
          <w:tab w:leader="none" w:pos="110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Total Systems Failure</w:t>
      </w:r>
      <w:r>
        <w:rPr>
          <w:rFonts w:ascii="Times New Roman" w:cs="Times New Roman" w:eastAsia="Times New Roman" w:hAnsi="Times New Roman"/>
          <w:sz w:val="21"/>
          <w:szCs w:val="21"/>
          <w:color w:val="auto"/>
        </w:rPr>
        <w:t>. Promptly notify Bank of any total systems failure that would have a Material Adverse Effect on Servicer’s ability to service the Bank Loans and if such failure occurs, it shall advise Bank of the projected time required to remedy such total systems failure. Until a total systems failure is remedied, it shall (i) furnish to Bank such periodic status reports and other information relating to such total systems failure as Bank may reasonably request and (ii) promptly notify Bank if it believes that such total systems failure cannot be remedied by the projected completion date, which notice shall include a description of the circumstances which gave rise to such delay, the action proposed to be taken in response thereto.</w:t>
      </w:r>
    </w:p>
    <w:p>
      <w:pPr>
        <w:spacing w:after="0" w:line="168" w:lineRule="exact"/>
        <w:rPr>
          <w:rFonts w:ascii="Times New Roman" w:cs="Times New Roman" w:eastAsia="Times New Roman" w:hAnsi="Times New Roman"/>
          <w:sz w:val="21"/>
          <w:szCs w:val="21"/>
          <w:color w:val="auto"/>
        </w:rPr>
      </w:pPr>
    </w:p>
    <w:p>
      <w:pPr>
        <w:jc w:val="both"/>
        <w:ind w:firstLine="656"/>
        <w:spacing w:after="0" w:line="256" w:lineRule="auto"/>
        <w:tabs>
          <w:tab w:leader="none" w:pos="11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Accepted Servicing Practices</w:t>
      </w:r>
      <w:r>
        <w:rPr>
          <w:rFonts w:ascii="Times New Roman" w:cs="Times New Roman" w:eastAsia="Times New Roman" w:hAnsi="Times New Roman"/>
          <w:sz w:val="22"/>
          <w:szCs w:val="22"/>
          <w:color w:val="auto"/>
        </w:rPr>
        <w:t>. Promptly, and in any event within one (1) month of such change, furnish to Bank any non-material changes made to the Accepted Servicing Practices. Servicer may implement any material changes to the Accepted Servicing Practices with Bank’s prior written consent. Upon the request of Bank, Servicer shall promptly provide a copy of the most Accepted Servicing Practices in effect as of such date of request.</w:t>
      </w:r>
    </w:p>
    <w:p>
      <w:pPr>
        <w:spacing w:after="0" w:line="176" w:lineRule="exact"/>
        <w:rPr>
          <w:rFonts w:ascii="Times New Roman" w:cs="Times New Roman" w:eastAsia="Times New Roman" w:hAnsi="Times New Roman"/>
          <w:sz w:val="22"/>
          <w:szCs w:val="22"/>
          <w:color w:val="auto"/>
        </w:rPr>
      </w:pPr>
    </w:p>
    <w:p>
      <w:pPr>
        <w:ind w:right="20" w:firstLine="656"/>
        <w:spacing w:after="0" w:line="271" w:lineRule="auto"/>
        <w:tabs>
          <w:tab w:leader="none" w:pos="117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Servicer Event of Default</w:t>
      </w:r>
      <w:r>
        <w:rPr>
          <w:rFonts w:ascii="Times New Roman" w:cs="Times New Roman" w:eastAsia="Times New Roman" w:hAnsi="Times New Roman"/>
          <w:sz w:val="22"/>
          <w:szCs w:val="22"/>
          <w:color w:val="auto"/>
        </w:rPr>
        <w:t>. As soon as possible after obtaining actual knowledge thereof, notify Bank of the occurrence of any Servicer Event of Default.</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Bank</w:t>
      </w:r>
      <w:r>
        <w:rPr>
          <w:rFonts w:ascii="Times New Roman" w:cs="Times New Roman" w:eastAsia="Times New Roman" w:hAnsi="Times New Roman"/>
          <w:sz w:val="22"/>
          <w:szCs w:val="22"/>
          <w:color w:val="auto"/>
        </w:rPr>
        <w:t>. Advise Bank in writing promptly upon Servicer’s actual knowledge and in reasonable detail of (i) any lien asserted or claim made against any portion of the Bank Loans and (ii) the occurrence of any other event which would have a Material Adverse Effect on the security interest of Bank in the Bank Loans or the collectability of all or a material portion of the Proceeds.</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6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Promptly notify Bank of any change in the Servicer’s accounting policies that would have a Material Adverse Effect on the Bank Loans.</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30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Regarding Further Assurances</w:t>
      </w:r>
      <w:r>
        <w:rPr>
          <w:rFonts w:ascii="Times New Roman" w:cs="Times New Roman" w:eastAsia="Times New Roman" w:hAnsi="Times New Roman"/>
          <w:sz w:val="22"/>
          <w:szCs w:val="22"/>
          <w:color w:val="auto"/>
        </w:rPr>
        <w:t>. Promptly notify Bank of the occurrence of any event which, to the knowledge of the Servicer, would require that Bank make or cause to be made any filings, reports, notices or applications or seek any consents or authorizations from any and all government authorities in accordance with the relevant UCC and any state license or registration authority as may be necessary or advisable to create, maintain and protect the ownership interest of Bank in, to and on the Bank Loans.</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Back-Up Servicing Agreement</w:t>
      </w:r>
      <w:r>
        <w:rPr>
          <w:rFonts w:ascii="Times New Roman" w:cs="Times New Roman" w:eastAsia="Times New Roman" w:hAnsi="Times New Roman"/>
          <w:sz w:val="22"/>
          <w:szCs w:val="22"/>
          <w:color w:val="auto"/>
        </w:rPr>
        <w:t xml:space="preserve">. Bank may request that Servicer execute a Back-Up Servicing Agreement within sixty (60) days of such request with a Back-Up Servicer reasonably acceptable to Bank, and replace such agreement within a reasonable period of time if it is terminated;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 Servicer Event of Default has occurred and is continuing, the expenses of the Back-Up Servicer incurred directly by a Back-Up Servicer in connection with the Loans serviced under this Agreement shall be paid by Bank;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that Servicer enters into a Back-Up Servicing Agreement with a Back-Up Servicer and such Back-Up Servicer would not incur any additional costs associated with agreeing to provide back-up servicing services with respect to the Bank Loans, Servicer shall cause such Back-Up Servicer to provide back-up servicing services related to the Bank Loans;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Bank shall be responsible for paying any costs charged by the Back-Up Servicer specifically related to the back-up servicing of the Bank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01" w:name="page102"/>
    <w:bookmarkEnd w:id="101"/>
    <w:p>
      <w:pPr>
        <w:jc w:val="both"/>
        <w:ind w:firstLine="656"/>
        <w:spacing w:after="0" w:line="250" w:lineRule="auto"/>
        <w:tabs>
          <w:tab w:leader="none" w:pos="128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Disaster Recovery</w:t>
      </w:r>
      <w:r>
        <w:rPr>
          <w:rFonts w:ascii="Times New Roman" w:cs="Times New Roman" w:eastAsia="Times New Roman" w:hAnsi="Times New Roman"/>
          <w:sz w:val="22"/>
          <w:szCs w:val="22"/>
          <w:color w:val="auto"/>
        </w:rPr>
        <w:t>. Servicer shall establish and maintain a disaster recovery plan and business continuity plan, consisting of policies and procedures, as well as ancillary back-up capabilities and facilities (“</w:t>
      </w:r>
      <w:r>
        <w:rPr>
          <w:rFonts w:ascii="Times New Roman" w:cs="Times New Roman" w:eastAsia="Times New Roman" w:hAnsi="Times New Roman"/>
          <w:sz w:val="22"/>
          <w:szCs w:val="22"/>
          <w:u w:val="single" w:color="auto"/>
          <w:color w:val="auto"/>
        </w:rPr>
        <w:t>DRP</w:t>
      </w:r>
      <w:r>
        <w:rPr>
          <w:rFonts w:ascii="Times New Roman" w:cs="Times New Roman" w:eastAsia="Times New Roman" w:hAnsi="Times New Roman"/>
          <w:sz w:val="22"/>
          <w:szCs w:val="22"/>
          <w:color w:val="auto"/>
        </w:rPr>
        <w:t>”), that is designed to enable the performance of Servicer’s duties and obligations contemplated under this Agreement in the event of any natural disaster or other unplanned interruption of services. At the request of Bank, Servicer shall provide a current copy or summary of the DRP. Servicer shall not amend the DRP in a manner that knowingly materially increases the risks of disruptions and delays of its services without the consent of the Bank. Reinstating the services contemplated under this Agreement shall receive as high a priority as reinstating the similar services provided to Servicer’s affiliates and other customers.</w:t>
      </w:r>
    </w:p>
    <w:p>
      <w:pPr>
        <w:spacing w:after="0" w:line="180" w:lineRule="exact"/>
        <w:rPr>
          <w:rFonts w:ascii="Times New Roman" w:cs="Times New Roman" w:eastAsia="Times New Roman" w:hAnsi="Times New Roman"/>
          <w:sz w:val="22"/>
          <w:szCs w:val="22"/>
          <w:color w:val="auto"/>
        </w:rPr>
      </w:pPr>
    </w:p>
    <w:p>
      <w:pPr>
        <w:jc w:val="both"/>
        <w:ind w:firstLine="656"/>
        <w:spacing w:after="0" w:line="253" w:lineRule="auto"/>
        <w:tabs>
          <w:tab w:leader="none" w:pos="122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Policies</w:t>
      </w:r>
      <w:r>
        <w:rPr>
          <w:rFonts w:ascii="Times New Roman" w:cs="Times New Roman" w:eastAsia="Times New Roman" w:hAnsi="Times New Roman"/>
          <w:sz w:val="22"/>
          <w:szCs w:val="22"/>
          <w:color w:val="auto"/>
        </w:rPr>
        <w:t xml:space="preserve">. Servicer shall maintain policies and procedures relating to the Accepted Servicing Practices, Applicable Requirements, the Servicing Standard and Applicable Laws, including procedures relating to periodic training and on-going monitoring of Servicer, all Subcontractors, and all Collection Agents;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may request that Servicer amend any such policy or procedure in order to comply with Applicable Law upon reasonable prior notice and Servicer shall implement any such reasonable amendment as soon as practicable.</w:t>
      </w:r>
    </w:p>
    <w:p>
      <w:pPr>
        <w:spacing w:after="0" w:line="1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Negative Covenants of the Servicer</w:t>
      </w:r>
      <w:r>
        <w:rPr>
          <w:rFonts w:ascii="Times New Roman" w:cs="Times New Roman" w:eastAsia="Times New Roman" w:hAnsi="Times New Roman"/>
          <w:sz w:val="22"/>
          <w:szCs w:val="22"/>
          <w:color w:val="auto"/>
        </w:rPr>
        <w:t>. Servicer hereby covenants and agrees that until this Agreement is terminated in accordance with its terms, it will not:</w:t>
      </w:r>
    </w:p>
    <w:p>
      <w:pPr>
        <w:spacing w:after="0" w:line="1" w:lineRule="exact"/>
        <w:rPr>
          <w:sz w:val="20"/>
          <w:szCs w:val="20"/>
          <w:color w:val="auto"/>
        </w:rPr>
      </w:pPr>
    </w:p>
    <w:p>
      <w:pPr>
        <w:jc w:val="both"/>
        <w:ind w:firstLine="656"/>
        <w:spacing w:after="0" w:line="251" w:lineRule="auto"/>
        <w:tabs>
          <w:tab w:leader="none" w:pos="122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Accepted Servicing Practices</w:t>
      </w:r>
      <w:r>
        <w:rPr>
          <w:rFonts w:ascii="Times New Roman" w:cs="Times New Roman" w:eastAsia="Times New Roman" w:hAnsi="Times New Roman"/>
          <w:sz w:val="22"/>
          <w:szCs w:val="22"/>
          <w:color w:val="auto"/>
        </w:rPr>
        <w:t>. Agree to or otherwise implement any material change in the Accepted Servicing Practices with respect to which Bank has objected, which change would reasonably be expected to impair the collectability of any Proceeds.</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27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Bank Loans</w:t>
      </w:r>
      <w:r>
        <w:rPr>
          <w:rFonts w:ascii="Times New Roman" w:cs="Times New Roman" w:eastAsia="Times New Roman" w:hAnsi="Times New Roman"/>
          <w:sz w:val="22"/>
          <w:szCs w:val="22"/>
          <w:color w:val="auto"/>
        </w:rPr>
        <w:t>. Except as otherwise permitted pursuant to the Accepted Servicing Practices, extend, amend or otherwise modify the terms of any Bank Loan.</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Sell, pledge, assign or transfer to any other Person, or cause to be granted, created, incurred or assumed any lien on the Bank Loans or any interest therein.</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Additional Covenants</w:t>
      </w:r>
      <w:r>
        <w:rPr>
          <w:rFonts w:ascii="Times New Roman" w:cs="Times New Roman" w:eastAsia="Times New Roman" w:hAnsi="Times New Roman"/>
          <w:sz w:val="22"/>
          <w:szCs w:val="22"/>
          <w:color w:val="auto"/>
        </w:rPr>
        <w:t>. Except as permitted by the Accepted Servicing Practices, release the Borrower from any Bank Loan in whole or in part except (i) in the event of payment in full by the Borrower thereunder, or (ii) upon such Bank Loan becoming a Defaulted Loan.</w:t>
      </w:r>
    </w:p>
    <w:p>
      <w:pPr>
        <w:spacing w:after="0" w:line="18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Covenants of Bank</w:t>
      </w:r>
      <w:r>
        <w:rPr>
          <w:rFonts w:ascii="Times New Roman" w:cs="Times New Roman" w:eastAsia="Times New Roman" w:hAnsi="Times New Roman"/>
          <w:sz w:val="22"/>
          <w:szCs w:val="22"/>
          <w:color w:val="auto"/>
        </w:rPr>
        <w:t>. Bank hereby covenants and agrees that until this Agreement is terminated in accordance with its terms, it will:</w:t>
      </w:r>
    </w:p>
    <w:p>
      <w:pPr>
        <w:spacing w:after="0" w:line="158" w:lineRule="exact"/>
        <w:rPr>
          <w:sz w:val="20"/>
          <w:szCs w:val="20"/>
          <w:color w:val="auto"/>
        </w:rPr>
      </w:pPr>
    </w:p>
    <w:p>
      <w:pPr>
        <w:jc w:val="both"/>
        <w:ind w:firstLine="656"/>
        <w:spacing w:after="0" w:line="252" w:lineRule="auto"/>
        <w:tabs>
          <w:tab w:leader="none" w:pos="121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92" w:lineRule="exact"/>
        <w:rPr>
          <w:rFonts w:ascii="Times New Roman" w:cs="Times New Roman" w:eastAsia="Times New Roman" w:hAnsi="Times New Roman"/>
          <w:sz w:val="22"/>
          <w:szCs w:val="22"/>
          <w:color w:val="auto"/>
        </w:rPr>
      </w:pPr>
    </w:p>
    <w:p>
      <w:pPr>
        <w:ind w:firstLine="656"/>
        <w:spacing w:after="0" w:line="271" w:lineRule="auto"/>
        <w:tabs>
          <w:tab w:leader="none" w:pos="111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Servicer</w:t>
      </w:r>
      <w:r>
        <w:rPr>
          <w:rFonts w:ascii="Times New Roman" w:cs="Times New Roman" w:eastAsia="Times New Roman" w:hAnsi="Times New Roman"/>
          <w:sz w:val="22"/>
          <w:szCs w:val="22"/>
          <w:color w:val="auto"/>
        </w:rPr>
        <w:t>. Advise Servicer in writing promptly upon Bank’s actual knowledge and in reasonable detail of (i) any lien asserted or claim made against any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02" w:name="page103"/>
    <w:bookmarkEnd w:id="10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Bank Loans and (ii) the occurrence of any other event which would have a Material Adverse Effect on the security interest of Bank in the Bank Loans or the collectability of all or a material portion of the Proceeds.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SERVICER</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Limitation on Resignation by Servicer</w:t>
      </w:r>
      <w:r>
        <w:rPr>
          <w:rFonts w:ascii="Times New Roman" w:cs="Times New Roman" w:eastAsia="Times New Roman" w:hAnsi="Times New Roman"/>
          <w:sz w:val="22"/>
          <w:szCs w:val="22"/>
          <w:color w:val="auto"/>
        </w:rPr>
        <w:t>. Servicer shall not resign from the obligations and duties hereby imposed on it except by mutual consent of Servicer and Bank, or upon Servicer’s reasonable determination that its duties hereunder are no longer permissible under Applicable Laws and such incapacity cannot be cured by Servicer without any unreasonable costs or expenses. Each of Servicer and Bank shall be responsible for its own costs associated with any such transfer of servicing, including the transfer of the Servicing Files and the Loan Documents unless such transfer is as a result of a Servicer Event of Default, in which event all such expenses shall be paid by Servicer.</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Reliance and Other Matters</w:t>
      </w:r>
      <w:r>
        <w:rPr>
          <w:rFonts w:ascii="Times New Roman" w:cs="Times New Roman" w:eastAsia="Times New Roman" w:hAnsi="Times New Roman"/>
          <w:sz w:val="22"/>
          <w:szCs w:val="22"/>
          <w:color w:val="auto"/>
        </w:rPr>
        <w:t>. Servicer, if not Affirm or an Affiliate of Affirm, shall be under no obligation to appear in, prosecute or defend any legal action which is not directly related to its duties as Servicer hereunder that in its reasonable determination may cause it to incur any expense or liability.</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Bank Notification</w:t>
      </w:r>
      <w:r>
        <w:rPr>
          <w:rFonts w:ascii="Times New Roman" w:cs="Times New Roman" w:eastAsia="Times New Roman" w:hAnsi="Times New Roman"/>
          <w:sz w:val="22"/>
          <w:szCs w:val="22"/>
          <w:color w:val="auto"/>
        </w:rPr>
        <w:t>. In the event that Bank receives any communication from a Borrower related to a Bank Loan, Bank shall promptly forward such communication to Servicer.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w:t>
      </w:r>
    </w:p>
    <w:p>
      <w:pPr>
        <w:spacing w:after="0" w:line="20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Servicer Event of Default</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firstLine="656"/>
        <w:spacing w:after="0" w:line="248" w:lineRule="auto"/>
        <w:tabs>
          <w:tab w:leader="none" w:pos="115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terminable at the sole option of Bank, without penalty, upon the occurrence of any of the following (each, a “</w:t>
      </w:r>
      <w:r>
        <w:rPr>
          <w:rFonts w:ascii="Times New Roman" w:cs="Times New Roman" w:eastAsia="Times New Roman" w:hAnsi="Times New Roman"/>
          <w:sz w:val="22"/>
          <w:szCs w:val="22"/>
          <w:u w:val="single" w:color="auto"/>
          <w:color w:val="auto"/>
        </w:rPr>
        <w:t>Servicer Event of Default</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9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shall consent to the appointment of a conservator or receiver or liquidator in any insolvency, readjustment of debt, marshalling of assets and liabilities or similar proceedings of or relating to Servicer or of or relating to all or substantially all of its property; or</w:t>
      </w:r>
    </w:p>
    <w:p>
      <w:pPr>
        <w:spacing w:after="0" w:line="167"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81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Servicer shall fail to remit any amounts it has received in respect of the Bank Loans and that are required to be remitted to the Collection Account in accordance with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which failure continues unremedied for a period of five (5) Business Days after receipt by Servicer of a written notice from Bank describing such failure; or</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89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the Servicer to duly observe or perform any covenants or agreements of the Servicer set forth in this Agreement and which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03" w:name="page104"/>
    <w:bookmarkEnd w:id="103"/>
    <w:p>
      <w:pPr>
        <w:ind w:left="660"/>
        <w:spacing w:after="0" w:line="271" w:lineRule="auto"/>
        <w:rPr>
          <w:sz w:val="20"/>
          <w:szCs w:val="20"/>
          <w:color w:val="auto"/>
        </w:rPr>
      </w:pPr>
      <w:r>
        <w:rPr>
          <w:rFonts w:ascii="Times New Roman" w:cs="Times New Roman" w:eastAsia="Times New Roman" w:hAnsi="Times New Roman"/>
          <w:sz w:val="22"/>
          <w:szCs w:val="22"/>
          <w:color w:val="auto"/>
        </w:rPr>
        <w:t>continues unremedied for a period of thirty (30) days after the date on which written notice of such failure shall have been given to Servicer by Bank; or</w:t>
      </w:r>
    </w:p>
    <w:p>
      <w:pPr>
        <w:spacing w:after="0" w:line="158" w:lineRule="exact"/>
        <w:rPr>
          <w:sz w:val="20"/>
          <w:szCs w:val="20"/>
          <w:color w:val="auto"/>
        </w:rPr>
      </w:pPr>
    </w:p>
    <w:p>
      <w:pPr>
        <w:jc w:val="both"/>
        <w:ind w:left="660" w:firstLine="644"/>
        <w:spacing w:after="0" w:line="252" w:lineRule="auto"/>
        <w:tabs>
          <w:tab w:leader="none" w:pos="184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any representation or warranty made by the Servicer in this Agreement to be true and correct in all material respects or shall have been false or misleading in any material respect on the date when made except those made as of a specific date so long as they were true and correct in all material respects and not false or misleading in any material respect as of such specific date and, in each such case, if susceptible to cure, such occurrence shall not have been cured in all material respects within thirty (30) days after receipt by Servicer of written notice of such failure from Bank. For the avoidance of doubt, the materiality qualifiers set forth in this clause (iv) shall not apply to any representation or warranty that is already subject to a materiality qualifier;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Regulatory Authority shall have condemned, seized or appropriated, or have assumed custody or control of, all or any substantial part of the property of Servicer, or shall have taken any action to displace the management of Servicer or to curtail its authority in the conduct of the business of Servicer; or</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8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shall admit in writing its inability to pay its debts generally as they become due, file a petition to take advantage of any applicable insolvency, bankruptcy or reorganization statute, make an assignment for the benefit of its creditors, or voluntarily suspend payment of its obligations; or</w:t>
      </w:r>
    </w:p>
    <w:p>
      <w:pPr>
        <w:spacing w:after="0" w:line="167"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Adverse Effect occurs with respect to the Servicer; or</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is insolvent.</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16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automatically terminate if there shall be commenced by or against Servicer any voluntary or involuntary bankruptcy petition, or Servicer shall make an offer or assignment or compromise for the benefit of creditors.</w:t>
      </w:r>
    </w:p>
    <w:p>
      <w:pPr>
        <w:spacing w:after="0" w:line="171" w:lineRule="exact"/>
        <w:rPr>
          <w:rFonts w:ascii="Times New Roman" w:cs="Times New Roman" w:eastAsia="Times New Roman" w:hAnsi="Times New Roman"/>
          <w:sz w:val="22"/>
          <w:szCs w:val="22"/>
          <w:color w:val="auto"/>
        </w:rPr>
      </w:pPr>
    </w:p>
    <w:p>
      <w:pPr>
        <w:jc w:val="both"/>
        <w:ind w:firstLine="656"/>
        <w:spacing w:after="0" w:line="248" w:lineRule="auto"/>
        <w:tabs>
          <w:tab w:leader="none" w:pos="111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party has the right to terminate this Agreement immediately upon written notice to the other if (i) a Change of Control occurs with respect to the other party that the terminating party determines in its reasonable discretion will have a Material Adverse Effect on the Program or (ii) such party determines in its reasonable discretion that the activities of the parties under this Agreement are illegal under or prohibited by any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illegality or prohibition is a state or local rule, either party may in its discretion discontinue the Agreement in those states or localities affected by such Applicable Laws without terminating this Agreement in its entirety for such reason. Any such determination requiring the termination of the other shall, if reasonably requested by such party, be evidenced by an opinion of counsel to such effect obtained at the cost of the terminating party and delivered to the terminated party, which opinion of counsel shall be in form and substance reasonably acceptable to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04" w:name="page105"/>
    <w:bookmarkEnd w:id="104"/>
    <w:p>
      <w:pPr>
        <w:jc w:val="both"/>
        <w:ind w:firstLine="656"/>
        <w:spacing w:after="0" w:line="253" w:lineRule="auto"/>
        <w:tabs>
          <w:tab w:leader="none" w:pos="119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shall have the right to terminate this Agreement upon thirty (30) days written notice to the other, or earlier upon written notice to the other party if (i) any Regulatory Authority having jurisdiction over the terminating party requires that such party terminate this Agreement, or (ii) in the case of the Bank, termination is necessary to avoid the potential for material loss to the Bank, if the Bank determines in its reasonable discretion that the continuing operation of the Agreement may materially adversely affect the safety and soundness of Bank.</w:t>
      </w:r>
    </w:p>
    <w:p>
      <w:pPr>
        <w:spacing w:after="0" w:line="178" w:lineRule="exact"/>
        <w:rPr>
          <w:rFonts w:ascii="Times New Roman" w:cs="Times New Roman" w:eastAsia="Times New Roman" w:hAnsi="Times New Roman"/>
          <w:sz w:val="22"/>
          <w:szCs w:val="22"/>
          <w:color w:val="auto"/>
        </w:rPr>
      </w:pPr>
    </w:p>
    <w:p>
      <w:pPr>
        <w:jc w:val="both"/>
        <w:ind w:firstLine="656"/>
        <w:spacing w:after="0" w:line="247" w:lineRule="auto"/>
        <w:tabs>
          <w:tab w:leader="none" w:pos="125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by Servicer of such written notice of termination pursuant to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upon automatic termination of this Agreement as provided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upon receipt by non-terminating party of such written notice of termination pursuant to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(i) all authority and power of Servicer under this Agreement related to Bank Loans shall pass to and be vested in Bank and Bank (or its designee) is hereby authorized and empowered to execute and deliver, as attorney-in-fact or otherwise, any and all documents and other instruments, and to do or accomplish all other acts or things necessary or appropriate to effect the purposes of such notice of termination, whether to complete the transfer and endorsement of the Bank Loans, to direct Borrowers under Bank Loans, insurers, Subcontractors and Collection Agents to remit all Proceeds as directed by Bank (or its designee), or otherwise; (ii) Servicer shall (A) promptly, and in any event within thirty (30) days, place in such successor’s possession all Servicing Files, (B) in a timely manner do or cause to be done all other acts or things necessary or appropriate that are reasonably requested by Bank to effect the purposes of such notice of termination, including the transfer of the Bank Loans and related Loan Documents and Servicing Files; and (C) if such termination is after and during the continuance of a Servicer Event of Default, Servicer shall be responsible for documented and reasonable third party fees and expenses incurred in the transition of servicing to the Back-Up Servicer; (iii) Servicer shall, in a timely manner, cooperate with Bank (or its designee) in effecting the termination of the servicing responsibilities and rights hereunder and the transfer of the servicing functions and the Servicing Files, including the transfer to such successor for administration by it of all cash amounts which shall at the time be held by Servicer or thereafter received with respect to the Bank Loans; and (iv) Servicer shall be entitled to any accrued and unpaid Servicing Compensation through the effective date of such termination.</w:t>
      </w:r>
    </w:p>
    <w:p>
      <w:pPr>
        <w:spacing w:after="0" w:line="19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1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acceptance of appointment (by written notice of acceptance of all of the duties and obligations of Servicer hereunder), the successor servicer shall be the successor in all respects to Servicer with respect to servicing functions under this Agreement and shall be subject to all the responsibilities, duties and liabilities relating thereto placed on Servicer by the terms and provisions hereof or thereof (other than in the case of the Back-Up Servicer, any such responsibility, duty or liability that it is not required to assume under the terms of the Back-Up Servicing Agreement), and all references in this Agreement or in the successor servicing agreement to the Servicer shall be deemed to refer to the successor servicer.</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Term of this Agreement</w:t>
      </w:r>
      <w:r>
        <w:rPr>
          <w:rFonts w:ascii="Times New Roman" w:cs="Times New Roman" w:eastAsia="Times New Roman" w:hAnsi="Times New Roman"/>
          <w:sz w:val="22"/>
          <w:szCs w:val="22"/>
          <w:color w:val="auto"/>
        </w:rPr>
        <w:t xml:space="preserve">. This Agreement shall terminate upon the earlier to occur of (a) both the payment in full of each of the Bank Loans by the related Borrower and the termination of the Sale Agreement in accordance with the terms thereof, and (b) any termination of this Agreement in accordance with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Indemnification by Servicer</w:t>
      </w:r>
      <w:r>
        <w:rPr>
          <w:rFonts w:ascii="Times New Roman" w:cs="Times New Roman" w:eastAsia="Times New Roman" w:hAnsi="Times New Roman"/>
          <w:sz w:val="21"/>
          <w:szCs w:val="21"/>
          <w:color w:val="auto"/>
        </w:rPr>
        <w:t>. [***]</w:t>
      </w:r>
    </w:p>
    <w:p>
      <w:pPr>
        <w:spacing w:after="0" w:line="19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Indemnification by Bank</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u w:val="single" w:color="auto"/>
          <w:color w:val="auto"/>
        </w:rPr>
        <w:t>Indemnification Procedures</w:t>
      </w:r>
      <w:r>
        <w:rPr>
          <w:rFonts w:ascii="Times New Roman" w:cs="Times New Roman" w:eastAsia="Times New Roman" w:hAnsi="Times New Roman"/>
          <w:sz w:val="21"/>
          <w:szCs w:val="21"/>
          <w:color w:val="auto"/>
        </w:rPr>
        <w:t>. [***]</w:t>
      </w:r>
    </w:p>
    <w:p>
      <w:pPr>
        <w:spacing w:after="0" w:line="19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u w:val="single" w:color="auto"/>
          <w:color w:val="auto"/>
        </w:rPr>
        <w:t>Mitigation of Losses</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8.5.</w:t>
      </w:r>
      <w:r>
        <w:rPr>
          <w:sz w:val="20"/>
          <w:szCs w:val="20"/>
          <w:color w:val="auto"/>
        </w:rPr>
        <w:tab/>
      </w:r>
      <w:r>
        <w:rPr>
          <w:rFonts w:ascii="Times New Roman" w:cs="Times New Roman" w:eastAsia="Times New Roman" w:hAnsi="Times New Roman"/>
          <w:sz w:val="21"/>
          <w:szCs w:val="21"/>
          <w:u w:val="single" w:color="auto"/>
          <w:color w:val="auto"/>
        </w:rPr>
        <w:t>Single Recovery</w:t>
      </w:r>
      <w:r>
        <w:rPr>
          <w:rFonts w:ascii="Times New Roman" w:cs="Times New Roman" w:eastAsia="Times New Roman" w:hAnsi="Times New Roman"/>
          <w:sz w:val="21"/>
          <w:szCs w:val="21"/>
          <w:color w:val="auto"/>
        </w:rPr>
        <w:t>. [***]</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hereunder shall be in writing and shall be deemed to have been duly given when delivered in person, by email, by express or overnight mail delivered by a nationally recognized air courier (delivery charges prepaid), or by registered or certified mail (postage prepaid, return receipt requested) to the respective parties as follows:</w:t>
      </w:r>
    </w:p>
    <w:p>
      <w:pPr>
        <w:spacing w:after="0" w:line="6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2"/>
          <w:szCs w:val="22"/>
          <w:color w:val="auto"/>
        </w:rPr>
        <w:t>To Bank:</w:t>
      </w:r>
      <w:r>
        <w:rPr>
          <w:sz w:val="20"/>
          <w:szCs w:val="20"/>
          <w:color w:val="auto"/>
        </w:rPr>
        <w:tab/>
      </w:r>
      <w:r>
        <w:rPr>
          <w:rFonts w:ascii="Times New Roman" w:cs="Times New Roman" w:eastAsia="Times New Roman" w:hAnsi="Times New Roman"/>
          <w:sz w:val="21"/>
          <w:szCs w:val="21"/>
          <w:color w:val="auto"/>
        </w:rPr>
        <w:t>Lead Bank</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1801 Main Street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Kansas City, MO 64108</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Legal and Risk Officer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2"/>
          <w:szCs w:val="22"/>
          <w:color w:val="auto"/>
        </w:rPr>
        <w:t>To Servicer:</w:t>
      </w:r>
      <w:r>
        <w:rPr>
          <w:sz w:val="20"/>
          <w:szCs w:val="20"/>
          <w:color w:val="auto"/>
        </w:rPr>
        <w:tab/>
      </w:r>
      <w:r>
        <w:rPr>
          <w:rFonts w:ascii="Times New Roman" w:cs="Times New Roman" w:eastAsia="Times New Roman" w:hAnsi="Times New Roman"/>
          <w:sz w:val="21"/>
          <w:szCs w:val="21"/>
          <w:color w:val="auto"/>
        </w:rPr>
        <w:t>Affirm,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California St., 12th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Brooke Major-Reid, Chief Capital Officer</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Affirm,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California St., 12th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Capital Legal</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or to such other address as the party to whom notice is given may have previously furnished to the others in writing in the manner set forth above. Any notice or communication delivered in person shall be deemed effective upon delivery. Any notice or communication sent by email, or air courier shall be deemed effective on the first business day at the place at which such notice or communication is received following the day on which such notice or communication was sent.</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type w:val="continuous"/>
        </w:sectPr>
      </w:pPr>
    </w:p>
    <w:bookmarkStart w:id="106" w:name="page107"/>
    <w:bookmarkEnd w:id="106"/>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Any notice or communication sent by registered or certified mail shall be deemed effective on the third business day at the place from which such notice or communication was mailed following the day on which such notice or communication was mailed.</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part, provision, representation or warranty of this Agreement which is prohibited or which is held to be void or unenforceable shall be ineffective to the extent of such prohibition or unenforceability without invalidating the remaining provisions hereof. Any part, provision, representation or warranty of this Agreement which is prohibited or unenforceable or is held to be void or unenforceable in any jurisdiction shall be ineffective, as to such jurisdiction, to the extent of such prohibition or unenforceability without invalidating the remaining provisions hereof.</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THIS AGREEMENT SHALL BE CONSTRUED AND ENFORCED IN ACCORDANCE WITH AND GOVERNED BY THE LAWS OF THE STATE OF MISSOURI, WITHOUT REGARD TO THE CONFLICT OF LAWS PRINCIPLES THEREOF.</w:t>
      </w:r>
    </w:p>
    <w:p>
      <w:pPr>
        <w:spacing w:after="0" w:line="14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EACH PARTY HERETO HEREBY IRREVOCABLY SUBMITS TO THE JURISDICTION OF ANY MISSOURI STATE OR FEDERAL COURT SITTING IN JACKSON COUNTY, MISSOURI IN ANY ACTION OR PROCEEDING ARISING OUT OF OR RELATING TO THIS AGREEMENT, AND EACH PARTY HERETO HEREBY IRREVOCABLY AGREES THAT ALL CLAIMS IN RESPECT OF SUCH ACTION OR PROCEEDING MAY BE HEARD AND DETERMINED IN SUCH STATE COURTS OR, TO THE EXTENT PERMITTED BY LAW, IN SUCH FEDERAL COURTS. THE PARTIES HERETO HEREBY IRREVOCABLY WAIVE, TO THE FULLEST EXTENT THEY MAY EFFECTIVELY DO SO, THE DEFENSE OF AN INCONVENIENT FORUM TO THE MAINTENANCE OF SUCH ACTION OR PROCEEDING. THE PARTIES HERETO AGREE THAT A FINAL JUDGMENT NOT SUBJECT TO FURTHER APPEAL, IN ANY SUCH ACTION OR PROCEEDING SHALL BE CONCLUSIVE AND MAY BE ENFORCED IN OTHER JURISDICTIONS BY SUIT ON THE JUDGMENT OR IN ANY OTHER MANNER PROVIDED BY LAW.</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NEITHER PARTY SHALL BE LIABLE TO THE OTHER PARTY FOR INDIRECT, SPECIAL, INCIDENTAL, PUNITIVE, CONSEQUENTIAL OR EXEMPLARY DAMAGES OR LOST PROFITS (EVEN IF SUCH PARTY HAS BEEN ADVISED OF THE POSSIBILITY OF SUCH DAMAGES) ARISING OUT OF OR IN CONNECTION WITH THIS AGREEMENT.</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agrees to execute and deliver to the other such reasonable and appropriate additional documents, instruments or agreements as may be reasonably necessary or appropriate to effectuate the purposes of this Agreement.</w:t>
      </w:r>
    </w:p>
    <w:p>
      <w:pPr>
        <w:spacing w:after="0" w:line="14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bind and inure to the benefit of and be enforceable by Servicer and Bank and the respective successors and assigns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07" w:name="page108"/>
    <w:bookmarkEnd w:id="107"/>
    <w:p>
      <w:pPr>
        <w:jc w:val="both"/>
        <w:spacing w:after="0" w:line="271" w:lineRule="auto"/>
        <w:rPr>
          <w:sz w:val="20"/>
          <w:szCs w:val="20"/>
          <w:color w:val="auto"/>
        </w:rPr>
      </w:pPr>
      <w:r>
        <w:rPr>
          <w:rFonts w:ascii="Times New Roman" w:cs="Times New Roman" w:eastAsia="Times New Roman" w:hAnsi="Times New Roman"/>
          <w:sz w:val="22"/>
          <w:szCs w:val="22"/>
          <w:color w:val="auto"/>
        </w:rPr>
        <w:t>Servicer and Bank. This Agreement may not be assigned, pledged or hypothecated by either party hereto without the prior written consent of the other party.</w:t>
      </w:r>
    </w:p>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Program Agreement and the Sale Agreement and the schedules and exhibits related thereto and the documents executed and delivered pursuant hereto and thereto, constitute the entire agreement between the parties with respect to the subject matter hereof and thereof, and supersede any prior or contemporaneous negotiations or oral or written agreements between the parties hereto with respect to the subject matter hereof or thereof, except where survival of prior written agreements is expressly provided for herein.</w:t>
      </w:r>
    </w:p>
    <w:p>
      <w:pPr>
        <w:spacing w:after="0" w:line="15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Amendment and Waivers</w:t>
      </w:r>
      <w:r>
        <w:rPr>
          <w:rFonts w:ascii="Times New Roman" w:cs="Times New Roman" w:eastAsia="Times New Roman" w:hAnsi="Times New Roman"/>
          <w:sz w:val="22"/>
          <w:szCs w:val="22"/>
          <w:color w:val="auto"/>
        </w:rPr>
        <w:t>. Except as otherwise expressly provided herein, this Agreement may only be amended by a writing signed by duly authorized officers of Servicer and Bank. No waiver of any provision of this Agreement, nor consent to any departure by either party therefrom, shall be effective unless the same shall be in writing and signed by a duly authorized officer of the party to be charged with the waiver or consent, and then such waiver or consent shall be effective only in the specific instance and for the specific purpose for which given. By a written notice, either party may waive any default by the other in the performance of its obligations hereunder and its consequences.</w:t>
      </w:r>
    </w:p>
    <w:p>
      <w:pPr>
        <w:spacing w:after="0" w:line="1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Referrals</w:t>
      </w:r>
      <w:r>
        <w:rPr>
          <w:rFonts w:ascii="Times New Roman" w:cs="Times New Roman" w:eastAsia="Times New Roman" w:hAnsi="Times New Roman"/>
          <w:sz w:val="22"/>
          <w:szCs w:val="22"/>
          <w:color w:val="auto"/>
        </w:rPr>
        <w:t>. Neither party has agreed to pay any fee or commission to any agent, broker, finder or other person for or on account of such person’s services rendered in connection with this Agreement that would give rise to any valid claim against the other party for any commission, finder’s fee or like payment.</w:t>
      </w:r>
    </w:p>
    <w:p>
      <w:pPr>
        <w:spacing w:after="0" w:line="1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Interpretation; Headings</w:t>
      </w:r>
      <w:r>
        <w:rPr>
          <w:rFonts w:ascii="Times New Roman" w:cs="Times New Roman" w:eastAsia="Times New Roman" w:hAnsi="Times New Roman"/>
          <w:sz w:val="22"/>
          <w:szCs w:val="22"/>
          <w:color w:val="auto"/>
        </w:rPr>
        <w:t>. The parties acknowledge that each party and its counsel have reviewed and revised this Agreement and that the normal rule of construction to the effect that any ambiguities are to be resolved against the drafting party shall not be employed in the interpretation of this Agreement or any amendments thereto, and the same shall be construed neither for nor against either party, but shall be given a reasonable interpretation in accordance with the plain meaning of its terms and the intent of the parties. Captions and headings in this Agreement are for convenience only, and are not deemed part of this Agreement.</w:t>
      </w:r>
    </w:p>
    <w:p>
      <w:pPr>
        <w:spacing w:after="0" w:line="15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9.11.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simultaneously in any number of counterparts. Each counterpart shall be deemed to be an original, and all such counterparts shall constitute one and the same instrument. The parties agree that this Agreement and signature pages may be transmitted between them by electronic mail and that PDF signatures constitute original signatures and that a PDF signature page containing the signature (PDF or original) is binding upon the parties.</w:t>
      </w:r>
    </w:p>
    <w:p>
      <w:pPr>
        <w:spacing w:after="0" w:line="1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No Joint Venture or Partnership</w:t>
      </w:r>
      <w:r>
        <w:rPr>
          <w:rFonts w:ascii="Times New Roman" w:cs="Times New Roman" w:eastAsia="Times New Roman" w:hAnsi="Times New Roman"/>
          <w:sz w:val="22"/>
          <w:szCs w:val="22"/>
          <w:color w:val="auto"/>
        </w:rPr>
        <w:t>. Each party hereto (including any of its respective permitted successors and assignees) acknowledges and agrees that such party shall not hold itself out as an agent, partner or co-venturer of any other party hereto and that this Agreement and the transactions contemplated hereby, including the payment of any fees or the reimbursement of any expenses, is not intended and does not create an agency, partnership,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08" w:name="page109"/>
    <w:bookmarkEnd w:id="108"/>
    <w:p>
      <w:pPr>
        <w:ind w:right="20"/>
        <w:spacing w:after="0" w:line="271" w:lineRule="auto"/>
        <w:rPr>
          <w:sz w:val="20"/>
          <w:szCs w:val="20"/>
          <w:color w:val="auto"/>
        </w:rPr>
      </w:pPr>
      <w:r>
        <w:rPr>
          <w:rFonts w:ascii="Times New Roman" w:cs="Times New Roman" w:eastAsia="Times New Roman" w:hAnsi="Times New Roman"/>
          <w:sz w:val="22"/>
          <w:szCs w:val="22"/>
          <w:color w:val="auto"/>
        </w:rPr>
        <w:t>venture or any other type of relationship between or among the parties hereto, except to the extent that any independent contractual relationship established hereby.</w:t>
      </w:r>
    </w:p>
    <w:p>
      <w:pPr>
        <w:spacing w:after="0" w:line="13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ARTICLE VIII and ARTICLE IX shall survive termination of Servicer and termination of this Agreement.</w:t>
      </w:r>
    </w:p>
    <w:p>
      <w:pPr>
        <w:spacing w:after="0" w:line="11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Disclosure of 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10.4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10.5</w:t>
      </w:r>
      <w:r>
        <w:rPr>
          <w:rFonts w:ascii="Times New Roman" w:cs="Times New Roman" w:eastAsia="Times New Roman" w:hAnsi="Times New Roman"/>
          <w:sz w:val="22"/>
          <w:szCs w:val="22"/>
          <w:color w:val="auto"/>
        </w:rPr>
        <w:t xml:space="preserve"> of the Program Agreement are incorporated herein by reference and the parties hereto agree to be bound by the terms of such provisions.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09" w:name="page110"/>
    <w:bookmarkEnd w:id="10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Servicer and Bank have caused their names to be signed hereto by their respective officers thereunto duly authorized as of the date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LEAD BANK</w:t>
      </w:r>
      <w:r>
        <w:rPr>
          <w:rFonts w:ascii="Times New Roman" w:cs="Times New Roman" w:eastAsia="Times New Roman" w:hAnsi="Times New Roman"/>
          <w:sz w:val="22"/>
          <w:szCs w:val="22"/>
          <w:color w:val="auto"/>
        </w:rPr>
        <w:t>, as Bank</w:t>
      </w:r>
    </w:p>
    <w:p>
      <w:pPr>
        <w:spacing w:after="0" w:line="200" w:lineRule="exact"/>
        <w:rPr>
          <w:sz w:val="20"/>
          <w:szCs w:val="20"/>
          <w:color w:val="auto"/>
        </w:rPr>
      </w:pP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Homam Maalouf</w:t>
      </w:r>
      <w:r>
        <w:rPr>
          <w:rFonts w:ascii="Times New Roman" w:cs="Times New Roman" w:eastAsia="Times New Roman" w:hAnsi="Times New Roman"/>
          <w:sz w:val="22"/>
          <w:szCs w:val="22"/>
          <w:color w:val="auto"/>
        </w:rPr>
        <w:t>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Homam Maalouf</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Product Strategy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AFFIRM, INC.</w:t>
      </w:r>
      <w:r>
        <w:rPr>
          <w:rFonts w:ascii="Times New Roman" w:cs="Times New Roman" w:eastAsia="Times New Roman" w:hAnsi="Times New Roman"/>
          <w:sz w:val="22"/>
          <w:szCs w:val="22"/>
          <w:color w:val="auto"/>
        </w:rPr>
        <w:t>, as Servicer</w:t>
      </w: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Brooke Major-Reid</w:t>
      </w:r>
      <w:r>
        <w:rPr>
          <w:rFonts w:ascii="Times New Roman" w:cs="Times New Roman" w:eastAsia="Times New Roman" w:hAnsi="Times New Roman"/>
          <w:sz w:val="22"/>
          <w:szCs w:val="22"/>
          <w:color w:val="auto"/>
        </w:rPr>
        <w:t>____________</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15"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Chief Capital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Loan Servicing Agreement</w:t>
      </w:r>
    </w:p>
    <w:p>
      <w:pPr>
        <w:sectPr>
          <w:pgSz w:w="11900" w:h="16838" w:orient="portrait"/>
          <w:cols w:equalWidth="0" w:num="1">
            <w:col w:w="11240"/>
          </w:cols>
          <w:pgMar w:left="320" w:top="142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Accepted Servicing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 A</w:t>
      </w:r>
    </w:p>
    <w:p>
      <w:pPr>
        <w:sectPr>
          <w:pgSz w:w="11900" w:h="16838" w:orient="portrait"/>
          <w:cols w:equalWidth="0" w:num="1">
            <w:col w:w="9019"/>
          </w:cols>
          <w:pgMar w:left="1440" w:top="1418" w:right="1440" w:bottom="1440" w:gutter="0" w:footer="0" w:header="0"/>
        </w:sectPr>
      </w:pPr>
    </w:p>
    <w:bookmarkStart w:id="111" w:name="page112"/>
    <w:bookmarkEnd w:id="111"/>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Servicing Fee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Ex. B</w:t>
      </w:r>
    </w:p>
    <w:p>
      <w:pPr>
        <w:sectPr>
          <w:pgSz w:w="11900" w:h="16838" w:orient="portrait"/>
          <w:cols w:equalWidth="0" w:num="1">
            <w:col w:w="10139"/>
          </w:cols>
          <w:pgMar w:left="320" w:top="1418"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Power of Attorney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[_________], 20[__]</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 a [_____] (the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hereby irrevocably constitutes and appoints Affirm, Inc., a Delaware</w:t>
      </w:r>
    </w:p>
    <w:p>
      <w:pPr>
        <w:spacing w:after="0" w:line="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corporation (the “</w:t>
      </w:r>
      <w:r>
        <w:rPr>
          <w:rFonts w:ascii="Times New Roman" w:cs="Times New Roman" w:eastAsia="Times New Roman" w:hAnsi="Times New Roman"/>
          <w:sz w:val="21"/>
          <w:szCs w:val="21"/>
          <w:u w:val="single" w:color="auto"/>
          <w:color w:val="auto"/>
        </w:rPr>
        <w:t>Attorney</w:t>
      </w:r>
      <w:r>
        <w:rPr>
          <w:rFonts w:ascii="Times New Roman" w:cs="Times New Roman" w:eastAsia="Times New Roman" w:hAnsi="Times New Roman"/>
          <w:sz w:val="21"/>
          <w:szCs w:val="21"/>
          <w:color w:val="auto"/>
        </w:rPr>
        <w:t>”) (and all officers, employees or agents designated by Attorney), with full power of substitution, as its true and lawful attorney in fact with full irrevocable power and authority in its place and stead and in its name or in Attorney’s own name, from time to time in Attorney’s discretion, to take any and all appropriate action and to execute and deliver any and all documents and instruments that may be reasonably necessary for the sole and limited purpose of enabling the Attorney to service, administer and/or collect all loans held by Grantor, which were originated under that certain Program Agreement, dated as of [______], between Grantor and Attorney and are serviced by Attorney, as servicer on behalf of Grantor, pursuant to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Servicing Agreement, dated as of [______] between Grantor and Attorney (the “</w:t>
      </w:r>
      <w:r>
        <w:rPr>
          <w:rFonts w:ascii="Times New Roman" w:cs="Times New Roman" w:eastAsia="Times New Roman" w:hAnsi="Times New Roman"/>
          <w:sz w:val="21"/>
          <w:szCs w:val="21"/>
          <w:u w:val="single" w:color="auto"/>
          <w:color w:val="auto"/>
        </w:rPr>
        <w:t>Servicing Agreement</w:t>
      </w:r>
      <w:r>
        <w:rPr>
          <w:rFonts w:ascii="Times New Roman" w:cs="Times New Roman" w:eastAsia="Times New Roman" w:hAnsi="Times New Roman"/>
          <w:sz w:val="21"/>
          <w:szCs w:val="21"/>
          <w:color w:val="auto"/>
        </w:rPr>
        <w:t>”) (collectively, the</w:t>
      </w:r>
    </w:p>
    <w:p>
      <w:pPr>
        <w:spacing w:after="0" w:line="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and, without limiting the generality of the foregoing, hereby grants to Attorney the power and right, on its behalf, without notice to or assent by it, in accordance with the Servicing Agreement, to:</w:t>
      </w:r>
    </w:p>
    <w:p>
      <w:pPr>
        <w:spacing w:after="0" w:line="182" w:lineRule="exact"/>
        <w:rPr>
          <w:sz w:val="20"/>
          <w:szCs w:val="20"/>
          <w:color w:val="auto"/>
        </w:rPr>
      </w:pPr>
    </w:p>
    <w:p>
      <w:pPr>
        <w:jc w:val="both"/>
        <w:ind w:firstLine="1304"/>
        <w:spacing w:after="0" w:line="272" w:lineRule="auto"/>
        <w:tabs>
          <w:tab w:leader="none" w:pos="160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open mail for it, and ask, demand, collect, give acquaintances and receipts for, take possession of, or endorse and receive payment of, any checks, drafts, notes, acceptances or other instruments for the payment of moneys due in respect of Assets, issue invoices in respect of unbilled Assets, and sign and endorse any invoices, freight or express bills, bills of lading, storage or warehouse receipts, drafts against debtors, assignments, verifications and notices in connection with any Assets;</w:t>
      </w:r>
    </w:p>
    <w:p>
      <w:pPr>
        <w:spacing w:after="0" w:line="160" w:lineRule="exact"/>
        <w:rPr>
          <w:rFonts w:ascii="Times New Roman" w:cs="Times New Roman" w:eastAsia="Times New Roman" w:hAnsi="Times New Roman"/>
          <w:sz w:val="21"/>
          <w:szCs w:val="21"/>
          <w:color w:val="auto"/>
        </w:rPr>
      </w:pPr>
    </w:p>
    <w:p>
      <w:pPr>
        <w:ind w:left="1600" w:hanging="296"/>
        <w:spacing w:after="0"/>
        <w:tabs>
          <w:tab w:leader="none" w:pos="16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or discharge any taxes, liens or other encumbrances levied or placed on or threatened against any Assets;</w:t>
      </w:r>
    </w:p>
    <w:p>
      <w:pPr>
        <w:spacing w:after="0" w:line="219"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on behalf of the Grantor defaulted Assets; and</w:t>
      </w:r>
    </w:p>
    <w:p>
      <w:pPr>
        <w:spacing w:after="0" w:line="23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0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every act required, necessary or proper to be done in the exercise of any of the rights and powers herein granted, as fully to all intents and purposes as the Grantor might or could do if personally present, with full power of substitution or revocation, hereby ratifying and confirming all that such attorney-in-fact shall lawfully do or cause to be done by virtue of this Power of Attorney and the rights and powers herein granted.</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 person to whom this Power of Attorney is presented, as authority for Attorney to take any action or actions contemplated hereby, shall be required to inquire into or seek confirmation from the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the Grantor irrevocably waives any right to commence any suit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 C-1</w:t>
      </w:r>
    </w:p>
    <w:p>
      <w:pPr>
        <w:sectPr>
          <w:pgSz w:w="11900" w:h="16838" w:orient="portrait"/>
          <w:cols w:equalWidth="0" w:num="1">
            <w:col w:w="11240"/>
          </w:cols>
          <w:pgMar w:left="320" w:top="1418" w:right="339" w:bottom="1440" w:gutter="0" w:footer="0" w:header="0"/>
        </w:sectPr>
      </w:pPr>
    </w:p>
    <w:bookmarkStart w:id="113" w:name="page114"/>
    <w:bookmarkEnd w:id="113"/>
    <w:p>
      <w:pPr>
        <w:spacing w:after="0" w:line="271" w:lineRule="auto"/>
        <w:rPr>
          <w:sz w:val="20"/>
          <w:szCs w:val="20"/>
          <w:color w:val="auto"/>
        </w:rPr>
      </w:pPr>
      <w:r>
        <w:rPr>
          <w:rFonts w:ascii="Times New Roman" w:cs="Times New Roman" w:eastAsia="Times New Roman" w:hAnsi="Times New Roman"/>
          <w:sz w:val="22"/>
          <w:szCs w:val="22"/>
          <w:color w:val="auto"/>
        </w:rPr>
        <w:t>action, in law or equity, against any person or entity that acts in reliance upon or acknowledges the authority granted under this Power of Attorney. The power of attorney granted hereby is coupled with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Ex. C-2</w:t>
      </w:r>
    </w:p>
    <w:p>
      <w:pPr>
        <w:sectPr>
          <w:pgSz w:w="11900" w:h="16838" w:orient="portrait"/>
          <w:cols w:equalWidth="0" w:num="1">
            <w:col w:w="11240"/>
          </w:cols>
          <w:pgMar w:left="320" w:top="1422" w:right="339" w:bottom="1440" w:gutter="0" w:footer="0" w:header="0"/>
        </w:sectPr>
      </w:pPr>
    </w:p>
    <w:bookmarkStart w:id="114" w:name="page115"/>
    <w:bookmarkEnd w:id="11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Grantor has caused this power of attorney to be executed as of the date first written above.</w:t>
      </w:r>
    </w:p>
    <w:p>
      <w:pPr>
        <w:sectPr>
          <w:pgSz w:w="11900" w:h="16838" w:orient="portrait"/>
          <w:cols w:equalWidth="0" w:num="1">
            <w:col w:w="10160"/>
          </w:cols>
          <w:pgMar w:left="980" w:top="1440" w:right="7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Ex. C-3</w:t>
      </w:r>
    </w:p>
    <w:p>
      <w:pPr>
        <w:sectPr>
          <w:pgSz w:w="11900" w:h="16838" w:orient="portrait"/>
          <w:cols w:equalWidth="0" w:num="1">
            <w:col w:w="10160"/>
          </w:cols>
          <w:pgMar w:left="980" w:top="1440" w:right="759" w:bottom="1440" w:gutter="0" w:footer="0" w:header="0"/>
          <w:type w:val="continuous"/>
        </w:sectPr>
      </w:pPr>
    </w:p>
    <w:bookmarkStart w:id="115" w:name="page116"/>
    <w:bookmarkEnd w:id="115"/>
    <w:p>
      <w:pPr>
        <w:ind w:left="3900"/>
        <w:spacing w:after="0"/>
        <w:rPr>
          <w:sz w:val="20"/>
          <w:szCs w:val="20"/>
          <w:color w:val="auto"/>
        </w:rPr>
      </w:pPr>
      <w:r>
        <w:rPr>
          <w:rFonts w:ascii="Times New Roman" w:cs="Times New Roman" w:eastAsia="Times New Roman" w:hAnsi="Times New Roman"/>
          <w:sz w:val="22"/>
          <w:szCs w:val="22"/>
          <w:color w:val="auto"/>
        </w:rPr>
        <w:t>Acknowledgment of Execution by the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[STATE OF [_____]</w:t>
        <w:tab/>
        <w:t>)</w:t>
      </w:r>
    </w:p>
    <w:p>
      <w:pPr>
        <w:spacing w:after="0" w:line="28" w:lineRule="exact"/>
        <w:rPr>
          <w:sz w:val="20"/>
          <w:szCs w:val="20"/>
          <w:color w:val="auto"/>
        </w:rPr>
      </w:pPr>
    </w:p>
    <w:p>
      <w:pPr>
        <w:ind w:left="720" w:hanging="280"/>
        <w:spacing w:after="0"/>
        <w:tabs>
          <w:tab w:leader="none" w:pos="7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ss.:</w:t>
      </w:r>
    </w:p>
    <w:p>
      <w:pPr>
        <w:spacing w:after="0" w:line="5"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COUNTY OF [_____]</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the ____ day of _________ 20__ before me, the undersigned, a Notary Public in and for said [State], personally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appeared ___________, personally known to me or proved to me on the basis of satisfactory evidence to be the individual whose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is subscribed to the within instrument and acknowledged to me that he executed the same in his capacity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 for [________], and that by his signature on the instrument, the person upon behalf of which the individual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acted, executed the instrument.</w:t>
      </w:r>
    </w:p>
    <w:p>
      <w:pPr>
        <w:spacing w:after="0" w:line="207"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I have hereunto set my hand affixed my office seal the day and year in this certificate first above written.</w:t>
      </w:r>
    </w:p>
    <w:p>
      <w:pPr>
        <w:spacing w:after="0" w:line="200" w:lineRule="exact"/>
        <w:rPr>
          <w:sz w:val="20"/>
          <w:szCs w:val="20"/>
          <w:color w:val="auto"/>
        </w:rPr>
      </w:pPr>
    </w:p>
    <w:p>
      <w:pPr>
        <w:spacing w:after="0" w:line="39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 C-4</w:t>
      </w:r>
    </w:p>
    <w:p>
      <w:pPr>
        <w:sectPr>
          <w:pgSz w:w="11900" w:h="16838" w:orient="portrait"/>
          <w:cols w:equalWidth="0" w:num="1">
            <w:col w:w="11240"/>
          </w:cols>
          <w:pgMar w:left="320" w:top="1422"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line="312" w:lineRule="auto"/>
        <w:rPr>
          <w:sz w:val="20"/>
          <w:szCs w:val="20"/>
          <w:color w:val="auto"/>
        </w:rPr>
      </w:pPr>
      <w:r>
        <w:rPr>
          <w:rFonts w:ascii="Times New Roman" w:cs="Times New Roman" w:eastAsia="Times New Roman" w:hAnsi="Times New Roman"/>
          <w:sz w:val="17"/>
          <w:szCs w:val="17"/>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254635</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LOAN SALE AGREEMENT</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between</w:t>
      </w:r>
    </w:p>
    <w:p>
      <w:pPr>
        <w:spacing w:after="0" w:line="200" w:lineRule="exact"/>
        <w:rPr>
          <w:sz w:val="20"/>
          <w:szCs w:val="20"/>
          <w:color w:val="auto"/>
        </w:rPr>
      </w:pPr>
    </w:p>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LEAD BANK</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AFFIRM, INC.,</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as Purchaser</w:t>
      </w:r>
    </w:p>
    <w:p>
      <w:pPr>
        <w:spacing w:after="0" w:line="200" w:lineRule="exact"/>
        <w:rPr>
          <w:sz w:val="20"/>
          <w:szCs w:val="20"/>
          <w:color w:val="auto"/>
        </w:rPr>
      </w:pPr>
    </w:p>
    <w:p>
      <w:pPr>
        <w:spacing w:after="0" w:line="2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Dated as of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465455</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480" w:top="11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82"/>
        </w:trPr>
        <w:tc>
          <w:tcPr>
            <w:tcW w:w="1260" w:type="dxa"/>
            <w:vAlign w:val="bottom"/>
          </w:tcPr>
          <w:p>
            <w:pPr>
              <w:spacing w:after="0"/>
              <w:rPr>
                <w:sz w:val="24"/>
                <w:szCs w:val="24"/>
                <w:color w:val="auto"/>
              </w:rPr>
            </w:pPr>
          </w:p>
        </w:tc>
        <w:tc>
          <w:tcPr>
            <w:tcW w:w="7480" w:type="dxa"/>
            <w:vAlign w:val="bottom"/>
          </w:tcPr>
          <w:p>
            <w:pPr>
              <w:ind w:left="3240"/>
              <w:spacing w:after="0"/>
              <w:rPr>
                <w:sz w:val="20"/>
                <w:szCs w:val="20"/>
                <w:color w:val="auto"/>
              </w:rPr>
            </w:pPr>
            <w:r>
              <w:rPr>
                <w:rFonts w:ascii="Times New Roman" w:cs="Times New Roman" w:eastAsia="Times New Roman" w:hAnsi="Times New Roman"/>
                <w:sz w:val="22"/>
                <w:szCs w:val="22"/>
                <w:color w:val="auto"/>
              </w:rPr>
              <w:t>TABLE OF CONTENTS</w:t>
            </w: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7"/>
        </w:trPr>
        <w:tc>
          <w:tcPr>
            <w:tcW w:w="12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330"/>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Definitions.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Purchase of Loans; Payment to Bank.</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3.</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Right of First Refusal; Securitizations; Sale Restriction.</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4.</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Ownership of Loans.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Reserve Account.</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6.</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7.</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Additional Representations and Warranties of Bank.</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Representations and Warranties of Purchaser</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Limitation of Liability.</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Conditions Precedent to the Obligations of Bank.</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Term and Termination.</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Successors and Third Parties.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13.</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Notices.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14.</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Relationship of the Parties.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15.</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Loan Documents.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16.</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Expenses.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17.</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Examination and Reports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18.</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Inspection.</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19.</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Governing Law.</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20.</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Manner of Payments.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Referrals.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Entire Agreement.</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Amendment and Modifications.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Waivers.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Severability.</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Interpretation.</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Headings.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Counterparts.</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29.</w:t>
            </w:r>
          </w:p>
        </w:tc>
        <w:tc>
          <w:tcPr>
            <w:tcW w:w="74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Solicitation.</w:t>
            </w:r>
          </w:p>
        </w:tc>
        <w:tc>
          <w:tcPr>
            <w:tcW w:w="2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20"/>
          </w:cols>
          <w:pgMar w:left="340" w:top="1422" w:right="339" w:bottom="1440" w:gutter="0" w:footer="0" w:header="0"/>
        </w:sectPr>
      </w:pPr>
    </w:p>
    <w:bookmarkStart w:id="118" w:name="page119"/>
    <w:bookmarkEnd w:id="118"/>
    <w:p>
      <w:pPr>
        <w:spacing w:after="0"/>
        <w:tabs>
          <w:tab w:leader="none" w:pos="140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Definitions</w:t>
      </w:r>
    </w:p>
    <w:p>
      <w:pPr>
        <w:spacing w:after="0" w:line="2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Schedule II:</w:t>
      </w:r>
      <w:r>
        <w:rPr>
          <w:sz w:val="20"/>
          <w:szCs w:val="20"/>
          <w:color w:val="auto"/>
        </w:rPr>
        <w:tab/>
      </w:r>
      <w:r>
        <w:rPr>
          <w:rFonts w:ascii="Times New Roman" w:cs="Times New Roman" w:eastAsia="Times New Roman" w:hAnsi="Times New Roman"/>
          <w:sz w:val="21"/>
          <w:szCs w:val="21"/>
          <w:color w:val="auto"/>
        </w:rPr>
        <w:t>Structural Criteria</w:t>
      </w:r>
    </w:p>
    <w:p>
      <w:pPr>
        <w:spacing w:after="0" w:line="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Schedule III:</w:t>
      </w:r>
      <w:r>
        <w:rPr>
          <w:sz w:val="20"/>
          <w:szCs w:val="20"/>
          <w:color w:val="auto"/>
        </w:rPr>
        <w:tab/>
      </w:r>
      <w:r>
        <w:rPr>
          <w:rFonts w:ascii="Times New Roman" w:cs="Times New Roman" w:eastAsia="Times New Roman" w:hAnsi="Times New Roman"/>
          <w:sz w:val="21"/>
          <w:szCs w:val="21"/>
          <w:color w:val="auto"/>
        </w:rPr>
        <w:t>Purchased Loans</w:t>
      </w:r>
    </w:p>
    <w:p>
      <w:pPr>
        <w:spacing w:after="0" w:line="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Annex A:</w:t>
      </w:r>
      <w:r>
        <w:rPr>
          <w:sz w:val="20"/>
          <w:szCs w:val="20"/>
          <w:color w:val="auto"/>
        </w:rPr>
        <w:tab/>
      </w:r>
      <w:r>
        <w:rPr>
          <w:rFonts w:ascii="Times New Roman" w:cs="Times New Roman" w:eastAsia="Times New Roman" w:hAnsi="Times New Roman"/>
          <w:sz w:val="21"/>
          <w:szCs w:val="21"/>
          <w:color w:val="auto"/>
        </w:rPr>
        <w:t>Purchaser’s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422" w:right="1440"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LOAN SALE AGREEMENT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May 31,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LEAD BANK, an FDIC insured state-chartered bank with its principal offices located at 1801 Main Street, Kansas City, Missouri 64108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and AFFIRM, INC., a Delaware corporation (“</w:t>
      </w:r>
      <w:r>
        <w:rPr>
          <w:rFonts w:ascii="Times New Roman" w:cs="Times New Roman" w:eastAsia="Times New Roman" w:hAnsi="Times New Roman"/>
          <w:sz w:val="22"/>
          <w:szCs w:val="22"/>
          <w:u w:val="single" w:color="auto"/>
          <w:color w:val="auto"/>
        </w:rPr>
        <w:t>Affirm</w:t>
      </w:r>
      <w:r>
        <w:rPr>
          <w:rFonts w:ascii="Times New Roman" w:cs="Times New Roman" w:eastAsia="Times New Roman" w:hAnsi="Times New Roman"/>
          <w:sz w:val="22"/>
          <w:szCs w:val="22"/>
          <w:color w:val="auto"/>
        </w:rPr>
        <w:t>”), with its principal offices located at 650 California St., 12th Floor, San Francisco, California 94108, as purchaser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Bank and Affirm have entered into a Loan Program Agreement, of even date herewith (the “</w:t>
      </w:r>
      <w:r>
        <w:rPr>
          <w:rFonts w:ascii="Times New Roman" w:cs="Times New Roman" w:eastAsia="Times New Roman" w:hAnsi="Times New Roman"/>
          <w:sz w:val="22"/>
          <w:szCs w:val="22"/>
          <w:u w:val="single" w:color="auto"/>
          <w:color w:val="auto"/>
        </w:rPr>
        <w:t>Loan Program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pursuant to which Bank engaged Affirm to provide services to Bank in originating loans to Borrowers under the loan program described therein; and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Bank desires to sell to Purchaser, and Purchaser desires to purchase from Bank, the amount of loans specified herein that are originated by Bank under the loan program described in the Loan Program Agreement.</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the terms, conditions and mutual covenants and agreements herein contained, and for good and valuable consideration, the receipt and sufficiency of which are hereby acknowledged, Bank and Purchaser mutually agree as follows:</w:t>
      </w:r>
    </w:p>
    <w:p>
      <w:pPr>
        <w:spacing w:after="0" w:line="173"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Capitalized terms used in this Agreement shall have the meanings specified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or if not defined therein, in the Loan Program Agreement. The rules of construction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the Loan Program Agreement shall be applicable to this Agreement.</w:t>
      </w:r>
    </w:p>
    <w:p>
      <w:pPr>
        <w:spacing w:after="0" w:line="173"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Purchase of Loans; Payment to Bank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1" w:lineRule="auto"/>
        <w:tabs>
          <w:tab w:leader="none" w:pos="116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Bank notifies Purchaser in writing of its intent to cease selling Loans pursuant to Section 3(b), Bank hereby agrees to sell, assign, set-over, transfer and otherwise convey to Purchaser, without recourse to Bank and with all servicing released, on each Closing Date, each of the Purchaser Allocated Loans and the related Purchaser Loan Assets that is included on the Purchased Loan Schedule. On each Closing Date, Bank shall update the Purchased Loan Schedule to include each of the Purchaser Allocated Loans sold to the Purchaser on such Closing Date and shall deliver such final Purchased Loan Schedule to Purchaser.</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6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Bank’s agreement to sell, transfer, assign, set-over and convey to Purchaser the Purchaser Allocated Loans, Purchaser agrees to purchase such Purchaser Allocated Loans and the related Purchaser Loan Assets from Bank, and Purchaser shall pay to Bank the Funding Amount related to such Purchaser Allocated Loans by depositing such Funding Amount into the Funding Account by 3:00 p.m. Eastern Time on the related Closing Date. By 5:00 p.m. Eastern Time on the Business Day following the related Closing Date, Bank shall provide to Purchaser a reconciliation in a mutually agreed format of each Purchaser</w:t>
      </w:r>
    </w:p>
    <w:p>
      <w:pPr>
        <w:sectPr>
          <w:pgSz w:w="11900" w:h="16838" w:orient="portrait"/>
          <w:cols w:equalWidth="0" w:num="1">
            <w:col w:w="11240"/>
          </w:cols>
          <w:pgMar w:left="320" w:top="1422" w:right="339" w:bottom="1440" w:gutter="0" w:footer="0" w:header="0"/>
        </w:sectPr>
      </w:pPr>
    </w:p>
    <w:bookmarkStart w:id="120" w:name="page121"/>
    <w:bookmarkEnd w:id="120"/>
    <w:p>
      <w:pPr>
        <w:ind w:right="20"/>
        <w:spacing w:after="0" w:line="271" w:lineRule="auto"/>
        <w:rPr>
          <w:sz w:val="20"/>
          <w:szCs w:val="20"/>
          <w:color w:val="auto"/>
        </w:rPr>
      </w:pPr>
      <w:r>
        <w:rPr>
          <w:rFonts w:ascii="Times New Roman" w:cs="Times New Roman" w:eastAsia="Times New Roman" w:hAnsi="Times New Roman"/>
          <w:sz w:val="22"/>
          <w:szCs w:val="22"/>
          <w:color w:val="auto"/>
        </w:rPr>
        <w:t>Allocated Loan and the related Funding Amount deposited into the Funding Account on the Closing Date related to such Purchaser Allocated Loan.</w:t>
      </w:r>
    </w:p>
    <w:p>
      <w:pPr>
        <w:spacing w:after="0" w:line="158" w:lineRule="exact"/>
        <w:rPr>
          <w:sz w:val="20"/>
          <w:szCs w:val="20"/>
          <w:color w:val="auto"/>
        </w:rPr>
      </w:pPr>
    </w:p>
    <w:p>
      <w:pPr>
        <w:jc w:val="both"/>
        <w:ind w:firstLine="656"/>
        <w:spacing w:after="0" w:line="248" w:lineRule="auto"/>
        <w:tabs>
          <w:tab w:leader="none" w:pos="115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the Specified Colorado Loans, on each Funding Date (the “</w:t>
      </w:r>
      <w:r>
        <w:rPr>
          <w:rFonts w:ascii="Times New Roman" w:cs="Times New Roman" w:eastAsia="Times New Roman" w:hAnsi="Times New Roman"/>
          <w:sz w:val="22"/>
          <w:szCs w:val="22"/>
          <w:u w:val="single" w:color="auto"/>
          <w:color w:val="auto"/>
        </w:rPr>
        <w:t>Offer Date</w:t>
      </w:r>
      <w:r>
        <w:rPr>
          <w:rFonts w:ascii="Times New Roman" w:cs="Times New Roman" w:eastAsia="Times New Roman" w:hAnsi="Times New Roman"/>
          <w:sz w:val="22"/>
          <w:szCs w:val="22"/>
          <w:color w:val="auto"/>
        </w:rPr>
        <w:t xml:space="preserve">”) Bank shall provide notice to Purchaser of the Specified Colorado Loans offered for sale by Bank in accordance with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Bank Offer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the extent that Purchaser fails to respond to the Bank Offer Notice by 5:00 p.m. Eastern Time on the Offer Date (the “</w:t>
      </w:r>
      <w:r>
        <w:rPr>
          <w:rFonts w:ascii="Times New Roman" w:cs="Times New Roman" w:eastAsia="Times New Roman" w:hAnsi="Times New Roman"/>
          <w:sz w:val="22"/>
          <w:szCs w:val="22"/>
          <w:u w:val="single" w:color="auto"/>
          <w:color w:val="auto"/>
        </w:rPr>
        <w:t>Notice Deadline</w:t>
      </w:r>
      <w:r>
        <w:rPr>
          <w:rFonts w:ascii="Times New Roman" w:cs="Times New Roman" w:eastAsia="Times New Roman" w:hAnsi="Times New Roman"/>
          <w:sz w:val="22"/>
          <w:szCs w:val="22"/>
          <w:color w:val="auto"/>
        </w:rPr>
        <w:t>”) or delivers notice to Bank prior to the Notice Deadline of its intent not to purchase the Specified Colorado Loans (the “</w:t>
      </w:r>
      <w:r>
        <w:rPr>
          <w:rFonts w:ascii="Times New Roman" w:cs="Times New Roman" w:eastAsia="Times New Roman" w:hAnsi="Times New Roman"/>
          <w:sz w:val="22"/>
          <w:szCs w:val="22"/>
          <w:u w:val="single" w:color="auto"/>
          <w:color w:val="auto"/>
        </w:rPr>
        <w:t>Unaccepted Colorado Loans</w:t>
      </w:r>
      <w:r>
        <w:rPr>
          <w:rFonts w:ascii="Times New Roman" w:cs="Times New Roman" w:eastAsia="Times New Roman" w:hAnsi="Times New Roman"/>
          <w:sz w:val="22"/>
          <w:szCs w:val="22"/>
          <w:color w:val="auto"/>
        </w:rPr>
        <w:t>”) contained in the Bank Offer Notice then (i) Purchaser shall have no obligation to purchase such Specified Colorado Loans and (ii) Bank shall not be required to originate additional Specified Colorado Loans. If Purchaser delivers notice to Bank prior to the Notice Deadline of its intent to purchase the Specified Colorado Loans (the “</w:t>
      </w:r>
      <w:r>
        <w:rPr>
          <w:rFonts w:ascii="Times New Roman" w:cs="Times New Roman" w:eastAsia="Times New Roman" w:hAnsi="Times New Roman"/>
          <w:sz w:val="22"/>
          <w:szCs w:val="22"/>
          <w:u w:val="single" w:color="auto"/>
          <w:color w:val="auto"/>
        </w:rPr>
        <w:t>Accepted Colorado Loans</w:t>
      </w:r>
      <w:r>
        <w:rPr>
          <w:rFonts w:ascii="Times New Roman" w:cs="Times New Roman" w:eastAsia="Times New Roman" w:hAnsi="Times New Roman"/>
          <w:sz w:val="22"/>
          <w:szCs w:val="22"/>
          <w:color w:val="auto"/>
        </w:rPr>
        <w:t xml:space="preserve">”), then such Accepted Colorado Loans shall be purchased by Purchaser in accordance with the terms offered by Bank pursuant to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For the avoidance of doubt, (i) all Accepted Colorado Loans shall be deemed to be Purchaser Allocated Loans for all purposes hereunder and (ii) all Unaccepted Colorado Loans shall be deemed to be Retained Loans for all purposes hereunder (such Retained Loans, the “</w:t>
      </w:r>
      <w:r>
        <w:rPr>
          <w:rFonts w:ascii="Times New Roman" w:cs="Times New Roman" w:eastAsia="Times New Roman" w:hAnsi="Times New Roman"/>
          <w:sz w:val="22"/>
          <w:szCs w:val="22"/>
          <w:u w:val="single" w:color="auto"/>
          <w:color w:val="auto"/>
        </w:rPr>
        <w:t>Colorado Retained Loans</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656"/>
        <w:spacing w:after="0" w:line="264" w:lineRule="auto"/>
        <w:tabs>
          <w:tab w:leader="none" w:pos="1112"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Specified Colorado Loans, the Parties have evaluated the Structural Criteria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hereto, consisting of Uncommitted Forward Flow Option, Maximum Committed Forward Flow Option, and Maximum Overall Transfer Option, and have additionally considered Alternative Structural Options (each as set forth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The Parties agree that they will comply with the Uncommitted Forward Flow Option (it being understood that the Parties’ decisions with respect to selection of the Structural Criteria may be amended from time to time). For clarity, to the extent the Parties elect the Maximum Committed Forward Flow Option or Maximum Overall Transfer Option, then the Specified Colorado Loans transferred by Bank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are not considered to be Loans sold to Purchaser or its Affiliates as part of the Maximum Committed Forward Flow Option or Maximum Overall Transfer Option of the Structural Criteria.</w:t>
      </w:r>
    </w:p>
    <w:p>
      <w:pPr>
        <w:spacing w:after="0" w:line="170"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Sale Restriction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1" w:lineRule="auto"/>
        <w:tabs>
          <w:tab w:leader="none" w:pos="116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 shall not sell any Loans to any Person other than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Purchaser fails to purchase any Purchaser Allocated Loan, Bank may sell such Loans to a Person other than Purchaser if Bank provides notice to Purchaser of such failure and Purchaser does not purchase the related Loans within two (2) Business Days after the receipt of such notice. Provided, however, if Purchaser does not purchase the related Loans within one (1) Business Day of such notice more than three times in any calendar month, Bank shall have the option to require Purchaser to deposit additional funds into the Reserve Account in the same amount as would be required pursuant to clause (B) of the definition of Required Balance.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1" w:name="page122"/>
    <w:bookmarkEnd w:id="121"/>
    <w:p>
      <w:pPr>
        <w:spacing w:after="0" w:line="271" w:lineRule="auto"/>
        <w:rPr>
          <w:sz w:val="20"/>
          <w:szCs w:val="20"/>
          <w:color w:val="auto"/>
        </w:rPr>
      </w:pPr>
      <w:r>
        <w:rPr>
          <w:rFonts w:ascii="Times New Roman" w:cs="Times New Roman" w:eastAsia="Times New Roman" w:hAnsi="Times New Roman"/>
          <w:sz w:val="22"/>
          <w:szCs w:val="22"/>
          <w:color w:val="auto"/>
        </w:rPr>
        <w:t>amount shall be required until Purchaser has not failed to purchase any Purchaser Allocated Loans on the date such Purchaser Allocated Loans are offered to it for a calendar month.</w:t>
      </w:r>
    </w:p>
    <w:p>
      <w:pPr>
        <w:spacing w:after="0" w:line="158" w:lineRule="exact"/>
        <w:rPr>
          <w:sz w:val="20"/>
          <w:szCs w:val="20"/>
          <w:color w:val="auto"/>
        </w:rPr>
      </w:pPr>
    </w:p>
    <w:p>
      <w:pPr>
        <w:ind w:firstLine="656"/>
        <w:spacing w:after="0" w:line="284" w:lineRule="auto"/>
        <w:tabs>
          <w:tab w:leader="none" w:pos="111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in this Agreement to the contrary, including, without limitation,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(i) Bank may transfer ownership of a Colorado Retained Loan to any other Person without notice to, or consent of, Purchaser.</w:t>
      </w:r>
    </w:p>
    <w:p>
      <w:pPr>
        <w:spacing w:after="0" w:line="144"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Ownership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1" w:lineRule="auto"/>
        <w:tabs>
          <w:tab w:leader="none" w:pos="111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Bank of Purchaser’s payment of the Purchase Price for a Purchaser Allocated Loan, Purchaser shall be the sole owner for all purposes of such Purchaser Allocated Loan. Each of Purchaser and Bank agrees to make entries on its books and records to clearly indicate the sale of each Purchased Loan to Purchaser hereunder. It is expressly agreed and understood that Bank will not assume and shall not have any liability to Purchaser for the repayment by the related Borrower of all or any portion of the Original Borrower Loan Amount, or for the servicing of, any Purchased Loan after the related Closing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60" w:lineRule="auto"/>
        <w:tabs>
          <w:tab w:leader="none" w:pos="1183"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express intent of the parties hereto that the conveyance of the Purchased Loans by Bank to Purchaser, as contemplated by this Agreement be, and be treated as, a sale by Bank to Purchaser. It is, further, not the intention of the parties that such conveyance be, or be deemed, a pledge of the Purchased Loans by Bank to Purchaser to secure a debt or other obligation of Bank. In the event that, notwithstanding the intention of the parties, the Purchased Loans are held by a court of competent jurisdiction to continue to be property of Bank then (i) this Agreement shall be deemed to be a security agreement within the meaning of Articles 8 and 9 of the applicable Uniform Commercial Code, (ii) the transfer of Loans provided for herein shall be deemed to be a grant by Bank to Purchaser of a first priority security interest in all of Bank’s right, title and interest in and to the Purchased Loans and all amounts payable on such Purchased Loans in accordance with the terms thereof and all proceeds of the conversion, voluntary or involuntary, of such Purchased Loans into cash, instruments, securities or other property,</w:t>
      </w:r>
    </w:p>
    <w:p>
      <w:pPr>
        <w:spacing w:after="0" w:line="5" w:lineRule="exact"/>
        <w:rPr>
          <w:rFonts w:ascii="Times New Roman" w:cs="Times New Roman" w:eastAsia="Times New Roman" w:hAnsi="Times New Roman"/>
          <w:sz w:val="21"/>
          <w:szCs w:val="21"/>
          <w:color w:val="auto"/>
        </w:rPr>
      </w:pPr>
    </w:p>
    <w:p>
      <w:pPr>
        <w:jc w:val="both"/>
        <w:ind w:firstLine="8"/>
        <w:spacing w:after="0" w:line="245" w:lineRule="auto"/>
        <w:tabs>
          <w:tab w:leader="none" w:pos="38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possession by Purchaser, any of its assigns or an agent or custodian on behalf of Purchaser or any lender to Purchaser or any of its assigns and such other items of property as constitute instruments, money, negotiable documents or chattel paper shall be deemed to be “possession by the secured party” for purposes of perfecting the security interest pursuant to Section 9-313 (or comparable provision) of the applicable Uniform Commercial Code, and (iv) notifications to persons holding such property, and acknowledgments, receipts or confirmations from persons holding such property, shall be deemed notifications to, or acknowledgments, receipts or confirmations from, financial intermediaries, bailees or agents (as applicable) of Purchaser for the purpose of perfecting such security interest under Applicable Laws. Any assignment of the interest of Purchaser shall also be an assignment of any security interest created hereby. Purchaser and Bank shall, to the extent consistent with this Agreement, take such actions as may be necessary to ensure that, if this Agreement were deemed to create a security interest in the Purchased Loans as between the Purchaser and Bank,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interest would be deemed to be a perfected security interest of first priority under Applicable Laws.</w:t>
      </w:r>
    </w:p>
    <w:p>
      <w:pPr>
        <w:spacing w:after="0" w:line="220"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Reserve Account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1" w:lineRule="auto"/>
        <w:tabs>
          <w:tab w:leader="none" w:pos="117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two (2) Business Days before the Effective Date (the “</w:t>
      </w:r>
      <w:r>
        <w:rPr>
          <w:rFonts w:ascii="Times New Roman" w:cs="Times New Roman" w:eastAsia="Times New Roman" w:hAnsi="Times New Roman"/>
          <w:sz w:val="22"/>
          <w:szCs w:val="22"/>
          <w:u w:val="single" w:color="auto"/>
          <w:color w:val="auto"/>
        </w:rPr>
        <w:t>Reserve Account Funding Date</w:t>
      </w:r>
      <w:r>
        <w:rPr>
          <w:rFonts w:ascii="Times New Roman" w:cs="Times New Roman" w:eastAsia="Times New Roman" w:hAnsi="Times New Roman"/>
          <w:sz w:val="22"/>
          <w:szCs w:val="22"/>
          <w:color w:val="auto"/>
        </w:rPr>
        <w:t xml:space="preserve">”), Purchaser shall fund the Reserve Account with immediately available funds in an amount at least equal to the Required Balance;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on the Reserve Account Funding Date the amount on deposit in the Reserve Account exceeds the Required Balance, Bank shall, upon request by Purchaser, within three (3) Business Days of the Reserve Account Funding Date, transfer such excess from the Reserve Account (by ACH or wire transfer) to Purchaser’s account set forth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free and clear of any security interest granted to Bank. Purchaser shall maintain the Reserve Account with the Bank.</w:t>
      </w:r>
    </w:p>
    <w:p>
      <w:pPr>
        <w:spacing w:after="0" w:line="188" w:lineRule="exact"/>
        <w:rPr>
          <w:rFonts w:ascii="Times New Roman" w:cs="Times New Roman" w:eastAsia="Times New Roman" w:hAnsi="Times New Roman"/>
          <w:sz w:val="22"/>
          <w:szCs w:val="22"/>
          <w:color w:val="auto"/>
        </w:rPr>
      </w:pPr>
    </w:p>
    <w:p>
      <w:pPr>
        <w:ind w:firstLine="656"/>
        <w:spacing w:after="0" w:line="227" w:lineRule="auto"/>
        <w:tabs>
          <w:tab w:leader="none" w:pos="12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Bank shall calculate the Required Balance and shall provide such calculation to Purchaser.</w:t>
      </w:r>
    </w:p>
    <w:p>
      <w:pPr>
        <w:spacing w:after="0" w:line="19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8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at all times maintain funds in the Reserve Account at least equal to the Required Balance. In the event the amount on deposit in the Reserve Account is at any time less than the Required Balance, Purchaser shall, within five (5) Business Days following receipt by Purchaser of notice from Bank of such deficiency, deposit into the Reserve Account an amount equal to the excess of (A) the Required Balance over (B) the amount on deposit in the Reserve Account. [***] The Parties acknowledge that Bank’s use of funds held in the Reserve Account may be limited by the Structural Criteria option agreed upon by the Parties.</w:t>
      </w:r>
    </w:p>
    <w:p>
      <w:pPr>
        <w:spacing w:after="0" w:line="181" w:lineRule="exact"/>
        <w:rPr>
          <w:rFonts w:ascii="Times New Roman" w:cs="Times New Roman" w:eastAsia="Times New Roman" w:hAnsi="Times New Roman"/>
          <w:sz w:val="22"/>
          <w:szCs w:val="22"/>
          <w:color w:val="auto"/>
        </w:rPr>
      </w:pPr>
    </w:p>
    <w:p>
      <w:pPr>
        <w:jc w:val="both"/>
        <w:ind w:firstLine="656"/>
        <w:spacing w:after="0" w:line="249" w:lineRule="auto"/>
        <w:tabs>
          <w:tab w:leader="none" w:pos="117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timely payment of the Purchase Price for each Purchaser Allocated Loan sold hereunder, Purchaser hereby conveys, warrants, assigns, transfers, pledges and grants a security interest unto Bank in all right, title, interest, claims and demands of Purchaser, wherever located, whether now or hereafter existing, owned or acquired in, to or under the Reserve Account Property. In furtherance thereof, Purchaser agrees to take such measures as Bank may reasonably require to perfect or protect such first priority security interest. Bank shall have all of the rights and remedies of a secured party under Applicable Laws in relation to the Reserve Account and the amounts at any time on deposit therein, and shall be entitled to exercise those rights and remedies in its discretion. Purchaser and Bank shall, to the extent consistent with this Agreement, take such actions as may be reasonably necessary to ensure that, if this Agreement were deemed to create a security interest in the Reserve Account Property as between Purchaser and Bank, such security interest would be deemed to be a perfected security interest of first priority under Applicable Laws.</w:t>
      </w:r>
    </w:p>
    <w:p>
      <w:pPr>
        <w:spacing w:after="0" w:line="183" w:lineRule="exact"/>
        <w:rPr>
          <w:rFonts w:ascii="Times New Roman" w:cs="Times New Roman" w:eastAsia="Times New Roman" w:hAnsi="Times New Roman"/>
          <w:sz w:val="22"/>
          <w:szCs w:val="22"/>
          <w:color w:val="auto"/>
        </w:rPr>
      </w:pPr>
    </w:p>
    <w:p>
      <w:pPr>
        <w:ind w:firstLine="656"/>
        <w:spacing w:after="0" w:line="271" w:lineRule="auto"/>
        <w:tabs>
          <w:tab w:leader="none" w:pos="113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rights or remedies of Bank under this or any other Agreement, Bank shall have the right to withdraw amounts from the Reserve Account,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prior notice to Purchaser regarding such withdrawal, to fulfill any obligation of Purchaser under this Agreement.</w:t>
      </w:r>
    </w:p>
    <w:p>
      <w:pPr>
        <w:spacing w:after="0" w:line="220" w:lineRule="exact"/>
        <w:rPr>
          <w:sz w:val="20"/>
          <w:szCs w:val="20"/>
          <w:color w:val="auto"/>
        </w:rPr>
      </w:pPr>
    </w:p>
    <w:p>
      <w:pPr>
        <w:ind w:left="1280" w:hanging="624"/>
        <w:spacing w:after="0"/>
        <w:tabs>
          <w:tab w:leader="none" w:pos="12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not have any right to withdraw amounts from the Reserve Account during the term of this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release to Purchaser any Reserve Account Property remaining in the Reserve Account thirty (30) days after the later of (i) the termination of the Loan Program Agreement or (ii) the last day on which Purchaser is obligated to purchase Loans under this Agreement.</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3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Reserve Account shall be held as a deposit account at the Reserve Account Bank, or, with the consent of Purchaser, a substantially similar successor product offered by the Reserve Account Bank. [***]</w:t>
      </w:r>
    </w:p>
    <w:p>
      <w:pPr>
        <w:spacing w:after="0" w:line="171"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Representations and Warranties of Bank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Bank hereby represents and warrants to Purchaser, as of the Effective Date, each Closing Date that:</w:t>
      </w:r>
    </w:p>
    <w:p>
      <w:pPr>
        <w:spacing w:after="0" w:line="220" w:lineRule="exact"/>
        <w:rPr>
          <w:sz w:val="20"/>
          <w:szCs w:val="20"/>
          <w:color w:val="auto"/>
        </w:rPr>
      </w:pPr>
    </w:p>
    <w:p>
      <w:pPr>
        <w:jc w:val="both"/>
        <w:ind w:firstLine="656"/>
        <w:spacing w:after="0" w:line="252" w:lineRule="auto"/>
        <w:tabs>
          <w:tab w:leader="none" w:pos="116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a legal, valid and binding obligation of Bank, enforceable against Bank in accordance with its terms except (i) to the extent that such enforceability may be limited by applicable bankruptcy, insolvency, reorganization, moratorium, or other similar laws now or hereafter in effect, which may affect the enforcement of creditors’ rights in general, and (ii) as such enforceability may be limited by general principles of equity;</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the authority to accept insured deposits, is an FDIC-insured state-chartered depository institution for the purposes of section 521 of the Depository Institutions Deregulation and Monetary Control Act of 1980 (12 USC §1831(d)), and is qualified and in good standing in each other state where the laws of such state require qualification in order to conduct business of the type conducted by Bank;</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has full corporate power and authority to execute, deliver and perform all its obligations under this Agreement;</w:t>
      </w:r>
    </w:p>
    <w:p>
      <w:pPr>
        <w:spacing w:after="0" w:line="244" w:lineRule="exact"/>
        <w:rPr>
          <w:rFonts w:ascii="Times New Roman" w:cs="Times New Roman" w:eastAsia="Times New Roman" w:hAnsi="Times New Roman"/>
          <w:sz w:val="21"/>
          <w:szCs w:val="21"/>
          <w:color w:val="auto"/>
        </w:rPr>
      </w:pPr>
    </w:p>
    <w:p>
      <w:pPr>
        <w:ind w:right="20" w:firstLine="656"/>
        <w:spacing w:after="0" w:line="271" w:lineRule="auto"/>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this Agreement and the completion of all actions required or contemplated to be taken by Bank hereunder are within the ordinary course of Bank’s business and not prohibited by Applicable Laws;</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have been duly authorized by Bank, and do not (i) result in the creation or imposition of any lien, charge or encumbrance of any nature upon any of the Purchased Loans (other than the lien created under this Agreement in favor of the Purchaser), or (ii) conflict with and do not violate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24" w:name="page125"/>
    <w:bookmarkEnd w:id="124"/>
    <w:p>
      <w:pPr>
        <w:spacing w:after="0" w:line="271" w:lineRule="auto"/>
        <w:rPr>
          <w:sz w:val="20"/>
          <w:szCs w:val="20"/>
          <w:color w:val="auto"/>
        </w:rPr>
      </w:pPr>
      <w:r>
        <w:rPr>
          <w:rFonts w:ascii="Times New Roman" w:cs="Times New Roman" w:eastAsia="Times New Roman" w:hAnsi="Times New Roman"/>
          <w:sz w:val="22"/>
          <w:szCs w:val="22"/>
          <w:color w:val="auto"/>
        </w:rPr>
        <w:t>charter or by-laws of Bank and shall not result in a material breach of or constitute a default under, or require any consent under, any indenture, loan or agreement to which Bank is a party;</w:t>
      </w:r>
    </w:p>
    <w:p>
      <w:pPr>
        <w:spacing w:after="0" w:line="158" w:lineRule="exact"/>
        <w:rPr>
          <w:sz w:val="20"/>
          <w:szCs w:val="20"/>
          <w:color w:val="auto"/>
        </w:rPr>
      </w:pPr>
    </w:p>
    <w:p>
      <w:pPr>
        <w:ind w:left="1080" w:hanging="424"/>
        <w:spacing w:after="0"/>
        <w:tabs>
          <w:tab w:leader="none" w:pos="10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not Insolvent;</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14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in compliance with Applicable Laws except where the failure to comply would not reasonably be expected to have a Material Adverse Effect on Bank;</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the complete and unrestricted right and authority to sell, convey, assign, transfer and deliver to Purchaser, all of the Purchased Loans pursuant to this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77"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all times prior to the transfer and assignment to Purchaser, Bank had good and marketable title to such Purchased Loan and Bank was the sole owner thereof, free and clear of all liens, claims, encumbrances, security interests, and rights of others and had the full right, power and authority to sell, contribute, assign, transfer and pledge its interest in such Purchased Loan, and, immediately upon the transfer thereof to Purchaser, Purchaser will have good and marketable title to such Purchased Loan and shall be the sole equitable and legal owner thereof, free and clear of all liens. Bank has not authorized the filing of and is not aware of any financing statements against Bank that include a description of collateral covering any portion of such Purchased Loans other than any financing statement relating to the security interest granted to Purchaser;</w:t>
      </w:r>
    </w:p>
    <w:p>
      <w:pPr>
        <w:spacing w:after="0" w:line="186" w:lineRule="exact"/>
        <w:rPr>
          <w:rFonts w:ascii="Times New Roman" w:cs="Times New Roman" w:eastAsia="Times New Roman" w:hAnsi="Times New Roman"/>
          <w:sz w:val="21"/>
          <w:szCs w:val="21"/>
          <w:color w:val="auto"/>
        </w:rPr>
      </w:pPr>
    </w:p>
    <w:p>
      <w:pPr>
        <w:jc w:val="both"/>
        <w:ind w:firstLine="656"/>
        <w:spacing w:after="0" w:line="257" w:lineRule="auto"/>
        <w:tabs>
          <w:tab w:leader="none" w:pos="11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authorizations, approvals, licenses, consents, registrations and other action by, notices to, and filings with any Person that may be required in relation to the execution, delivery, and performance of this Agreement by Bank have been obtained;</w:t>
      </w:r>
    </w:p>
    <w:p>
      <w:pPr>
        <w:spacing w:after="0" w:line="172"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investigations or proceedings pending, or, to the best knowledge of the Bank, threatened against Bank</w:t>
      </w:r>
    </w:p>
    <w:p>
      <w:pPr>
        <w:spacing w:after="0" w:line="39" w:lineRule="exact"/>
        <w:rPr>
          <w:rFonts w:ascii="Times New Roman" w:cs="Times New Roman" w:eastAsia="Times New Roman" w:hAnsi="Times New Roman"/>
          <w:sz w:val="21"/>
          <w:szCs w:val="21"/>
          <w:color w:val="auto"/>
        </w:rPr>
      </w:pPr>
    </w:p>
    <w:p>
      <w:pPr>
        <w:jc w:val="both"/>
        <w:ind w:firstLine="8"/>
        <w:spacing w:after="0" w:line="247" w:lineRule="auto"/>
        <w:tabs>
          <w:tab w:leader="none" w:pos="26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to prevent the completion of any of the transactions contemplated by Bank pursuant to this Agreement, (ii) asserting the invalidity or unenforceability of this Agreement, (iii) seeking any determination or ruling that, in the reasonable judgment of Bank, would adversely and materially affect the performance by Bank of its obligations under this Agreement, (iv) seeking any determination or ruling that would adversely and materially affect the validity or enforceability of this Agreement, or (v) would have a materially adverse financial effect on Bank or its operations if resolved adversely to it;</w:t>
      </w:r>
    </w:p>
    <w:p>
      <w:pPr>
        <w:spacing w:after="0" w:line="186" w:lineRule="exact"/>
        <w:rPr>
          <w:rFonts w:ascii="Times New Roman" w:cs="Times New Roman" w:eastAsia="Times New Roman" w:hAnsi="Times New Roman"/>
          <w:sz w:val="22"/>
          <w:szCs w:val="22"/>
          <w:color w:val="auto"/>
        </w:rPr>
      </w:pPr>
    </w:p>
    <w:p>
      <w:pPr>
        <w:ind w:firstLine="656"/>
        <w:spacing w:after="0" w:line="284" w:lineRule="auto"/>
        <w:tabs>
          <w:tab w:leader="none" w:pos="117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Bank, neither Bank nor any principal thereof has been or is the subject of any of the following that will materially affect Bank’s ability to perform its obligations under this Agreement:</w:t>
      </w:r>
    </w:p>
    <w:p>
      <w:pPr>
        <w:spacing w:after="0" w:line="143" w:lineRule="exact"/>
        <w:rPr>
          <w:rFonts w:ascii="Times New Roman" w:cs="Times New Roman" w:eastAsia="Times New Roman" w:hAnsi="Times New Roman"/>
          <w:sz w:val="22"/>
          <w:szCs w:val="22"/>
          <w:color w:val="auto"/>
        </w:rPr>
      </w:pPr>
    </w:p>
    <w:p>
      <w:pPr>
        <w:ind w:left="740" w:firstLine="564"/>
        <w:spacing w:after="0" w:line="271" w:lineRule="auto"/>
        <w:tabs>
          <w:tab w:leader="none" w:pos="1864"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enforcement agreement, memorandum of understanding, cease desist order, administrative penalty or similar agreement concerning lending matters, or participation in the affairs of a financial institution;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68"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administrative or enforcement proceeding or investigation commenced by the Securities Exchange Commission, state securities regulatory authority, Federal Trade Commission, any banking regulator or any other state or federal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5" w:name="page126"/>
    <w:bookmarkEnd w:id="125"/>
    <w:p>
      <w:pPr>
        <w:ind w:left="660"/>
        <w:spacing w:after="0" w:line="295" w:lineRule="auto"/>
        <w:rPr>
          <w:sz w:val="20"/>
          <w:szCs w:val="20"/>
          <w:color w:val="auto"/>
        </w:rPr>
      </w:pPr>
      <w:r>
        <w:rPr>
          <w:rFonts w:ascii="Times New Roman" w:cs="Times New Roman" w:eastAsia="Times New Roman" w:hAnsi="Times New Roman"/>
          <w:sz w:val="21"/>
          <w:szCs w:val="21"/>
          <w:color w:val="auto"/>
        </w:rPr>
        <w:t>Authority, with the exception of routine communications from a Regulatory Authority concerning a consumer complaint and routine examinations of Bank conducted by a Regulatory Authority in the ordinary course of Bank’s business; or</w:t>
      </w:r>
    </w:p>
    <w:p>
      <w:pPr>
        <w:spacing w:after="0" w:line="135" w:lineRule="exact"/>
        <w:rPr>
          <w:sz w:val="20"/>
          <w:szCs w:val="20"/>
          <w:color w:val="auto"/>
        </w:rPr>
      </w:pPr>
    </w:p>
    <w:p>
      <w:pPr>
        <w:ind w:left="660" w:right="20" w:firstLine="644"/>
        <w:spacing w:after="0" w:line="284" w:lineRule="auto"/>
        <w:tabs>
          <w:tab w:leader="none" w:pos="188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restraining order, decree, injunction or judgment in any proceeding or lawsuit alleging fraud or deceptive practices on the part of Bank or any principal thereof.</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6(l),</w:t>
      </w:r>
      <w:r>
        <w:rPr>
          <w:rFonts w:ascii="Times New Roman" w:cs="Times New Roman" w:eastAsia="Times New Roman" w:hAnsi="Times New Roman"/>
          <w:sz w:val="22"/>
          <w:szCs w:val="22"/>
          <w:color w:val="auto"/>
        </w:rPr>
        <w:t xml:space="preserve"> the word “principal” of Bank shall include (i) any person owning or controlling [***] or more of the voting power of Bank, (ii) any officer or director of Bank and (iii) any person actively participating in the control of Bank’s business;</w:t>
      </w:r>
    </w:p>
    <w:p>
      <w:pPr>
        <w:spacing w:after="0" w:line="173" w:lineRule="exact"/>
        <w:rPr>
          <w:sz w:val="20"/>
          <w:szCs w:val="20"/>
          <w:color w:val="auto"/>
        </w:rPr>
      </w:pPr>
    </w:p>
    <w:p>
      <w:pPr>
        <w:jc w:val="both"/>
        <w:ind w:firstLine="656"/>
        <w:spacing w:after="0" w:line="263" w:lineRule="auto"/>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respective date of origination and the Closing Date to such Purchased Loan, such Purchased Loan has not been satisfied, subordinated or rescinded, and no right of rescission, set-off, counterclaim or defense has been asserted with respect to such Loan;</w:t>
      </w:r>
    </w:p>
    <w:p>
      <w:pPr>
        <w:spacing w:after="0" w:line="167" w:lineRule="exact"/>
        <w:rPr>
          <w:rFonts w:ascii="Times New Roman" w:cs="Times New Roman" w:eastAsia="Times New Roman" w:hAnsi="Times New Roman"/>
          <w:sz w:val="22"/>
          <w:szCs w:val="22"/>
          <w:color w:val="auto"/>
        </w:rPr>
      </w:pPr>
    </w:p>
    <w:p>
      <w:pPr>
        <w:ind w:firstLine="656"/>
        <w:spacing w:after="0" w:line="295" w:lineRule="auto"/>
        <w:tabs>
          <w:tab w:leader="none" w:pos="114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transferred to Purchaser on each respective Closing Date was originated by Bank and constitutes a valid sale, transfer, set-over, assignment and conveyance to Purchaser of all of Bank’s right, title, and interest in and to such Loan;</w:t>
      </w:r>
    </w:p>
    <w:p>
      <w:pPr>
        <w:spacing w:after="0" w:line="135" w:lineRule="exact"/>
        <w:rPr>
          <w:rFonts w:ascii="Times New Roman" w:cs="Times New Roman" w:eastAsia="Times New Roman" w:hAnsi="Times New Roman"/>
          <w:sz w:val="21"/>
          <w:szCs w:val="21"/>
          <w:color w:val="auto"/>
        </w:rPr>
      </w:pPr>
    </w:p>
    <w:p>
      <w:pPr>
        <w:ind w:firstLine="656"/>
        <w:spacing w:after="0" w:line="271" w:lineRule="auto"/>
        <w:tabs>
          <w:tab w:leader="none" w:pos="121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by Bank complies with all Applicable Laws except where the failure to comply would not reasonably be expected to have a Material Adverse Effect on Bank;</w:t>
      </w:r>
    </w:p>
    <w:p>
      <w:pPr>
        <w:spacing w:after="0" w:line="171" w:lineRule="exact"/>
        <w:rPr>
          <w:rFonts w:ascii="Times New Roman" w:cs="Times New Roman" w:eastAsia="Times New Roman" w:hAnsi="Times New Roman"/>
          <w:sz w:val="22"/>
          <w:szCs w:val="22"/>
          <w:color w:val="auto"/>
        </w:rPr>
      </w:pPr>
    </w:p>
    <w:p>
      <w:pPr>
        <w:jc w:val="both"/>
        <w:ind w:firstLine="656"/>
        <w:spacing w:after="0" w:line="252" w:lineRule="auto"/>
        <w:tabs>
          <w:tab w:leader="none" w:pos="112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not transferring any Purchased Loan or the related Purchaser Loan Assets with any intent to hinder, delay or defraud any of its creditors. The Purchase Price received by Bank upon the sale of any Purchased Loan and the related Purchaser Loan Assets constitutes fair consideration and reasonably equivalent value for such Purchased Loan and the related Purchaser Loan Assets;</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1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not, and is not a subsidiary of a Person that is, required to be registered as an “investment company” within the meaning of the Investment Company Act of 1940, as amended;</w:t>
      </w:r>
    </w:p>
    <w:p>
      <w:pPr>
        <w:spacing w:after="0" w:line="143" w:lineRule="exact"/>
        <w:rPr>
          <w:rFonts w:ascii="Times New Roman" w:cs="Times New Roman" w:eastAsia="Times New Roman" w:hAnsi="Times New Roman"/>
          <w:sz w:val="22"/>
          <w:szCs w:val="22"/>
          <w:color w:val="auto"/>
        </w:rPr>
      </w:pPr>
    </w:p>
    <w:p>
      <w:pPr>
        <w:ind w:firstLine="656"/>
        <w:spacing w:after="0" w:line="295" w:lineRule="auto"/>
        <w:tabs>
          <w:tab w:leader="none" w:pos="109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is not in default under any agreement, contract, instrument or indenture to which it is a party or by which it (or any of its assets) is bound, which default would reasonably be expected to have a Material Adverse Effect with respect to Bank;</w:t>
      </w:r>
    </w:p>
    <w:p>
      <w:pPr>
        <w:spacing w:after="0" w:line="135" w:lineRule="exact"/>
        <w:rPr>
          <w:rFonts w:ascii="Times New Roman" w:cs="Times New Roman" w:eastAsia="Times New Roman" w:hAnsi="Times New Roman"/>
          <w:sz w:val="21"/>
          <w:szCs w:val="21"/>
          <w:color w:val="auto"/>
        </w:rPr>
      </w:pPr>
    </w:p>
    <w:p>
      <w:pPr>
        <w:jc w:val="both"/>
        <w:ind w:firstLine="656"/>
        <w:spacing w:after="0" w:line="256" w:lineRule="auto"/>
        <w:tabs>
          <w:tab w:leader="none" w:pos="112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is in compliance with all applicable provisions of the AML-BSA Laws and the Foreign Corrupt Practices Act of 1977, as amended, and has adopted policies and procedures reasonably designed to ensure its ongoing compliance with such laws, which policies and procedures are consistent with generally accepted standards within Bank’s industry for ensuring such compliance; and</w:t>
      </w:r>
    </w:p>
    <w:p>
      <w:pPr>
        <w:spacing w:after="0" w:line="176"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1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supplied by Bank, or on behalf of Bank with its knowledge, to Purchaser in connection with this Agreement or the transactions contemplated hereby is true and accurate in all material respects as of the date thereof stated or certified. No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26" w:name="page127"/>
    <w:bookmarkEnd w:id="126"/>
    <w:p>
      <w:pPr>
        <w:jc w:val="both"/>
        <w:spacing w:after="0" w:line="275" w:lineRule="auto"/>
        <w:rPr>
          <w:sz w:val="20"/>
          <w:szCs w:val="20"/>
          <w:color w:val="auto"/>
        </w:rPr>
      </w:pPr>
      <w:r>
        <w:rPr>
          <w:rFonts w:ascii="Times New Roman" w:cs="Times New Roman" w:eastAsia="Times New Roman" w:hAnsi="Times New Roman"/>
          <w:sz w:val="21"/>
          <w:szCs w:val="21"/>
          <w:color w:val="auto"/>
        </w:rPr>
        <w:t>furnished by Bank, or on behalf of Bank with its knowledge, to Purchaser, in connection with this Agreement or the transactions contemplated hereby contained any untrue statement of material fact or omitted any material fact necessary in order to prevent the statements contained therein in light of the circumstances under which such statements were made from being misleading.</w:t>
      </w:r>
    </w:p>
    <w:p>
      <w:pPr>
        <w:spacing w:after="0" w:line="169"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Additional Representations, Warranties and Covenants of Bank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the Effective Date, each Closing Date, Bank hereby:</w:t>
      </w:r>
    </w:p>
    <w:p>
      <w:pPr>
        <w:spacing w:after="0" w:line="220" w:lineRule="exact"/>
        <w:rPr>
          <w:sz w:val="20"/>
          <w:szCs w:val="20"/>
          <w:color w:val="auto"/>
        </w:rPr>
      </w:pPr>
    </w:p>
    <w:p>
      <w:pPr>
        <w:ind w:firstLine="656"/>
        <w:spacing w:after="0" w:line="271" w:lineRule="auto"/>
        <w:tabs>
          <w:tab w:leader="none" w:pos="115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and warrants to Purchaser that, with respect to any Purchased Loan, Bank has not altered the terms and conditions or the balance of such Loan or impaired the Loan’s enforceability;</w:t>
      </w:r>
    </w:p>
    <w:p>
      <w:pPr>
        <w:spacing w:after="0" w:line="157" w:lineRule="exact"/>
        <w:rPr>
          <w:rFonts w:ascii="Times New Roman" w:cs="Times New Roman" w:eastAsia="Times New Roman" w:hAnsi="Times New Roman"/>
          <w:sz w:val="22"/>
          <w:szCs w:val="22"/>
          <w:color w:val="auto"/>
        </w:rPr>
      </w:pPr>
    </w:p>
    <w:p>
      <w:pPr>
        <w:ind w:right="20" w:firstLine="656"/>
        <w:spacing w:after="0" w:line="284" w:lineRule="auto"/>
        <w:tabs>
          <w:tab w:leader="none" w:pos="125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to Purchaser that Bank shall maintain its records in a clear and unambiguous manner to reflect the ownership of Purchaser in each of the Purchased Loans; and</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11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that, to the Bank’s reasonable knowledge, such Loan is not subject to any right of recission, set off, claim, counterclaim or defense, including the defense of usury.</w:t>
      </w:r>
    </w:p>
    <w:p>
      <w:pPr>
        <w:spacing w:after="0" w:line="158"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Representations and Warranties of Purchaser</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Purchaser hereby represents and warrants to Bank, as of the Effective Date, each Closing Date that:</w:t>
      </w:r>
    </w:p>
    <w:p>
      <w:pPr>
        <w:spacing w:after="0" w:line="196" w:lineRule="exact"/>
        <w:rPr>
          <w:sz w:val="20"/>
          <w:szCs w:val="20"/>
          <w:color w:val="auto"/>
        </w:rPr>
      </w:pPr>
    </w:p>
    <w:p>
      <w:pPr>
        <w:jc w:val="both"/>
        <w:ind w:firstLine="656"/>
        <w:spacing w:after="0" w:line="251" w:lineRule="auto"/>
        <w:tabs>
          <w:tab w:leader="none" w:pos="12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a legal, valid and binding obligation of Purchaser, enforceable against Purchaser in accordance with its terms, except (i) to the extent that such enforceability may be limited by applicable bankruptcy, insolvency, reorganization, moratorium or other similar laws now or hereafter in effect, which may affect the enforcement of creditors’ rights in general, and (ii) as such enforceability may be limited by general principles of equity (whether considered in a suit at law or in equity) and Purchaser has received all necessary approvals and consents for the execution, delivery and performance by it of this Agreement;</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0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duly organized, existing, and in good standing under the laws of the state of its organization and is authorized, registered and licensed to do business in each state in which the nature of its activities makes such authorization, registration or licensing necessary or required except where the failure to register or obtain a license would not reasonably be expected to have a Material Adverse Effect on Purchaser;</w:t>
      </w:r>
    </w:p>
    <w:p>
      <w:pPr>
        <w:spacing w:after="0" w:line="17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the full power and authority to execute and deliver this Agreement and perform all of its obligations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207" w:lineRule="exact"/>
        <w:rPr>
          <w:rFonts w:ascii="Times New Roman" w:cs="Times New Roman" w:eastAsia="Times New Roman" w:hAnsi="Times New Roman"/>
          <w:sz w:val="22"/>
          <w:szCs w:val="22"/>
          <w:color w:val="auto"/>
        </w:rPr>
      </w:pPr>
    </w:p>
    <w:p>
      <w:pPr>
        <w:ind w:right="20" w:firstLine="656"/>
        <w:spacing w:after="0" w:line="271" w:lineRule="auto"/>
        <w:tabs>
          <w:tab w:leader="none" w:pos="128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this Agreement and the completion of all actions required or contemplated to be taken by Purchaser hereunder are within the ordinary course of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27" w:name="page128"/>
    <w:bookmarkEnd w:id="127"/>
    <w:p>
      <w:pPr>
        <w:ind w:right="20"/>
        <w:spacing w:after="0" w:line="271" w:lineRule="auto"/>
        <w:rPr>
          <w:sz w:val="20"/>
          <w:szCs w:val="20"/>
          <w:color w:val="auto"/>
        </w:rPr>
      </w:pPr>
      <w:r>
        <w:rPr>
          <w:rFonts w:ascii="Times New Roman" w:cs="Times New Roman" w:eastAsia="Times New Roman" w:hAnsi="Times New Roman"/>
          <w:sz w:val="22"/>
          <w:szCs w:val="22"/>
          <w:color w:val="auto"/>
        </w:rPr>
        <w:t>business and not prohibited by, and complies with, Applicable Laws except where the failure to comply would not reasonably be expected to have a Material Adverse Effect on Purchaser;</w:t>
      </w:r>
    </w:p>
    <w:p>
      <w:pPr>
        <w:spacing w:after="0" w:line="158" w:lineRule="exact"/>
        <w:rPr>
          <w:sz w:val="20"/>
          <w:szCs w:val="20"/>
          <w:color w:val="auto"/>
        </w:rPr>
      </w:pPr>
    </w:p>
    <w:p>
      <w:pPr>
        <w:jc w:val="both"/>
        <w:ind w:firstLine="656"/>
        <w:spacing w:after="0" w:line="256" w:lineRule="auto"/>
        <w:tabs>
          <w:tab w:leader="none" w:pos="120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and the performance of each of its obligations hereunder do not conflict with Purchaser’s organizational or governing documents, or any agreement, contract, lease, order or obligation to which Purchaser is a party or by which Purchaser is bound except where any conflict would not reasonably be expected to have a Material Adverse Effect on Purchaser;</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1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Purchaser, neither Purchaser nor any principal thereof has been or is the subject of any of the following:</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6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enforcement agreement, memorandum of understanding, cease desist order, administrative penalty or similar agreement concerning lending matters, or participation in the affairs of a financial institution;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6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administrative or enforcement proceeding or investigation commenced by the Securities Exchange Commission, state securities regulatory authority, Federal Trade Commission or any other state or federal Regulatory Authority, with the exception of routine communications from a Regulatory Authority concerning a consumer complaint and routine examinations of Purchaser conducted by a Regulatory Authority in the ordinary course of Purchaser’s business; or</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restraining order, decree, injunction or judgment in any proceeding or lawsuit alleging fraud or deceptive practices on the part of Purchaser or any principal thereof.</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8(f)</w:t>
      </w:r>
      <w:r>
        <w:rPr>
          <w:rFonts w:ascii="Times New Roman" w:cs="Times New Roman" w:eastAsia="Times New Roman" w:hAnsi="Times New Roman"/>
          <w:sz w:val="22"/>
          <w:szCs w:val="22"/>
          <w:color w:val="auto"/>
        </w:rPr>
        <w:t xml:space="preserve"> the word “principal” of Purchaser shall include (i) any person owning or controlling [***] or more of the voting power of Purchaser, (ii) any officer or director of Purchaser; and</w:t>
      </w:r>
    </w:p>
    <w:p>
      <w:pPr>
        <w:spacing w:after="0" w:line="171" w:lineRule="exact"/>
        <w:rPr>
          <w:sz w:val="20"/>
          <w:szCs w:val="20"/>
          <w:color w:val="auto"/>
        </w:rPr>
      </w:pPr>
    </w:p>
    <w:p>
      <w:pPr>
        <w:ind w:left="1120" w:hanging="464"/>
        <w:spacing w:after="0"/>
        <w:tabs>
          <w:tab w:leader="none" w:pos="11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not Insolvent.</w:t>
      </w:r>
    </w:p>
    <w:p>
      <w:pPr>
        <w:spacing w:after="0" w:line="220"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3" w:lineRule="auto"/>
        <w:tabs>
          <w:tab w:leader="none" w:pos="11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Bank have any liability to Purchaser under this Agreement to the extent such liability arises from Purchaser’s breach of any obligations under the Loan Program Agreement except to the extent of any Losses which arise from the direct acts or omissions of Bank or an Affiliate of Bank. In no event shall any party be liable to any other party for any punitive, exemplary, indirect, special, incidental or consequential damages, including lost profits or savings, damage to business reputation or loss of opportunity. This Agreement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28" w:name="page129"/>
    <w:bookmarkEnd w:id="128"/>
    <w:p>
      <w:pPr>
        <w:ind w:right="20"/>
        <w:spacing w:after="0" w:line="271" w:lineRule="auto"/>
        <w:rPr>
          <w:sz w:val="20"/>
          <w:szCs w:val="20"/>
          <w:color w:val="auto"/>
        </w:rPr>
      </w:pPr>
      <w:r>
        <w:rPr>
          <w:rFonts w:ascii="Times New Roman" w:cs="Times New Roman" w:eastAsia="Times New Roman" w:hAnsi="Times New Roman"/>
          <w:sz w:val="22"/>
          <w:szCs w:val="22"/>
          <w:color w:val="auto"/>
        </w:rPr>
        <w:t>create or be deemed to create or permit any personal liability or obligation on the part of any director, officer, employee, agent or shareholder of any party hereto.</w:t>
      </w:r>
    </w:p>
    <w:p>
      <w:pPr>
        <w:spacing w:after="0" w:line="15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Conditions Precedent to the Obligations of Bank and Purchaser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Purchaser’s obligations to purchase and Bank’s obligations under this Agreement are subject to the satisfaction of the following conditions precedent on or prior to each Closing Date:</w:t>
      </w:r>
    </w:p>
    <w:p>
      <w:pPr>
        <w:spacing w:after="0" w:line="158" w:lineRule="exact"/>
        <w:rPr>
          <w:sz w:val="20"/>
          <w:szCs w:val="20"/>
          <w:color w:val="auto"/>
        </w:rPr>
      </w:pPr>
    </w:p>
    <w:p>
      <w:pPr>
        <w:ind w:firstLine="656"/>
        <w:spacing w:after="0" w:line="271" w:lineRule="auto"/>
        <w:tabs>
          <w:tab w:leader="none" w:pos="111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Purchaser and Bank set forth in this Agreement shall be true and correct in all respects on each Closing Date as though made on and as of such date;</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6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 or proceeding shall have been instituted or, to the best knowledge of either Bank or Purchaser, as applicable, threatened against Bank or Purchaser to impede, prevent or restrain the initiation and completion of the purchase or other transactions contemplated hereby, and, on each Closing Date there shall be no injunction, decree or similar impediment or restraint preventing or restraining such consummation; and</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7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Purchaser and Bank under each of the Program Documents to be performed on or before each Closing Date shall have been performed as of such date by Purchaser or Bank, as applicable.</w:t>
      </w:r>
    </w:p>
    <w:p>
      <w:pPr>
        <w:spacing w:after="0" w:line="158"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Term and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This Agreement shall expire upon the termination of the Loan Program Agreement in accordance with its terms;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Purchaser Allocated Loans related to a Funding Statement delivered prior to the termination of the Loan Program Agreement shall be purchased by Purchaser in accordance with this Agreement.</w:t>
      </w:r>
    </w:p>
    <w:p>
      <w:pPr>
        <w:spacing w:after="0" w:line="17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Successors and Third Parties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Agreement and the rights and obligations hereunder shall bind and inure to the benefit of the parties hereto and their successors and assigns. The rights and benefits hereunder are specific to the parties and shall not be delegated or assigned without the prior written consent of the other party. Nothing in this Agreement is intended to create or grant any right, privilege or other benefit to or for any person or entity other than the parties hereto.</w:t>
      </w:r>
    </w:p>
    <w:p>
      <w:pPr>
        <w:spacing w:after="0" w:line="176"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All notices and other communications under this Agreement shall be in writing (including communication by facsimile copy or other electronic means) and shall be deemed to have been duly given when delivered in person, by facsimile or email transmission, by express or overnight mail delivered by a nationally recognized courier (delivery charges prepaid), or by registered or certified mail (postage prepaid, return receipt requested) to the respective parties as follows:</w:t>
      </w:r>
    </w:p>
    <w:p>
      <w:pPr>
        <w:sectPr>
          <w:pgSz w:w="11900" w:h="16838" w:orient="portrait"/>
          <w:cols w:equalWidth="0" w:num="1">
            <w:col w:w="11240"/>
          </w:cols>
          <w:pgMar w:left="320" w:top="1422" w:right="33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To Bank:</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Lead Bank</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1801 Main Street</w:t>
      </w:r>
    </w:p>
    <w:p>
      <w:pPr>
        <w:spacing w:after="0" w:line="200" w:lineRule="exact"/>
        <w:rPr>
          <w:sz w:val="20"/>
          <w:szCs w:val="20"/>
          <w:color w:val="auto"/>
        </w:rPr>
      </w:pPr>
    </w:p>
    <w:p>
      <w:pPr>
        <w:sectPr>
          <w:pgSz w:w="11900" w:h="16838" w:orient="portrait"/>
          <w:cols w:equalWidth="0" w:num="2">
            <w:col w:w="1460" w:space="420"/>
            <w:col w:w="9360"/>
          </w:cols>
          <w:pgMar w:left="320" w:top="14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type w:val="continuous"/>
        </w:sectPr>
      </w:pPr>
    </w:p>
    <w:bookmarkStart w:id="129" w:name="page130"/>
    <w:bookmarkEnd w:id="129"/>
    <w:p>
      <w:pPr>
        <w:ind w:left="2600"/>
        <w:spacing w:after="0"/>
        <w:rPr>
          <w:sz w:val="20"/>
          <w:szCs w:val="20"/>
          <w:color w:val="auto"/>
        </w:rPr>
      </w:pPr>
      <w:r>
        <w:rPr>
          <w:rFonts w:ascii="Times New Roman" w:cs="Times New Roman" w:eastAsia="Times New Roman" w:hAnsi="Times New Roman"/>
          <w:sz w:val="22"/>
          <w:szCs w:val="22"/>
          <w:color w:val="auto"/>
        </w:rPr>
        <w:t>Kansas City, MO 64108</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Attention: Chief Legal and Risk Officer</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 and [***]</w:t>
      </w:r>
    </w:p>
    <w:p>
      <w:pPr>
        <w:sectPr>
          <w:pgSz w:w="11900" w:h="16838" w:orient="portrait"/>
          <w:cols w:equalWidth="0" w:num="1">
            <w:col w:w="11240"/>
          </w:cols>
          <w:pgMar w:left="320" w:top="1422" w:right="339" w:bottom="1440" w:gutter="0" w:footer="0" w:header="0"/>
        </w:sect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To Purchaser: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Affirm, Inc.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650 California St., 12th Floor</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Attention: Brooke Major-Reid, Chief Capital Officer</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ectPr>
          <w:pgSz w:w="11900" w:h="16838" w:orient="portrait"/>
          <w:cols w:equalWidth="0" w:num="2">
            <w:col w:w="1840" w:space="420"/>
            <w:col w:w="8980"/>
          </w:cols>
          <w:pgMar w:left="320" w:top="1422" w:right="339" w:bottom="1440" w:gutter="0" w:footer="0" w:header="0"/>
          <w:type w:val="continuous"/>
        </w:sectPr>
      </w:pPr>
    </w:p>
    <w:p>
      <w:pPr>
        <w:spacing w:after="0" w:line="36"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Affirm,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650 California St., 12th Floor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Capital Legal</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u w:val="single" w:color="auto"/>
          <w:color w:val="auto"/>
        </w:rPr>
        <w:t>Relationship of the Parties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It is agreed and understood that that in performing their responsibilities pursuant to this Agreement, both parties are acting as independent contractors. This Agreement is not intended to create, nor does it create and shall not be construed to create, a partnership or joint venture or any other common association for profit between Bank and Purchaser.</w:t>
      </w:r>
    </w:p>
    <w:p>
      <w:pPr>
        <w:spacing w:after="0" w:line="17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Purchaser hereby acknowledges receipt from Bank of all Loan Documents related to the Purchased Loans. Purchaser shall retain all Loan Documents in accordance with Section 3.3(f) of the Loan Program Agreement.</w:t>
      </w:r>
    </w:p>
    <w:p>
      <w:pPr>
        <w:spacing w:after="0" w:line="144"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71" w:lineRule="auto"/>
        <w:tabs>
          <w:tab w:leader="none" w:pos="125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herein, each of Bank and Purchaser shall bear the costs and expenses of performing their respective obligations and duties under this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6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Bank and Purchaser shall be responsible for payment of its own Taxes associated with the performance of their respective obligations and duties under this Agreement. For the avoidance of doubt, Purchaser shall be responsible for all Taxes, and any associated tax reporting, imposed on or resulting from the period the Purchaser owns any Purchased Loan.</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11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receipt of an invoice from Bank, Purchaser shall reimburse Bank for the reasonable and documented monthly costs associated with any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transfer of funds from the Reserve Account to Purchaser if Reserve Account Bank is a bank other than Bank.</w:t>
      </w:r>
    </w:p>
    <w:p>
      <w:pPr>
        <w:spacing w:after="0" w:line="22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u w:val="single" w:color="auto"/>
          <w:color w:val="auto"/>
        </w:rPr>
        <w:t>Examination and Reports</w:t>
      </w:r>
    </w:p>
    <w:p>
      <w:pPr>
        <w:spacing w:after="0" w:line="220" w:lineRule="exact"/>
        <w:rPr>
          <w:sz w:val="20"/>
          <w:szCs w:val="20"/>
          <w:color w:val="auto"/>
        </w:rPr>
      </w:pPr>
    </w:p>
    <w:p>
      <w:pPr>
        <w:jc w:val="both"/>
        <w:ind w:firstLine="656"/>
        <w:spacing w:after="0" w:line="272" w:lineRule="auto"/>
        <w:tabs>
          <w:tab w:leader="none" w:pos="120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agrees to cooperate with any audit of Platform Agent set forth in Section 3.2(f) of the Loan Program Agreement. Both parties agree to submit to any examination that may be required by a Regulatory Authority having jurisdiction over the other party, during regular business hours and upon reasonable prior notice, and to otherwise reasonably cooperate with the other party in responding to such Regulatory Authority’s examination and requests related to this Agreement.</w:t>
      </w:r>
    </w:p>
    <w:p>
      <w:pPr>
        <w:spacing w:after="0" w:line="160" w:lineRule="exact"/>
        <w:rPr>
          <w:rFonts w:ascii="Times New Roman" w:cs="Times New Roman" w:eastAsia="Times New Roman" w:hAnsi="Times New Roman"/>
          <w:sz w:val="21"/>
          <w:szCs w:val="21"/>
          <w:color w:val="auto"/>
        </w:rPr>
      </w:pPr>
    </w:p>
    <w:p>
      <w:pPr>
        <w:jc w:val="both"/>
        <w:ind w:firstLine="656"/>
        <w:spacing w:after="0" w:line="263" w:lineRule="auto"/>
        <w:tabs>
          <w:tab w:leader="none" w:pos="11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agrees that should an examination report, audit or investigation of, or supervisory letter from, a relevant Regulatory Authority reveal noncompliance with this Agreement or Applicable Laws, Purchaser shall notify Bank as soon as reasonably practicable.</w:t>
      </w:r>
    </w:p>
    <w:p>
      <w:pPr>
        <w:spacing w:after="0" w:line="167"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Times New Roman" w:cs="Times New Roman" w:eastAsia="Times New Roman" w:hAnsi="Times New Roman"/>
          <w:sz w:val="21"/>
          <w:szCs w:val="21"/>
          <w:u w:val="single" w:color="auto"/>
          <w:color w:val="auto"/>
        </w:rPr>
        <w:t>Inspection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871"/>
        <w:spacing w:after="0" w:line="248" w:lineRule="auto"/>
        <w:rPr>
          <w:sz w:val="20"/>
          <w:szCs w:val="20"/>
          <w:color w:val="auto"/>
        </w:rPr>
      </w:pPr>
      <w:r>
        <w:rPr>
          <w:rFonts w:ascii="Times New Roman" w:cs="Times New Roman" w:eastAsia="Times New Roman" w:hAnsi="Times New Roman"/>
          <w:sz w:val="22"/>
          <w:szCs w:val="22"/>
          <w:color w:val="auto"/>
        </w:rPr>
        <w:t xml:space="preserve">Upon reasonable prior notice from the other party, each party agrees to submit to an inspection or audit of its respective books, records, accounts and facilities related to this Agreement, from time to time, during regular business hours subject to the duty of confidentiality each party owes to its customers and banking secrecy and confidentiality requirements otherwise applicable to each party under the Program Documents or under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may inspect Purchaser no more than once per calendar year;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for each inspection of Purchaser by Bank that is not in connection with an audit of Platform Agent set forth in Section 3.2(f) of the Loan Program Agreement, Bank and Purchaser shall mutually agree upon the necessity of such inspection and determine the scope and resources required to complete such inspection. Purchaser shall store all documentation and electronic data related to its performance under this Agreement in accordance with its document retention policy and shall make such documentation and data available during any inspection or audit by Bank or its agents. As mutually agreed by the parties, Purchaser shall report to Bank regarding the performance of its obligations and duties under this Agreement.</w:t>
      </w:r>
    </w:p>
    <w:p>
      <w:pPr>
        <w:spacing w:after="0" w:line="18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AGREEMENT SHALL BE CONSTRUED AND ENFORCED IN ACCORDANCE WITH AND GOVERNED BY THE LAWS OF THE STATE OF MISSOURI, WITHOUT REGARD TO THE CONFLICTS OF LAWS PRINCIPLES THEREOF.</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EACH PARTY HERETO HEREBY IRREVOCABLY SUBMITS TO THE JURISDICTION OF ANY MISSOURI STATE OR FEDERAL COURT SITTING IN JACKSON COUNTY, MISSOURI IN ANY ACTION OR PROCEEDING ARISING OUT OF OR RELATING TO THIS AGREEMENT, AND EACH PARTY HERETO HEREBY IRREVOCABLY AGREES THAT ALL CLAIMS IN RESPECT OF SUCH ACTION OR PROCEEDING MAY BE HEARD AND DETERMINED IN SUCH STATE COURTS OR, TO THE EXTENT PERMITTED BY LAW, IN SUCH FEDERAL COURTS.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22"/>
          <w:szCs w:val="22"/>
          <w:color w:val="auto"/>
        </w:rPr>
        <w:t>HERETO HEREBY IRREVOCABLY WAIVE, TO THE FULLEST EXTENT THEY MAY EFFECTIVELY DO SO, THE DEFENSE OF AN INCONVENIENT FORUM TO THE MAINTENANCE OF SUCH ACTION OR PROCEEDING. THE PARTIES HERETO AGREE THAT A FINAL JUDGMENT NOT SUBJECT TO FURTHER APPEAL, IN ANY SUCH ACTION OR PROCEEDING SHALL BE CONCLUSIVE AND MAY BE ENFORCED IN OTHER JURISDICTIONS BY SUIT ON THE JUDGMENT OR IN ANY OTHER MANNER PROVIDED BY LAW.</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20.</w:t>
      </w:r>
      <w:r>
        <w:rPr>
          <w:sz w:val="20"/>
          <w:szCs w:val="20"/>
          <w:color w:val="auto"/>
        </w:rPr>
        <w:tab/>
      </w:r>
      <w:r>
        <w:rPr>
          <w:rFonts w:ascii="Times New Roman" w:cs="Times New Roman" w:eastAsia="Times New Roman" w:hAnsi="Times New Roman"/>
          <w:sz w:val="21"/>
          <w:szCs w:val="21"/>
          <w:u w:val="single" w:color="auto"/>
          <w:color w:val="auto"/>
        </w:rPr>
        <w:t>Manner of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Unless the manner of payment is expressly provided herein, all payments under this Agreement shall be made by ACH or wire transfer. Notwithstanding anything to the contrary contained herein, neither party shall fail to make any payment required of it under this Agreement as a result of a breach or alleged breach by the other party of any of its obligations under this Agreement or any other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making of any payment hereunder shall not constitute a waiver by the party making the payment of any rights it may have under the Program Documents or by Applicable Law.</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Referrals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Neither party has agreed to pay any fee or commission to any agent, broker, finder, or other person for or on account of such person’s services rendered in connection with this Agreement that would give rise to any valid claim against the other party for any commission, finder’s fee or like payment.</w:t>
      </w:r>
    </w:p>
    <w:p>
      <w:pPr>
        <w:spacing w:after="0" w:line="167"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Program Documents, including this Agreement and its schedules and exhibits (all of which schedules and exhibits are hereby incorporated into this Agreement) and the documents executed and delivered pursuant hereto and thereto, constitute the entire agreement between the parties with respect to the subject matter hereof and thereof, and supersede any prior or contemporaneous negotiations or oral or written agreements between the parties hereto with respect to the subject matter hereof or thereof, except where survival of prior written agreements is expressly provided for herein.</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Amendment and Modifications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Alterations, modifications or amendments of a provision of this Agreement, including all exhibits attached hereto, shall not be binding and shall be void unless such alteration, modification or amendment is in writing and executed by authorized representatives of Purchaser and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32" w:name="page133"/>
    <w:bookmarkEnd w:id="132"/>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19"/>
          <w:szCs w:val="19"/>
          <w:u w:val="single" w:color="auto"/>
          <w:color w:val="auto"/>
        </w:rPr>
        <w:t>Waivers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delay or failure of either party to enforce any of the provisions of this Agreement shall not be construed to be a waiver of any right of that party. All waivers must be in writing and signed by both parties.</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any provision of this Agreement shall be held illegal, invalid, or unenforceable, the remaining provisions shall remain in full force and effect.</w:t>
      </w:r>
    </w:p>
    <w:p>
      <w:pPr>
        <w:spacing w:after="0" w:line="15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The parties acknowledge that each party and its counsel have reviewed and revised this Agreement and that the normal rule of construction to the effect that any ambiguities are to be resolved against the drafting party shall not be employed in the interpretation of this Agreement or any amendments thereto, and the same shall be construed neither for nor against either party, but shall be given a reasonable interpretation in accordance with the plain meaning of its terms and the intent of the parties.</w:t>
      </w:r>
    </w:p>
    <w:p>
      <w:pPr>
        <w:spacing w:after="0" w:line="16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Captions and headings in this Agreement are for convenience only and are not to be deemed part of this Agreement.</w:t>
      </w:r>
    </w:p>
    <w:p>
      <w:pPr>
        <w:spacing w:after="0" w:line="22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Agreement may be executed and delivered by the parties in any number of counterparts, and by different parties on separate counterparts, each of which counterpart shall be deemed to be an original and all of which counterparts, taken together, shall constitute one and the same instrument. The parties agree that this Agreement and signature pages may be transmitted between them by electronic mail and that PDF signatures may constitute original signatures.</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u w:val="single" w:color="auto"/>
          <w:color w:val="auto"/>
        </w:rPr>
        <w:t>No Solicitation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Neither Bank nor any Affiliate or agent of Bank shall solicit in any manner any of the Borrowers related to a Loan for the sale of any other products or services. Notwithstanding the foregoing, none of Bank, an Affiliate of Bank or any agent of Bank shall be precluded from soliciting any Borrower whom Bank, an Affiliate of Bank or any agent of Bank learns about from any source other than Purchaser. Bank shall not sell, rent, lease or otherwise provide to any Person a list including any Borrower or assist any Person in soliciting any Borrower in any manner to the extent that Bank learns about such Borrower from Purchaser.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133" w:name="page134"/>
    <w:bookmarkEnd w:id="13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duly authorized officers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AFFIRM,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Brooke Major-Reid</w:t>
      </w:r>
      <w:r>
        <w:rPr>
          <w:rFonts w:ascii="Times New Roman" w:cs="Times New Roman" w:eastAsia="Times New Roman" w:hAnsi="Times New Roman"/>
          <w:sz w:val="22"/>
          <w:szCs w:val="22"/>
          <w:color w:val="auto"/>
        </w:rPr>
        <w:t>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Capital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LEAD BANK</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Homam Maalouf__</w:t>
      </w:r>
      <w:r>
        <w:rPr>
          <w:rFonts w:ascii="Times New Roman" w:cs="Times New Roman" w:eastAsia="Times New Roman" w:hAnsi="Times New Roman"/>
          <w:sz w:val="22"/>
          <w:szCs w:val="22"/>
          <w:color w:val="auto"/>
        </w:rPr>
        <w:t>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Homam Maalouf</w:t>
      </w:r>
    </w:p>
    <w:p>
      <w:pPr>
        <w:spacing w:after="0" w:line="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Product Strategy Officer</w:t>
      </w:r>
    </w:p>
    <w:p>
      <w:pPr>
        <w:sectPr>
          <w:pgSz w:w="11900" w:h="16838" w:orient="portrait"/>
          <w:cols w:equalWidth="0" w:num="1">
            <w:col w:w="11240"/>
          </w:cols>
          <w:pgMar w:left="320" w:top="142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AML-BSA Laws</w:t>
      </w:r>
      <w:r>
        <w:rPr>
          <w:rFonts w:ascii="Times New Roman" w:cs="Times New Roman" w:eastAsia="Times New Roman" w:hAnsi="Times New Roman"/>
          <w:sz w:val="22"/>
          <w:szCs w:val="22"/>
          <w:color w:val="auto"/>
        </w:rPr>
        <w:t>” means, collectively: (i) the Bank Secrecy Act of 1970, as supplemented by the Uniting and Strengthening America by Providing Appropriate Tools Required to Intercept and Obstruct Terrorism Act, and any rules and regulations promulgated thereunder; (ii) OFAC’s rules and regulations regarding the blocking of assets and the prohibition of transactions involving Persons or countries designated by OFAC; and (iii) any other Applicable Laws relating to customer identification, anti-money laundering or preventing the financing of terrorism and other forms of illegal activity, each as amended.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means Title 11 of the United States Code. 11 U.S.C. §§ 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as amended from time to time.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Amortized Cost Basis</w:t>
      </w:r>
      <w:r>
        <w:rPr>
          <w:rFonts w:ascii="Times New Roman" w:cs="Times New Roman" w:eastAsia="Times New Roman" w:hAnsi="Times New Roman"/>
          <w:sz w:val="22"/>
          <w:szCs w:val="22"/>
          <w:color w:val="auto"/>
        </w:rPr>
        <w:t>” means, as of any date of determination with respect to a Loan, the outstanding principal balance of such Loan, calculated by amortizing the Original Borrower Loan Amount as the initial amount and reduced by the amount of any Collections received by or on behalf of the related Borrower.</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Interest Rate</w:t>
      </w:r>
      <w:r>
        <w:rPr>
          <w:rFonts w:ascii="Times New Roman" w:cs="Times New Roman" w:eastAsia="Times New Roman" w:hAnsi="Times New Roman"/>
          <w:sz w:val="22"/>
          <w:szCs w:val="22"/>
          <w:color w:val="auto"/>
        </w:rPr>
        <w:t>” means, with respect to a Loan, the annualized interest rate used to accrue interest payable by the Borrower.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date upon which Purchaser shall purchase Purchaser Allocated Loans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Purchaser shall specify a Closing Date that is the later of (a) two (2) calendar days and one (1) Business Day following the related Funding Date for such Loan and (b) the date mutually agreed to by Bank and Purchaser.</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all cash collections, distributions, payments and other amounts of principal received by Bank from time to time from the Borrower.</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(i) the Bankruptcy Code and (ii) all other applicable liquidation, conservatorship, bankruptcy, moratorium, arrangement, receivership, insolvency, reorganization, suspension of payments, adjustment of debt, marshaling of assets or similar debtor relief laws of the United States, any state or any foreign country from time to time in effect affecting the rights of creditors generally.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Loan</w:t>
      </w:r>
      <w:r>
        <w:rPr>
          <w:rFonts w:ascii="Times New Roman" w:cs="Times New Roman" w:eastAsia="Times New Roman" w:hAnsi="Times New Roman"/>
          <w:sz w:val="22"/>
          <w:szCs w:val="22"/>
          <w:color w:val="auto"/>
        </w:rPr>
        <w:t>” means, as of any date of determination, a Loan (i) for which the related Borrower is more than 120 calendar days past due on any portion of any payment required to be made under the terms of the related Loan Documents in an amount greater than [***], (ii) for which the related Borrower has become the subject of a proceeding under a Debtor Relief Law and Bank or Purchaser has actual knowledge of such proceeding, or (iii) which the Servicer has charged-off and has an Borrower Amortized Cost Basis of more than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Yield</w:t>
      </w:r>
      <w:r>
        <w:rPr>
          <w:rFonts w:ascii="Times New Roman" w:cs="Times New Roman" w:eastAsia="Times New Roman" w:hAnsi="Times New Roman"/>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Equivalent Rate</w:t>
      </w:r>
      <w:r>
        <w:rPr>
          <w:rFonts w:ascii="Times New Roman" w:cs="Times New Roman" w:eastAsia="Times New Roman" w:hAnsi="Times New Roman"/>
          <w:sz w:val="22"/>
          <w:szCs w:val="22"/>
          <w:color w:val="auto"/>
        </w:rPr>
        <w:t>” means [***].</w:t>
      </w:r>
    </w:p>
    <w:p>
      <w:pPr>
        <w:sectPr>
          <w:pgSz w:w="11900" w:h="16838" w:orient="portrait"/>
          <w:cols w:equalWidth="0" w:num="1">
            <w:col w:w="11240"/>
          </w:cols>
          <w:pgMar w:left="320" w:top="1417" w:right="339" w:bottom="1440" w:gutter="0" w:footer="0" w:header="0"/>
        </w:sectPr>
      </w:pPr>
    </w:p>
    <w:bookmarkStart w:id="135" w:name="page136"/>
    <w:bookmarkEnd w:id="13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Account</w:t>
      </w:r>
      <w:r>
        <w:rPr>
          <w:rFonts w:ascii="Times New Roman" w:cs="Times New Roman" w:eastAsia="Times New Roman" w:hAnsi="Times New Roman"/>
          <w:sz w:val="22"/>
          <w:szCs w:val="22"/>
          <w:color w:val="auto"/>
        </w:rPr>
        <w:t xml:space="preserve">” means any account designated by Bank by written notice to Purchaser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shall give Purchaser at least five (5) Business Days prior written notice of any change to the Funding Account.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Amount</w:t>
      </w:r>
      <w:r>
        <w:rPr>
          <w:rFonts w:ascii="Times New Roman" w:cs="Times New Roman" w:eastAsia="Times New Roman" w:hAnsi="Times New Roman"/>
          <w:sz w:val="22"/>
          <w:szCs w:val="22"/>
          <w:color w:val="auto"/>
        </w:rPr>
        <w:t>” means [***].</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Insolvent</w:t>
      </w:r>
      <w:r>
        <w:rPr>
          <w:rFonts w:ascii="Times New Roman" w:cs="Times New Roman" w:eastAsia="Times New Roman" w:hAnsi="Times New Roman"/>
          <w:sz w:val="22"/>
          <w:szCs w:val="22"/>
          <w:color w:val="auto"/>
        </w:rPr>
        <w:t>” means, with respect to any specified Person, the failure by such Person to pay its debts in the ordinary course of business, the inability of such Person to pay its debts as they come due or the condition whereby the sum of such Person’s debts is greater than the sum of its assets.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Program Agreement</w:t>
      </w:r>
      <w:r>
        <w:rPr>
          <w:rFonts w:ascii="Times New Roman" w:cs="Times New Roman" w:eastAsia="Times New Roman" w:hAnsi="Times New Roman"/>
          <w:sz w:val="22"/>
          <w:szCs w:val="22"/>
          <w:color w:val="auto"/>
        </w:rPr>
        <w:t>” has the meaning set forth in the recitals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Loan Schedule</w:t>
      </w:r>
      <w:r>
        <w:rPr>
          <w:rFonts w:ascii="Times New Roman" w:cs="Times New Roman" w:eastAsia="Times New Roman" w:hAnsi="Times New Roman"/>
          <w:sz w:val="22"/>
          <w:szCs w:val="22"/>
          <w:color w:val="auto"/>
        </w:rPr>
        <w:t xml:space="preserve">” means the schedule of Purchased Loans substantially in the form attached as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Loans</w:t>
      </w:r>
      <w:r>
        <w:rPr>
          <w:rFonts w:ascii="Times New Roman" w:cs="Times New Roman" w:eastAsia="Times New Roman" w:hAnsi="Times New Roman"/>
          <w:sz w:val="22"/>
          <w:szCs w:val="22"/>
          <w:color w:val="auto"/>
        </w:rPr>
        <w:t xml:space="preserve">” means, collectively, each of the Purchaser Allocated Loans and the Purchaser Loan Assets related thereto, purchased by Purchaser in accordance with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Allocated Loans</w:t>
      </w:r>
      <w:r>
        <w:rPr>
          <w:rFonts w:ascii="Times New Roman" w:cs="Times New Roman" w:eastAsia="Times New Roman" w:hAnsi="Times New Roman"/>
          <w:sz w:val="22"/>
          <w:szCs w:val="22"/>
          <w:color w:val="auto"/>
        </w:rPr>
        <w:t>” means, all Loans funded by Bank and included in a Funding Statement.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Loan Assets</w:t>
      </w:r>
      <w:r>
        <w:rPr>
          <w:rFonts w:ascii="Times New Roman" w:cs="Times New Roman" w:eastAsia="Times New Roman" w:hAnsi="Times New Roman"/>
          <w:sz w:val="22"/>
          <w:szCs w:val="22"/>
          <w:color w:val="auto"/>
        </w:rPr>
        <w:t>” means, with respect to a Purchaser Allocated Loan, (1) the related Loan Documents and all rights, remedies, powers, privileges, and claims thereunder; (2) all payments applicable to such Purchaser Allocated Loan that are received or receivable and all other amounts due or to become due on or after the related Closing Date except for all other fees, charges and other amounts that have been or may be assessed against the related Borrower by, and payable for the account of the Servicer in accordance with the related Loan Documents; (3) any and all servicing rights associated with such Purchaser Allocated Loan; (4) all books and records and other rights, interests (whether whole, fractional or otherwise), benefits, proceeds, remedies and claims arising from or relating to such Purchaser Allocated Loan; (5) all Investment Property, Instruments, Chattel Paper, Money, Documents, Supporting Obligations, General Intangibles or Accounts (as each term is defined in Article 9 of the Uniform Commercial Code) at any time evidencing or relating to any of the foregoing; and (6) all Proceeds (as defined in Article 9 of the Uniform Commercial Code) of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Balance</w:t>
      </w:r>
      <w:r>
        <w:rPr>
          <w:rFonts w:ascii="Times New Roman" w:cs="Times New Roman" w:eastAsia="Times New Roman" w:hAnsi="Times New Roman"/>
          <w:sz w:val="22"/>
          <w:szCs w:val="22"/>
          <w:color w:val="auto"/>
        </w:rPr>
        <w:t>” means [***].</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means a deposit account in Purchaser’s name established by Purchaser.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Bank</w:t>
      </w:r>
      <w:r>
        <w:rPr>
          <w:rFonts w:ascii="Times New Roman" w:cs="Times New Roman" w:eastAsia="Times New Roman" w:hAnsi="Times New Roman"/>
          <w:sz w:val="22"/>
          <w:szCs w:val="22"/>
          <w:color w:val="auto"/>
        </w:rPr>
        <w:t>” means the Bank.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Funding Date</w:t>
      </w:r>
      <w:r>
        <w:rPr>
          <w:rFonts w:ascii="Times New Roman" w:cs="Times New Roman" w:eastAsia="Times New Roman" w:hAnsi="Times New Roman"/>
          <w:sz w:val="22"/>
          <w:szCs w:val="22"/>
          <w:color w:val="auto"/>
        </w:rPr>
        <w:t>” shall have the meaning set forth in Section 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Schedule I - 2</w:t>
      </w:r>
    </w:p>
    <w:p>
      <w:pPr>
        <w:sectPr>
          <w:pgSz w:w="11900" w:h="16838" w:orient="portrait"/>
          <w:cols w:equalWidth="0" w:num="1">
            <w:col w:w="11240"/>
          </w:cols>
          <w:pgMar w:left="320" w:top="1421" w:right="339" w:bottom="1440" w:gutter="0" w:footer="0" w:header="0"/>
        </w:sectPr>
      </w:pPr>
    </w:p>
    <w:bookmarkStart w:id="136" w:name="page137"/>
    <w:bookmarkEnd w:id="136"/>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Property</w:t>
      </w:r>
      <w:r>
        <w:rPr>
          <w:rFonts w:ascii="Times New Roman" w:cs="Times New Roman" w:eastAsia="Times New Roman" w:hAnsi="Times New Roman"/>
          <w:sz w:val="22"/>
          <w:szCs w:val="22"/>
          <w:color w:val="auto"/>
        </w:rPr>
        <w:t>” means (a) the Reserve Account, (b) all property (including all cash, financial assets, investment property and security entitlements) from time to time deposited in, carried in or credited to, or required to be deposited in, carried in or credit to, the Reserve Account, (c) all funds from time to time deposited in or credited to, or required to be deposited in or credited to, the Reserve Account, (d) all credit balances related to the Reserve Account, (e) all rights, claims and causes of action of Purchaser with respect to the Reserve Account and (f) all proceeds of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means Affirm, Inc., a Delaware corporation, in its capacity as servicer under the Servicing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Colorado Loan</w:t>
      </w:r>
      <w:r>
        <w:rPr>
          <w:rFonts w:ascii="Times New Roman" w:cs="Times New Roman" w:eastAsia="Times New Roman" w:hAnsi="Times New Roman"/>
          <w:sz w:val="22"/>
          <w:szCs w:val="22"/>
          <w:color w:val="auto"/>
        </w:rPr>
        <w:t>” means any Loan (i) originated to a Borrower who is a Colorado resident at the time of Loan Application, and (ii) that has an Annual Percentage Rate (as determined under the Truth in Lending Act, 15 U.S.C. §§ 1601-1667f, and is implementing Regulation Z, 12 C.F.R. § 1026.22) at the time of origination that exceeds the maximum interest rate that would be allowed under Colo. Rev. Stat. § 5-2-201(2) assuming such statute applied to the Loan.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Structural Criteria</w:t>
      </w:r>
      <w:r>
        <w:rPr>
          <w:rFonts w:ascii="Times New Roman" w:cs="Times New Roman" w:eastAsia="Times New Roman" w:hAnsi="Times New Roman"/>
          <w:sz w:val="22"/>
          <w:szCs w:val="22"/>
          <w:color w:val="auto"/>
        </w:rPr>
        <w:t xml:space="preserve">” refers to the following criteria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(relating to the purchase, sale, assignment, transfer or conveyance of Bank’s right, title and interest in and to Specified Colorado Loans): the Uncommitted Forward Flow Option, the Maximum Committed Forward Flow Option, the Maximum Overall Transfer Option, or an Alternative Structure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Schedule I - 3</w:t>
      </w:r>
    </w:p>
    <w:p>
      <w:pPr>
        <w:sectPr>
          <w:pgSz w:w="11900" w:h="16838" w:orient="portrait"/>
          <w:cols w:equalWidth="0" w:num="1">
            <w:col w:w="11240"/>
          </w:cols>
          <w:pgMar w:left="320" w:top="142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STRUCTURAL CRITERIA</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17"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PURCHASED LOAN SCHEDULE</w:t>
      </w:r>
    </w:p>
    <w:p>
      <w:pPr>
        <w:sectPr>
          <w:pgSz w:w="11900" w:h="16838" w:orient="portrait"/>
          <w:cols w:equalWidth="0" w:num="1">
            <w:col w:w="9019"/>
          </w:cols>
          <w:pgMar w:left="1440" w:top="1417" w:right="1440" w:bottom="1440" w:gutter="0" w:footer="0" w:header="0"/>
        </w:sectPr>
      </w:pPr>
    </w:p>
    <w:bookmarkStart w:id="139" w:name="page140"/>
    <w:bookmarkEnd w:id="139"/>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Purchaser’s Account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[Purchaser to provide account details for ACH transfers]</w:t>
      </w:r>
    </w:p>
    <w:p>
      <w:pPr>
        <w:sectPr>
          <w:pgSz w:w="11900" w:h="16838" w:orient="portrait"/>
          <w:cols w:equalWidth="0" w:num="1">
            <w:col w:w="9019"/>
          </w:cols>
          <w:pgMar w:left="1440" w:top="1440"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line="312" w:lineRule="auto"/>
        <w:rPr>
          <w:sz w:val="20"/>
          <w:szCs w:val="20"/>
          <w:color w:val="auto"/>
        </w:rPr>
      </w:pPr>
      <w:r>
        <w:rPr>
          <w:rFonts w:ascii="Times New Roman" w:cs="Times New Roman" w:eastAsia="Times New Roman" w:hAnsi="Times New Roman"/>
          <w:sz w:val="17"/>
          <w:szCs w:val="17"/>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83185</wp:posOffset>
            </wp:positionV>
            <wp:extent cx="1783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LOAN PROGRAM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LEAD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AFFIRM,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Dated as of</w:t>
      </w:r>
    </w:p>
    <w:p>
      <w:pPr>
        <w:spacing w:after="0" w:line="2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270510</wp:posOffset>
            </wp:positionV>
            <wp:extent cx="1783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480" w:top="117" w:right="339" w:bottom="1440" w:gutter="0" w:footer="0" w:header="0"/>
        </w:sectPr>
      </w:pPr>
    </w:p>
    <w:bookmarkStart w:id="141" w:name="page142"/>
    <w:bookmarkEnd w:id="141"/>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CONSTRUCTION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1.2.</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Construction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GENERAL PROGRAM DESCRIPTION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2.1.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General Description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2.2.</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Program Terms and Program Guidelines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2.3.</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Program Modifications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2.4.</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Ownership of Loans and Customer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2.5.</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Securitization Transactions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2.6.</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Advertising Materials; Third Party Service Providers; Safe Harbor Provisions.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DUTIES OF PLATFORM AGENT AND BANK</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Duties and Responsibilities of Platform Agent and Bank</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3.2.</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Duties and Responsibilities of Platform Agent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3.3.</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Duties and Responsibilities of Platform Agent on Behalf of Bank</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3.4.</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Duties and Responsibilities of Bank</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3.5.</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Conditions Precedent to the Obligations of Bank</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TRADE NAMES, ADVERTISING AND PROGRAM MATERIALS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4.1.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Trade Names and Trademarks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4.2.</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Advertising and Program Materials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4.3.</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Intellectual Property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LOAN ORIGINATION AND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5.1.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Loan Origination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5.2.</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6.1.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6.2.</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Wire Costs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6.3.</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Taxes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ARTICLE VII TERM</w:t>
            </w:r>
          </w:p>
        </w:tc>
        <w:tc>
          <w:tcPr>
            <w:tcW w:w="7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7.1.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Terms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9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21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8.1.</w:t>
            </w:r>
          </w:p>
        </w:tc>
        <w:tc>
          <w:tcPr>
            <w:tcW w:w="75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ectPr>
          <w:pgSz w:w="11900" w:h="16838" w:orient="portrait"/>
          <w:cols w:equalWidth="0" w:num="1">
            <w:col w:w="10880"/>
          </w:cols>
          <w:pgMar w:left="680" w:top="1417" w:right="339" w:bottom="1440" w:gutter="0" w:footer="0" w:header="0"/>
        </w:sectPr>
      </w:pPr>
    </w:p>
    <w:bookmarkStart w:id="142" w:name="page143"/>
    <w:bookmarkEnd w:id="14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8.2.</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Effect of Termination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97"/>
        </w:trPr>
        <w:tc>
          <w:tcPr>
            <w:tcW w:w="8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REPRESENTATIONS, WARRANTIES AND COVENANTS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9.1.</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Platform Agent’s Representations and Warranties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9.2.</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Bank’s Representations and Warranties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9.3.</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Platform Agent’s Covenants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9.4.</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Colorado Specified Loans.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97"/>
        </w:trPr>
        <w:tc>
          <w:tcPr>
            <w:tcW w:w="8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MISCELLANEOUS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Indemnification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10.2.</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Limitation of Liability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10.3.</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Governing Law</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10.4.</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Confidential Information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10.5.</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Privacy Law Compliance; Security Breach Disclosure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10.6.</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Force Majeure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10.7.</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Relationship of Parties; No Authority to Bind</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10.8.</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Severability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10.9.</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Successors and Third Parties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10.10.</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10.11.</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Waiver; Amendments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10.12.</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10.13.</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Further Assurances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10.14.</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Entire Agreement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10.15.</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Survival</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10.16.</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Referrals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10.17.</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Interpretation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1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10.18.</w:t>
            </w:r>
          </w:p>
        </w:tc>
        <w:tc>
          <w:tcPr>
            <w:tcW w:w="6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Headings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440"/>
          </w:cols>
          <w:pgMar w:left="680" w:top="1440" w:right="7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4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Program Terms</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[Reserved]</w:t>
      </w:r>
    </w:p>
    <w:p>
      <w:pPr>
        <w:spacing w:after="0" w:line="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Compliance Guidelines</w:t>
      </w:r>
    </w:p>
    <w:p>
      <w:pPr>
        <w:spacing w:after="0" w:line="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Loan Origination Report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[Reserved]</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Notice/Approval and Response Guidelines</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List of Current Third-Party Service Providers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Schedule 3.2(f)</w:t>
      </w:r>
      <w:r>
        <w:rPr>
          <w:sz w:val="20"/>
          <w:szCs w:val="20"/>
          <w:color w:val="auto"/>
        </w:rPr>
        <w:tab/>
      </w:r>
      <w:r>
        <w:rPr>
          <w:rFonts w:ascii="Times New Roman" w:cs="Times New Roman" w:eastAsia="Times New Roman" w:hAnsi="Times New Roman"/>
          <w:sz w:val="21"/>
          <w:szCs w:val="21"/>
          <w:color w:val="auto"/>
        </w:rPr>
        <w:t>Platform Agent Audit and Monitoring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139"/>
          </w:cols>
          <w:pgMar w:left="320" w:top="1421" w:right="144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LOAN PROGRAM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LOAN PROGRAM AGREEMENT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May 31,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Lead Bank, an FDIC-insured state-chartered Missouri bank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and AFFIRM, INC., a Delaware corporation (“</w:t>
      </w:r>
      <w:r>
        <w:rPr>
          <w:rFonts w:ascii="Times New Roman" w:cs="Times New Roman" w:eastAsia="Times New Roman" w:hAnsi="Times New Roman"/>
          <w:sz w:val="22"/>
          <w:szCs w:val="22"/>
          <w:u w:val="single" w:color="auto"/>
          <w:color w:val="auto"/>
        </w:rPr>
        <w:t>Platform Agent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Bank is an FDIC-insured state-chartered Missouri bank with the authority to originate consumer loans, including certain types of mutually agreed upon commercial loans, throughout the United States of America;</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Platform Agent is in the business of facilitating the marketing of consumer and certain types of mutually agreed upon commercial loans;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Platform Agent and its Affiliates have developed a loan application processing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which is capable of processing applications for consumer and certain types of mutually agreed upon commercial loans in accordance with Bank’s credit criteria; and</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Bank desires to use the Platform to promote the availability of credit, encourage the submission of applications through the Platform for such credit and facilitate the making of loans in accordance with Bank’s credit criteria to qualifying consumers and businesses.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the terms, conditions and mutual covenants and agreements contained herein, for good and valuable consideration, the receipt and sufficiency of which are hereby conclusively acknowledged, the parties agree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CONSTRUCTION</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The following defined terms shall have the indicated meanings set forth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To the extent used but not otherwise defined herein, defined terms shall have the meanings attributed to them in the Loan Sale Agreement.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ACH</w:t>
      </w:r>
      <w:r>
        <w:rPr>
          <w:rFonts w:ascii="Times New Roman" w:cs="Times New Roman" w:eastAsia="Times New Roman" w:hAnsi="Times New Roman"/>
          <w:sz w:val="22"/>
          <w:szCs w:val="22"/>
          <w:color w:val="auto"/>
        </w:rPr>
        <w:t>” means automated clearing house.</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Advertising Materials</w:t>
      </w:r>
      <w:r>
        <w:rPr>
          <w:rFonts w:ascii="Times New Roman" w:cs="Times New Roman" w:eastAsia="Times New Roman" w:hAnsi="Times New Roman"/>
          <w:sz w:val="22"/>
          <w:szCs w:val="22"/>
          <w:color w:val="auto"/>
        </w:rPr>
        <w:t xml:space="preserve">” means all materials and methods used by Platform Agent in the performance of its marketing, advertising, promotional and solicitation services under this Agreement, including but not limited to advertisements, direct mail pieces, electronic, telephonic and/or internet marketing, brochures, call scripts, website materials and any other similar materials, and includes all content related to the Program on any website hosted by Platform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Advertising Materials shall not include any marketing materials utilized by Merchants other than marketing guides provided to Merchants by Platform Agent.</w:t>
      </w:r>
    </w:p>
    <w:p>
      <w:pPr>
        <w:sectPr>
          <w:pgSz w:w="11900" w:h="16838" w:orient="portrait"/>
          <w:cols w:equalWidth="0" w:num="1">
            <w:col w:w="11240"/>
          </w:cols>
          <w:pgMar w:left="320" w:top="1417" w:right="339" w:bottom="1440" w:gutter="0" w:footer="0" w:header="0"/>
        </w:sectPr>
      </w:pPr>
    </w:p>
    <w:bookmarkStart w:id="145" w:name="page146"/>
    <w:bookmarkEnd w:id="145"/>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directly or indirectly controlling, controlled by or under common control with, such Person. As used in this definition of Affiliate, the term “control” means the power, directly or indirectly, to direct or cause the direction of the management and policies of a Person, whether through ownership of such Person’s voting securities, by contract or otherwise, and the terms “affiliated,” “controlling” and “controlled” have correlative meanings to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Loan Program Agreement, including all schedules and exhibits hereto.</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Bank, Platform Agent or its Subsidiaries from time to time concerning or relating to bribery or corruption.</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all laws, rules and regulations of any jurisdiction applicable to Bank, Platform Agent or its Subsidiaries or its performance hereunder from time to time concerning or relating to money-laundering, including the Bank Secrecy Act and Regulation X promulgated thereunder and the applicable sections of the Patriot Act and implementing regulations related to know-your-customer and customer identification programs.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all federal, state and local laws, statutes, ordinances, regulations and orders, together with all rules established by self-regulatory organizations, including the National Automated Clearing House Association, or government sponsored entities, applicable to a party or relating to or affecting any aspect of the Program (including the Loans), consumer credit laws, rules and regulations, and all requirements of any Regulatory Authority having jurisdiction over a party hereto or any activity provided for in this Agreement or any other Program Document, including in connection with a judicial proceeding in which Bank, Platform Agent or a Third-Party Service Provider is a party and all rules and any regulations or policy statements or guidance and any similar pronouncement of a Regulatory Authority, or officially published regulatory interpretation of the foregoing, applicable to the acts of Bank, Platform Agent or a Third-Party Service Provider as they relate to the Program or a party’s performance of their obligations under the Program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“Approval Request” has the meaning set forth in Section 3.1(c).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means Lead Bank.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Origination Month</w:t>
      </w:r>
      <w:r>
        <w:rPr>
          <w:rFonts w:ascii="Times New Roman" w:cs="Times New Roman" w:eastAsia="Times New Roman" w:hAnsi="Times New Roman"/>
          <w:sz w:val="22"/>
          <w:szCs w:val="22"/>
          <w:color w:val="auto"/>
        </w:rPr>
        <w:t>” means each month in which Bank originates Loans during the Term.</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Origination Monthly Cohort</w:t>
      </w:r>
      <w:r>
        <w:rPr>
          <w:rFonts w:ascii="Times New Roman" w:cs="Times New Roman" w:eastAsia="Times New Roman" w:hAnsi="Times New Roman"/>
          <w:sz w:val="22"/>
          <w:szCs w:val="22"/>
          <w:color w:val="auto"/>
        </w:rPr>
        <w:t>” means, with respect to each Bank Origination Month, each of the Loans originated by Bank during such Bank Origination Month.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“Bank Secrecy Act” means the Bank Secrecy Act, 31 U.S.C. § 5311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146" w:name="page147"/>
    <w:bookmarkEnd w:id="14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with respect to a Loan, each Person who is a borrower under such Loan and each other obligor (including any co-signor or guarantor) that is required to satisfy the payment obligation with respect to such Loan.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upon which Missouri state banks are open for business, but excluding Saturdays and Sundays.</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means, with respect to a Person, the occurrence of either (a) any merger or consolidation with another Person or (b) an event by which any Person that is not an Affiliate of such Person succeeds to all or substantially all of its properties and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an initial public offering of such party’s securities nor an internal reorganization of such party whereby the same beneficial owner of such party retains such beneficial ownership after giving effect to such transfer shall constitute a “Change of Control”.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means the Internal Revenue Code of 1986, as amended from time to time, or any successor statute.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Complaint</w:t>
      </w:r>
      <w:r>
        <w:rPr>
          <w:rFonts w:ascii="Times New Roman" w:cs="Times New Roman" w:eastAsia="Times New Roman" w:hAnsi="Times New Roman"/>
          <w:sz w:val="22"/>
          <w:szCs w:val="22"/>
          <w:color w:val="auto"/>
        </w:rPr>
        <w:t>” means an oral or written statement or inquiry from a consumer, or his or her representatives, or about a consumer concerning products or services offered by Bank or Platform Agent in connection with this Agreement. “Inquiry” for purposes of this definition excludes a question that a reasonable person would conclude from the facts does not indicate a concern on the part of the person making the inquiry. For the avoidance of doubt, a Complaint shall not include: (a) general information requests; (b) transaction requests; (c) any communication that a reasonable person would conclude from the facts does not indicate a concern on the part of the person submitting such communication; (d) comments on social media channels maintained by Platform Agent or its Affiliates that are either (i) from an individual that is not a customer or prospective customer or (ii) from a customer that does not seek a specific outcome or assistance; or (e) communications from a customer after a completed or remediated application, interaction, Complaint or dispute in which such customer expresses disagreement with the outcome but does not provide or identify any justification for such disagreement or for changing the outcome.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Guidelines</w:t>
      </w:r>
      <w:r>
        <w:rPr>
          <w:rFonts w:ascii="Times New Roman" w:cs="Times New Roman" w:eastAsia="Times New Roman" w:hAnsi="Times New Roman"/>
          <w:sz w:val="21"/>
          <w:szCs w:val="21"/>
          <w:color w:val="auto"/>
        </w:rPr>
        <w:t xml:space="preserve">” means the policies and procedures for compliance with Applicable Laws, as set forth in </w:t>
      </w:r>
      <w:r>
        <w:rPr>
          <w:rFonts w:ascii="Times New Roman" w:cs="Times New Roman" w:eastAsia="Times New Roman" w:hAnsi="Times New Roman"/>
          <w:sz w:val="21"/>
          <w:szCs w:val="21"/>
          <w:u w:val="single" w:color="auto"/>
          <w:color w:val="auto"/>
        </w:rPr>
        <w:t>Exhibit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confidential or proprietary information including the names and addresses of a party’s customers, marketing plans and objectives, research and test results and other information that is confidential and the property of the party disclosing the information, which shall include (a) the Program Documents, the Program Guidelines and the Program Materials, (b) Customer Information, (c) business information (including products and services, employee information, business models, know-how, strategies, designs, reports, data, research, financial information, pricing information, corporate client information, market definitions and information, and business inventions and ideas), and (d) Technical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147" w:name="page148"/>
    <w:bookmarkEnd w:id="14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Policy</w:t>
      </w:r>
      <w:r>
        <w:rPr>
          <w:rFonts w:ascii="Times New Roman" w:cs="Times New Roman" w:eastAsia="Times New Roman" w:hAnsi="Times New Roman"/>
          <w:sz w:val="22"/>
          <w:szCs w:val="22"/>
          <w:color w:val="auto"/>
        </w:rPr>
        <w:t>” means the credit requirements, including requirements applicable to applications for the extension of credit, of Bank as set forth in the Program Guidelines to be used by Platform Agent in reviewing all Loan Applications on behalf of Bank.</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Model Policy</w:t>
      </w:r>
      <w:r>
        <w:rPr>
          <w:rFonts w:ascii="Times New Roman" w:cs="Times New Roman" w:eastAsia="Times New Roman" w:hAnsi="Times New Roman"/>
          <w:sz w:val="22"/>
          <w:szCs w:val="22"/>
          <w:color w:val="auto"/>
        </w:rPr>
        <w:t>” means Platform Agent’s policies and procedures regarding its model risk management, which shall include the policies and procedures required by FIL 22.</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 Information</w:t>
      </w:r>
      <w:r>
        <w:rPr>
          <w:rFonts w:ascii="Times New Roman" w:cs="Times New Roman" w:eastAsia="Times New Roman" w:hAnsi="Times New Roman"/>
          <w:sz w:val="22"/>
          <w:szCs w:val="22"/>
          <w:color w:val="auto"/>
        </w:rPr>
        <w:t>” means all information concerning Borrowers and Loan Applicants, including nonpublic personal information as defined under the Gramm-Leach-Bliley Act of 1999 and implementing regulations, including all nonpublic personal information of or related to customers or consumers of either party, including names, addresses, telephone numbers, account numbers, customer lists, credit scores and account, financial and transaction information, consumer reports and information derived from consumer reports that is subject to protection from publication under Applicable Laws, including any and all Borrower information handled by Platform Agent or Bank in connection with the Program required to be treated as confidential or otherwise subject to the control objectives of the Payment Card Industry Data Security Standard, as set forth by the PCI Security Standards Council or its successors, including the rules and regulations thereunder.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Disbursed Proceeds</w:t>
      </w:r>
      <w:r>
        <w:rPr>
          <w:rFonts w:ascii="Times New Roman" w:cs="Times New Roman" w:eastAsia="Times New Roman" w:hAnsi="Times New Roman"/>
          <w:sz w:val="22"/>
          <w:szCs w:val="22"/>
          <w:color w:val="auto"/>
        </w:rPr>
        <w:t>” [***].</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FCRA</w:t>
      </w:r>
      <w:r>
        <w:rPr>
          <w:rFonts w:ascii="Times New Roman" w:cs="Times New Roman" w:eastAsia="Times New Roman" w:hAnsi="Times New Roman"/>
          <w:sz w:val="22"/>
          <w:szCs w:val="22"/>
          <w:color w:val="auto"/>
        </w:rPr>
        <w:t>” means the Fair Credit Reporting Act of 1970 and any rule or regulation implemented thereunder.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FDIC</w:t>
      </w:r>
      <w:r>
        <w:rPr>
          <w:rFonts w:ascii="Times New Roman" w:cs="Times New Roman" w:eastAsia="Times New Roman" w:hAnsi="Times New Roman"/>
          <w:sz w:val="22"/>
          <w:szCs w:val="22"/>
          <w:color w:val="auto"/>
        </w:rPr>
        <w:t>” means the Federal Deposit Insurance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FFIEC</w:t>
      </w:r>
      <w:r>
        <w:rPr>
          <w:rFonts w:ascii="Times New Roman" w:cs="Times New Roman" w:eastAsia="Times New Roman" w:hAnsi="Times New Roman"/>
          <w:sz w:val="22"/>
          <w:szCs w:val="22"/>
          <w:color w:val="auto"/>
        </w:rPr>
        <w:t>” means the Federal Financial Institutions Examination Council.</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 22</w:t>
      </w:r>
      <w:r>
        <w:rPr>
          <w:rFonts w:ascii="Times New Roman" w:cs="Times New Roman" w:eastAsia="Times New Roman" w:hAnsi="Times New Roman"/>
          <w:sz w:val="22"/>
          <w:szCs w:val="22"/>
          <w:color w:val="auto"/>
        </w:rPr>
        <w:t>” means Financial Institution Letter FIL-22-2017, dated June 7, 2017, by the FDIC and any guidance issued thereunder.</w:t>
      </w:r>
    </w:p>
    <w:p>
      <w:pPr>
        <w:spacing w:after="0" w:line="14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Funding Date</w:t>
      </w:r>
      <w:r>
        <w:rPr>
          <w:rFonts w:ascii="Times New Roman" w:cs="Times New Roman" w:eastAsia="Times New Roman" w:hAnsi="Times New Roman"/>
          <w:sz w:val="21"/>
          <w:szCs w:val="21"/>
          <w:color w:val="auto"/>
        </w:rPr>
        <w:t xml:space="preserve">” means any day on which Bank receives a Funding Statement from Platform Agent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Bank receives any such Funding Statement (a) on a day that is not a Business Day or (b) after 12:00 p.m. (eastern time) on a Business Day, Bank may delay the Funding Date to be the immediately succeeding Business Day.</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Statement</w:t>
      </w:r>
      <w:r>
        <w:rPr>
          <w:rFonts w:ascii="Times New Roman" w:cs="Times New Roman" w:eastAsia="Times New Roman" w:hAnsi="Times New Roman"/>
          <w:sz w:val="22"/>
          <w:szCs w:val="22"/>
          <w:color w:val="auto"/>
        </w:rPr>
        <w:t>” means a statement provided by Platform Agent to Bank with respect to each Loan that Platform Agent is submitting to Bank for origination containing (a) a list of all Loan Applicants that meet the eligibility criteria set forth in the Program Guidelines; (b) the Original Borrower Loan Amount and the Disbursed Proceeds for each such Loan; (c) all information necessary for the transfer of the Disbursed Proceeds to the related Merchant on behalf of the Borrower, including depository institution names, routing numbers and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71" w:lineRule="auto"/>
        <w:rPr>
          <w:sz w:val="20"/>
          <w:szCs w:val="20"/>
          <w:color w:val="auto"/>
        </w:rPr>
      </w:pPr>
      <w:r>
        <w:rPr>
          <w:rFonts w:ascii="Times New Roman" w:cs="Times New Roman" w:eastAsia="Times New Roman" w:hAnsi="Times New Roman"/>
          <w:sz w:val="22"/>
          <w:szCs w:val="22"/>
          <w:color w:val="auto"/>
        </w:rPr>
        <w:t>numbers; and (d) such other information as shall be reasonably requested by Bank and mutually agreed to by Bank and Platform Agent.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 applied on a materially consistent basis.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court, board, agency, commission, office or authority of any nature whatsoever or any governmental unit (federal, state, commonwealth, county, district, municipal, city or otherwise), including the Department of Justice, the Federal Deposit Insurance Corporation, the Board of Governors of the Federal Reserve System and the Missouri Division of Finance whether now or hereafter in existence, including any Regulatory Authority.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Holdco</w:t>
      </w:r>
      <w:r>
        <w:rPr>
          <w:rFonts w:ascii="Times New Roman" w:cs="Times New Roman" w:eastAsia="Times New Roman" w:hAnsi="Times New Roman"/>
          <w:sz w:val="22"/>
          <w:szCs w:val="22"/>
          <w:color w:val="auto"/>
        </w:rPr>
        <w:t>” means Affirm Holdings, Inc., a Delaware corporation.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Security Incident</w:t>
      </w:r>
      <w:r>
        <w:rPr>
          <w:rFonts w:ascii="Times New Roman" w:cs="Times New Roman" w:eastAsia="Times New Roman" w:hAnsi="Times New Roman"/>
          <w:sz w:val="22"/>
          <w:szCs w:val="22"/>
          <w:color w:val="auto"/>
        </w:rPr>
        <w:t>” means any actual or reasonably suspected unauthorized access to or acquisition, use, disclosure, modification or destruction of any Customer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means the three years following the Effective Date.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 all intellectual property rights of any kind, worldwide, including utility patents, design patents, utility models and all applications for the foregoing, (b) Marks, and (c) published and unpublished works of authorship, registered and unregistered copyrights and all registrations and applications for the foregoing; software, technology and documentation; and trade secrets, Technical Information, business information, ideas, inventions, know-how and other confidential and proprietary information, in whatever form.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Launch Date</w:t>
      </w:r>
      <w:r>
        <w:rPr>
          <w:rFonts w:ascii="Times New Roman" w:cs="Times New Roman" w:eastAsia="Times New Roman" w:hAnsi="Times New Roman"/>
          <w:sz w:val="22"/>
          <w:szCs w:val="22"/>
          <w:color w:val="auto"/>
        </w:rPr>
        <w:t>” means the date on which the first Loan Application is received.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Process</w:t>
      </w:r>
      <w:r>
        <w:rPr>
          <w:rFonts w:ascii="Times New Roman" w:cs="Times New Roman" w:eastAsia="Times New Roman" w:hAnsi="Times New Roman"/>
          <w:sz w:val="22"/>
          <w:szCs w:val="22"/>
          <w:color w:val="auto"/>
        </w:rPr>
        <w:t>” means any legal process including, but not limited to, summonses, complaints, subpoenas, court orders, and any other legal requests issued by a court of competent jurisdiction, government and law enforcement agencies, and private parties.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One Complaint</w:t>
      </w:r>
      <w:r>
        <w:rPr>
          <w:rFonts w:ascii="Times New Roman" w:cs="Times New Roman" w:eastAsia="Times New Roman" w:hAnsi="Times New Roman"/>
          <w:sz w:val="22"/>
          <w:szCs w:val="22"/>
          <w:color w:val="auto"/>
        </w:rPr>
        <w:t xml:space="preserve">” means any written Complaint (a) received through a Governmental Authority or (b) identifying and substantiating any violation of UDAAP or Fair Lending Laws (in each case, as defined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that requires immediate attention.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means liquidity in financing facility availability, unrestricted cash or cash equivalents.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Trigger</w:t>
      </w:r>
      <w:r>
        <w:rPr>
          <w:rFonts w:ascii="Times New Roman" w:cs="Times New Roman" w:eastAsia="Times New Roman" w:hAnsi="Times New Roman"/>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a consumer or commercial loan made by Bank to a Borrower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149" w:name="page150"/>
    <w:bookmarkEnd w:id="149"/>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Account Agreement</w:t>
      </w:r>
      <w:r>
        <w:rPr>
          <w:rFonts w:ascii="Times New Roman" w:cs="Times New Roman" w:eastAsia="Times New Roman" w:hAnsi="Times New Roman"/>
          <w:sz w:val="22"/>
          <w:szCs w:val="22"/>
          <w:color w:val="auto"/>
        </w:rPr>
        <w:t>” means, with respect to a Loan, the document or documents containing the terms and conditions of such Loan, including the disclosure statement, the loan agreement and the privacy notice.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Applicant</w:t>
      </w:r>
      <w:r>
        <w:rPr>
          <w:rFonts w:ascii="Times New Roman" w:cs="Times New Roman" w:eastAsia="Times New Roman" w:hAnsi="Times New Roman"/>
          <w:sz w:val="22"/>
          <w:szCs w:val="22"/>
          <w:color w:val="auto"/>
        </w:rPr>
        <w:t>” means a prospective Borrower that has completed a Loan Application for a Loan.</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Application</w:t>
      </w:r>
      <w:r>
        <w:rPr>
          <w:rFonts w:ascii="Times New Roman" w:cs="Times New Roman" w:eastAsia="Times New Roman" w:hAnsi="Times New Roman"/>
          <w:sz w:val="22"/>
          <w:szCs w:val="22"/>
          <w:color w:val="auto"/>
        </w:rPr>
        <w:t xml:space="preserve">” means, with respect to a Loan or prospective Loan, the completed electronic application submitted by a Loan Applicant, on a form approved by Bank, related to a request for a Loan, together with any exhibits and ancillary materials;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Application may only be modified with the consent of Bank in its sole discretion.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 collectively, with respect to a Loan, the related Loan Account Agreement, the related Loan Application and any other documents provided to the related Borrower in connection with such Loan.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Origination Report</w:t>
      </w:r>
      <w:r>
        <w:rPr>
          <w:rFonts w:ascii="Times New Roman" w:cs="Times New Roman" w:eastAsia="Times New Roman" w:hAnsi="Times New Roman"/>
          <w:sz w:val="22"/>
          <w:szCs w:val="22"/>
          <w:color w:val="auto"/>
        </w:rPr>
        <w:t xml:space="preserve">” means a report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Performance Fee</w:t>
      </w:r>
      <w:r>
        <w:rPr>
          <w:rFonts w:ascii="Times New Roman" w:cs="Times New Roman" w:eastAsia="Times New Roman" w:hAnsi="Times New Roman"/>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Performance Fee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Sale Agreement</w:t>
      </w:r>
      <w:r>
        <w:rPr>
          <w:rFonts w:ascii="Times New Roman" w:cs="Times New Roman" w:eastAsia="Times New Roman" w:hAnsi="Times New Roman"/>
          <w:sz w:val="22"/>
          <w:szCs w:val="22"/>
          <w:color w:val="auto"/>
        </w:rPr>
        <w:t>” means the Loan Sale Agreement, dated as of the date hereof, between Bank, as seller, and the Purchaser, pursuant to which Bank has agreed to sell Loans originated under the Program to Platform Agent.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all costs, damages, losses, fines, penalties, judgments, settlements and expenses whatsoever, including outside attorneys’ fees and disbursements and court costs reasonably incurred by an indemnified party.</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Marks</w:t>
      </w:r>
      <w:r>
        <w:rPr>
          <w:rFonts w:ascii="Times New Roman" w:cs="Times New Roman" w:eastAsia="Times New Roman" w:hAnsi="Times New Roman"/>
          <w:sz w:val="22"/>
          <w:szCs w:val="22"/>
          <w:color w:val="auto"/>
        </w:rPr>
        <w:t>” means trademarks, trade names, service marks, logos, brands, corporate names, trade dress, domain names, social media user names, other source identifiers or indicia of goods or services, whether registered or unregistered, all registrations and applications for registration of the foregoing, all issuances, extensions, and renewals of such registrations and applications, and all goodwill associated with any of the foregoing.</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with respect to a party, a material adverse effect on (i) the business, condition (financial or otherwise), operations or performance under this Agreement or any other Program Document of such party or (ii) the validity, enforceability or collectability of this Agreement or any other Program Document or (b) with respect to the Loans, the validity, enforceability or collectability of a material portion of (i) the Loans or (ii) the Loan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Merchant</w:t>
      </w:r>
      <w:r>
        <w:rPr>
          <w:rFonts w:ascii="Times New Roman" w:cs="Times New Roman" w:eastAsia="Times New Roman" w:hAnsi="Times New Roman"/>
          <w:sz w:val="22"/>
          <w:szCs w:val="22"/>
          <w:color w:val="auto"/>
        </w:rPr>
        <w:t>” means a seller of goods or services to a Borrower.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Annual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Notification Related Costs</w:t>
      </w:r>
      <w:r>
        <w:rPr>
          <w:rFonts w:ascii="Times New Roman" w:cs="Times New Roman" w:eastAsia="Times New Roman" w:hAnsi="Times New Roman"/>
          <w:sz w:val="22"/>
          <w:szCs w:val="22"/>
          <w:color w:val="auto"/>
        </w:rPr>
        <w:t>” means Bank’s external costs associated with investigating, addressing and responding to an Information Security Incident, including: (a) preparation and mailing or other transmission of notifications or other communications to consumers, employees or others as Bank deems reasonably appropriate; (b) establishment of a call center or other communications procedures in response to such Information Security Incident (e.g., customer service FAQs, talking points and training); (c) public relations and other similar crisis management services; (d) legal, consulting, forensic expert and accounting fees and expenses associated with Bank’s investigation of and response to such incident; and (e) costs for commercially reasonable credit reporting and monitoring services that are associated with legally required notifications or are advisable under the circumstances.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U.S. Department of Treasury.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Borrower Loan Amount</w:t>
      </w:r>
      <w:r>
        <w:rPr>
          <w:rFonts w:ascii="Times New Roman" w:cs="Times New Roman" w:eastAsia="Times New Roman" w:hAnsi="Times New Roman"/>
          <w:sz w:val="22"/>
          <w:szCs w:val="22"/>
          <w:color w:val="auto"/>
        </w:rPr>
        <w:t>” means, with respect to a Loan, the original principal balance of such Loan.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(USA PATRIOT Act) of 2001, and corresponding provisions of future laws.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 Offense</w:t>
      </w:r>
      <w:r>
        <w:rPr>
          <w:rFonts w:ascii="Times New Roman" w:cs="Times New Roman" w:eastAsia="Times New Roman" w:hAnsi="Times New Roman"/>
          <w:sz w:val="22"/>
          <w:szCs w:val="22"/>
          <w:color w:val="auto"/>
        </w:rPr>
        <w:t>” means any violation of the criminal laws of the United States of America or any state therein, or that would be a criminal violation if committed within the jurisdiction of the United States of America or any state therein, as well as the crimes of conspiracy to commit, or aiding and abetting another to commit a crime, relating to terrorism or the laundering of monetary instruments, including any offense under (a) the criminal laws against terrorism, (b) the criminal laws against money laundering, (c) the Bank Secrecy Act, (d) the Money Laundering Control Act of 1986 or (e) the Patriot Act.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limited liability company, joint venture, estate, trust, unincorporated association, any other entity, any Governmental Authority or any fiduciary acting in such capacity on behalf of any of the foregoing.</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 Agent</w:t>
      </w:r>
      <w:r>
        <w:rPr>
          <w:rFonts w:ascii="Times New Roman" w:cs="Times New Roman" w:eastAsia="Times New Roman" w:hAnsi="Times New Roman"/>
          <w:sz w:val="22"/>
          <w:szCs w:val="22"/>
          <w:color w:val="auto"/>
        </w:rPr>
        <w:t>” means Affirm,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 Agent Facilitation Fee</w:t>
      </w:r>
      <w:r>
        <w:rPr>
          <w:rFonts w:ascii="Times New Roman" w:cs="Times New Roman" w:eastAsia="Times New Roman" w:hAnsi="Times New Roman"/>
          <w:sz w:val="22"/>
          <w:szCs w:val="22"/>
          <w:color w:val="auto"/>
        </w:rPr>
        <w:t>” [***].</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 Agent Facilitation Fee Rate</w:t>
      </w:r>
      <w:r>
        <w:rPr>
          <w:rFonts w:ascii="Times New Roman" w:cs="Times New Roman" w:eastAsia="Times New Roman" w:hAnsi="Times New Roman"/>
          <w:sz w:val="22"/>
          <w:szCs w:val="22"/>
          <w:color w:val="auto"/>
        </w:rPr>
        <w:t xml:space="preserve">” means, with respect to each Loan, the rate negotiated between Platform Agent and the related Merchant or a Third-Party Service Provider within the range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 Agent Platform</w:t>
      </w:r>
      <w:r>
        <w:rPr>
          <w:rFonts w:ascii="Times New Roman" w:cs="Times New Roman" w:eastAsia="Times New Roman" w:hAnsi="Times New Roman"/>
          <w:sz w:val="22"/>
          <w:szCs w:val="22"/>
          <w:color w:val="auto"/>
        </w:rPr>
        <w:t>” means the computer software, proprietary system information, and related technology and documentation, developed and owned by, or licensed by third parties to, Platform Agent relating to the services offered or provided by Platform Agent to its customers pursuant to this Agreement, including the website operated by Platform Agent, and all Intellectual Property Rights therein owned by Platform Agent or licensed by third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Platform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Platform Agent Platform does not include any Intellectual Property Rights owned by Bank or licensed by third parties to Bank.</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 Technical Auditor</w:t>
      </w:r>
      <w:r>
        <w:rPr>
          <w:rFonts w:ascii="Times New Roman" w:cs="Times New Roman" w:eastAsia="Times New Roman" w:hAnsi="Times New Roman"/>
          <w:sz w:val="22"/>
          <w:szCs w:val="22"/>
          <w:color w:val="auto"/>
        </w:rPr>
        <w:t>” means a consultant that is (a) not an Affiliate of Bank and (b) qualified to audit the Technical Information related to the Program.</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means the Platform Agent’s program for the marketing and servicing of Loans which Bank will originate pursuant to this Agreement and the Program Guidelines.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Documents</w:t>
      </w:r>
      <w:r>
        <w:rPr>
          <w:rFonts w:ascii="Times New Roman" w:cs="Times New Roman" w:eastAsia="Times New Roman" w:hAnsi="Times New Roman"/>
          <w:sz w:val="22"/>
          <w:szCs w:val="22"/>
          <w:color w:val="auto"/>
        </w:rPr>
        <w:t>” means, collectively, this Agreement, the Servicing Agreement and the Loan Sale Agreement.</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Guidelines</w:t>
      </w:r>
      <w:r>
        <w:rPr>
          <w:rFonts w:ascii="Times New Roman" w:cs="Times New Roman" w:eastAsia="Times New Roman" w:hAnsi="Times New Roman"/>
          <w:sz w:val="22"/>
          <w:szCs w:val="22"/>
          <w:color w:val="auto"/>
        </w:rPr>
        <w:t>” means the guidelines for the administration of the Program, including but not limited to the Credit Policy, the Underwriting Procedures and the Compliance Guidelines.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Manager</w:t>
      </w:r>
      <w:r>
        <w:rPr>
          <w:rFonts w:ascii="Times New Roman" w:cs="Times New Roman" w:eastAsia="Times New Roman" w:hAnsi="Times New Roman"/>
          <w:sz w:val="22"/>
          <w:szCs w:val="22"/>
          <w:color w:val="auto"/>
        </w:rPr>
        <w:t>” means the respective principal contact appointed by Bank and Platform Agent to facilitate day-to-day operations and resolve issues that may arise in connection with the Program.</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Materials</w:t>
      </w:r>
      <w:r>
        <w:rPr>
          <w:rFonts w:ascii="Times New Roman" w:cs="Times New Roman" w:eastAsia="Times New Roman" w:hAnsi="Times New Roman"/>
          <w:sz w:val="22"/>
          <w:szCs w:val="22"/>
          <w:color w:val="auto"/>
        </w:rPr>
        <w:t>” means all Loan Documents and all other documents, materials and methods used in connection with the performance of Platform Agent’s and Bank’s obligations under this Agreement, including the Loan Applications, disclosures required by Applicable Laws and collection materials.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Terms</w:t>
      </w:r>
      <w:r>
        <w:rPr>
          <w:rFonts w:ascii="Times New Roman" w:cs="Times New Roman" w:eastAsia="Times New Roman" w:hAnsi="Times New Roman"/>
          <w:sz w:val="22"/>
          <w:szCs w:val="22"/>
          <w:color w:val="auto"/>
        </w:rPr>
        <w:t xml:space="preserve">” means the pricing schedule and other loan terms and conditions in connection with the Program and all Loans, as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Credit Policy.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Premium</w:t>
      </w:r>
      <w:r>
        <w:rPr>
          <w:rFonts w:ascii="Times New Roman" w:cs="Times New Roman" w:eastAsia="Times New Roman" w:hAnsi="Times New Roman"/>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Premium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means Affirm, Inc., in its capacity as Purchaser pursuant to the Sale Agreement.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the Missouri Division of Finance, the FDIC and any local, state or federal regulatory authority, that currently has, or may in the future have, jurisdiction or exercising regulatory or similar oversight with respect to any of the activities contemplated by this Agreement or any other Program Document or to Bank, Platform Agent or Third-Party Service Providers (except that nothing herein shall be deemed to constitute an acknowledgement by Bank or Platform Agent that any Regulatory Authority other than the Missouri Division of Finance and the FDIC has jurisdiction or exercises regulatory or similar oversight with respect to Bank or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52" w:name="page153"/>
    <w:bookmarkEnd w:id="152"/>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the respective Affiliates, officers, directors, counsel, representatives, employees, advisors, accountants, auditors or agents of such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Response Timeline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Loan</w:t>
      </w:r>
      <w:r>
        <w:rPr>
          <w:rFonts w:ascii="Times New Roman" w:cs="Times New Roman" w:eastAsia="Times New Roman" w:hAnsi="Times New Roman"/>
          <w:sz w:val="22"/>
          <w:szCs w:val="22"/>
          <w:color w:val="auto"/>
        </w:rPr>
        <w:t xml:space="preserve">” means each Loan that is not sold by Bank to Purchaser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the Loan Sale Agreement.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the United States government, including those administered by the OFAC or the U.S. Department of State.</w:t>
      </w:r>
    </w:p>
    <w:p>
      <w:pPr>
        <w:spacing w:after="0" w:line="15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Securitization Transaction</w:t>
      </w:r>
      <w:r>
        <w:rPr>
          <w:rFonts w:ascii="Times New Roman" w:cs="Times New Roman" w:eastAsia="Times New Roman" w:hAnsi="Times New Roman"/>
          <w:sz w:val="21"/>
          <w:szCs w:val="21"/>
          <w:color w:val="auto"/>
        </w:rPr>
        <w:t>” means the issuance of an “asset backed security” (as defined under 17 C.F.R. § 229.1101(c) or Section 3(a)(77) of the Securities Exchange Act of 1934) backed by any Loans and any amounts owing thereunder.</w:t>
      </w:r>
    </w:p>
    <w:p>
      <w:pPr>
        <w:spacing w:after="0" w:line="12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Agreement</w:t>
      </w:r>
      <w:r>
        <w:rPr>
          <w:rFonts w:ascii="Times New Roman" w:cs="Times New Roman" w:eastAsia="Times New Roman" w:hAnsi="Times New Roman"/>
          <w:sz w:val="22"/>
          <w:szCs w:val="22"/>
          <w:color w:val="auto"/>
        </w:rPr>
        <w:t>” means the Servicing Agreement, dated as of the date hereof, between Affirm, Inc., as servicer, and Bank.</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Settled Loan</w:t>
      </w:r>
      <w:r>
        <w:rPr>
          <w:rFonts w:ascii="Times New Roman" w:cs="Times New Roman" w:eastAsia="Times New Roman" w:hAnsi="Times New Roman"/>
          <w:sz w:val="22"/>
          <w:szCs w:val="22"/>
          <w:color w:val="auto"/>
        </w:rPr>
        <w:t>” means a Loan that has been paid in full or the balance owed by the Borrower on such Loan is waived or forgiven.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Third Party Service Provider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 Person, any entity with respect to which more than fifty percent (50%) of the outstanding voting securities shall at any time be owned or controlled, directly or indirectly, by such Person or any similar business organization which is so owned or controlled.</w:t>
      </w:r>
    </w:p>
    <w:p>
      <w:pPr>
        <w:spacing w:after="0" w:line="17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Tangible Net Worth</w:t>
      </w:r>
      <w:r>
        <w:rPr>
          <w:rFonts w:ascii="Times New Roman" w:cs="Times New Roman" w:eastAsia="Times New Roman" w:hAnsi="Times New Roman"/>
          <w:sz w:val="21"/>
          <w:szCs w:val="21"/>
          <w:color w:val="auto"/>
        </w:rPr>
        <w:t>” means, as of any date of determination, the aggregate total assets of Holdco and its consolidated Subsidiaries minus (a) the aggregate Total Liabilities of Holdco and its consolidated Subsidiaries, minus (b) any intangible assets of Holdco, minus (c) amounts due to Holdco from any of its affiliates, in each case, as determined in accordance with GAAP.</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 Trigger</w:t>
      </w:r>
      <w:r>
        <w:rPr>
          <w:rFonts w:ascii="Times New Roman" w:cs="Times New Roman" w:eastAsia="Times New Roman" w:hAnsi="Times New Roman"/>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Technical Information</w:t>
      </w:r>
      <w:r>
        <w:rPr>
          <w:rFonts w:ascii="Times New Roman" w:cs="Times New Roman" w:eastAsia="Times New Roman" w:hAnsi="Times New Roman"/>
          <w:sz w:val="22"/>
          <w:szCs w:val="22"/>
          <w:color w:val="auto"/>
        </w:rPr>
        <w:t>” means, with respect to the Program and Platform Agent Platform, all software, source code, documentation, algorithms, models, developments, inventions, processes, ideas, designs, drawings, hardware configuration and technical specifications, including computer terminal specifications and the source code developed from such specifications.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Service Provider</w:t>
      </w:r>
      <w:r>
        <w:rPr>
          <w:rFonts w:ascii="Times New Roman" w:cs="Times New Roman" w:eastAsia="Times New Roman" w:hAnsi="Times New Roman"/>
          <w:sz w:val="22"/>
          <w:szCs w:val="22"/>
          <w:color w:val="auto"/>
        </w:rPr>
        <w:t>” means, with respect to either Bank or Platform Agent, any contractor or service provider retained by Bank or Platform Agent, respectively, that provides or renders services in connection with the Program or this Agreement.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Liabilities</w:t>
      </w:r>
      <w:r>
        <w:rPr>
          <w:rFonts w:ascii="Times New Roman" w:cs="Times New Roman" w:eastAsia="Times New Roman" w:hAnsi="Times New Roman"/>
          <w:sz w:val="22"/>
          <w:szCs w:val="22"/>
          <w:color w:val="auto"/>
        </w:rPr>
        <w:t>” means, as of any date of determination, the aggregate amount of all balance sheet liabilities of Holdco, as determined on a consolidated basis in accordance with GAAP (excluding the amount of any non-recourse indebtedness of Holdco and its consolidated Subsidiaries).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Underwriting Procedures</w:t>
      </w:r>
      <w:r>
        <w:rPr>
          <w:rFonts w:ascii="Times New Roman" w:cs="Times New Roman" w:eastAsia="Times New Roman" w:hAnsi="Times New Roman"/>
          <w:sz w:val="22"/>
          <w:szCs w:val="22"/>
          <w:color w:val="auto"/>
        </w:rPr>
        <w:t>” means the underwriting requirements of Bank to be used by Platform Agent in reviewing all Loan Applications on behalf of Bank.</w:t>
      </w:r>
    </w:p>
    <w:p>
      <w:pPr>
        <w:spacing w:after="0" w:line="14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As used in this Agreement: (a) all references to the masculine gender shall include the feminine gender (and vice versa); (b) all references to “include,” “includes” or “including” shall be deemed to be followed by the words “without limitation”; (c) references to any law or regulation refer to that law or regulation as amended from time to time and include any successor law or regulation; (d) references to another agreement, instrument or other document means such agreement, instrument or other document as the same may be amended, supplemented or otherwise modified from time to time in accordance with the terms thereof; (e) references to “dollars” or “$” shall be to United States dollars unless otherwise specified herein; (f) unless otherwise specified, all references to days, months, quarters or years shall be deemed to be preceded by the word “calendar”; (g) “or” is not exclusive; (h) unless otherwise specified, all references to an article, section, subsection, exhibit or schedule shall be deemed to refer to, respectively, an article, section, subsection, exhibit or schedule of or to this Agreement;</w:t>
      </w:r>
    </w:p>
    <w:p>
      <w:pPr>
        <w:spacing w:after="0" w:line="1" w:lineRule="exact"/>
        <w:rPr>
          <w:sz w:val="20"/>
          <w:szCs w:val="20"/>
          <w:color w:val="auto"/>
        </w:rPr>
      </w:pPr>
    </w:p>
    <w:p>
      <w:pPr>
        <w:jc w:val="both"/>
        <w:ind w:firstLine="8"/>
        <w:spacing w:after="0" w:line="252" w:lineRule="auto"/>
        <w:tabs>
          <w:tab w:leader="none" w:pos="26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clearly indicates, words used in the singular include the plural and words in the plural include the singular; and (j) in connection with the computation of any time period, the word “from” means “from and including” and the words “to” and “until” each means “to but excluding”.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PROGRAM DESCRIPTION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General Description</w:t>
      </w:r>
      <w:r>
        <w:rPr>
          <w:rFonts w:ascii="Times New Roman" w:cs="Times New Roman" w:eastAsia="Times New Roman" w:hAnsi="Times New Roman"/>
          <w:sz w:val="22"/>
          <w:szCs w:val="22"/>
          <w:color w:val="auto"/>
        </w:rPr>
        <w:t>. Platform Agent and Bank hereby agree that (a) Platform Agent shall market loans in accordance with the Program Guidelines throughout the United States and its territories in order to facilitate the making of Loans by Bank to Borrowers; (b) any review or other involvement by Bank in any action or any document preparation shall not relieve Platform Agent from its obligations to ensure that Loans are originated and Loan Applications are handled in accordance with Applicable Laws and the Program Guidelines; and (c) Platform Agent is acting under this Agreement as a service provider for Bank.</w:t>
      </w:r>
    </w:p>
    <w:p>
      <w:pPr>
        <w:spacing w:after="0" w:line="14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Program Terms and Program Guidelines</w:t>
      </w:r>
      <w:r>
        <w:rPr>
          <w:rFonts w:ascii="Times New Roman" w:cs="Times New Roman" w:eastAsia="Times New Roman" w:hAnsi="Times New Roman"/>
          <w:sz w:val="22"/>
          <w:szCs w:val="22"/>
          <w:color w:val="auto"/>
        </w:rPr>
        <w:t>. Platform Agent shall comply with the Program Terms and the Program Guidelines in connection with the administration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54" w:name="page155"/>
    <w:bookmarkEnd w:id="154"/>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Program Modifications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656"/>
        <w:spacing w:after="0" w:line="260" w:lineRule="auto"/>
        <w:tabs>
          <w:tab w:leader="none" w:pos="117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Program Modifications</w:t>
      </w:r>
      <w:r>
        <w:rPr>
          <w:rFonts w:ascii="Times New Roman" w:cs="Times New Roman" w:eastAsia="Times New Roman" w:hAnsi="Times New Roman"/>
          <w:sz w:val="21"/>
          <w:szCs w:val="21"/>
          <w:color w:val="auto"/>
        </w:rPr>
        <w:t xml:space="preserve">. Bank may change the Program Guidelines in its discretion, upon not less than thirty (30) days prior notice to Platform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prior notice shall not be required in the event such modification is the result of a change in Applicable Law or at the request or supervisory recommendation related to the Platform Agent, Program or Bank’s third party lending partnerships inclusive of the Program of a Regulatory Authority;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(i) such change is not as a result of a change in Applicable Law or at the request or supervisory recommendation related to the Platform Agent, Program or Bank’s third party lending partnerships inclusive of the Program of a Regulatory Authority and such change would, in the reasonable and good faith determination of Platform Agent, materially and adversely affect Platform Agent, Platform Agent may suspend the Program until it has mutually agreed with Bank to modify the Program Guidelines in a manner that satisfies both Bank and Platform Agent, and (ii) such change is as a result of a change in Applicable Law or at the request or supervisory recommendation related to the Platform Agent, Program or Bank’s third party lending partnerships inclusive of the Program of a Regulatory Authority, Platform Agent shall implement such change as soon as practicable. In the event that Bank’s change to the Program Guidelines requires modifications to the Platform Agent Platform, Bank agrees to provide Platform Agent with adequate time as may be reasonably necessary for Platform Agent to implement such changes.</w:t>
      </w:r>
    </w:p>
    <w:p>
      <w:pPr>
        <w:spacing w:after="0" w:line="176" w:lineRule="exact"/>
        <w:rPr>
          <w:rFonts w:ascii="Times New Roman" w:cs="Times New Roman" w:eastAsia="Times New Roman" w:hAnsi="Times New Roman"/>
          <w:sz w:val="21"/>
          <w:szCs w:val="21"/>
          <w:color w:val="auto"/>
        </w:rPr>
      </w:pPr>
    </w:p>
    <w:p>
      <w:pPr>
        <w:jc w:val="both"/>
        <w:ind w:firstLine="656"/>
        <w:spacing w:after="0" w:line="257" w:lineRule="auto"/>
        <w:tabs>
          <w:tab w:leader="none" w:pos="130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 Agent Requests</w:t>
      </w:r>
      <w:r>
        <w:rPr>
          <w:rFonts w:ascii="Times New Roman" w:cs="Times New Roman" w:eastAsia="Times New Roman" w:hAnsi="Times New Roman"/>
          <w:sz w:val="22"/>
          <w:szCs w:val="22"/>
          <w:color w:val="auto"/>
        </w:rPr>
        <w:t>. Platform Agent may recommend modifications to the Program Guidelines for the improvement of the Program to Bank for incorporation into the Program Guidelines by Bank. Such modifications shall not be unreasonably rejected, conditioned or delayed.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anything contained in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the contrary, Bank shall have the absolute right to approve, deny or modify the Credit Policy, provided that Bank shall provide prior written notice to Platform Agent of any such denial or modification of the Credit Policy.</w:t>
      </w:r>
    </w:p>
    <w:p>
      <w:pPr>
        <w:spacing w:after="0" w:line="20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Ownership of Loans and Customer Information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656"/>
        <w:spacing w:after="0" w:line="247" w:lineRule="auto"/>
        <w:tabs>
          <w:tab w:leader="none" w:pos="121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Bank funds a Loan in accordance with the Program Guidelines to the date on which Bank sells, transfers and assigns any such Loan to the Purchaser pursuant to the Loan Sale Agreement, Bank shall be the sole owner for all purposes (including for tax, accounting and legal purposes) of such Loan. Bank agrees to make entries on its books and records to clearly indicate the sale, transfer and assignment of each Loan to Purchaser pursuant to the terms of the Loan Sale Agreement. Except as otherwise set forth in this Agreement, Bank shall not have any liability to Purchaser for (i) the Borrower’s failure to make repayment of any amount at any time due under any Loan or (ii) the servicing of any Loan after each such date on which Bank sells, transfer and assigns such Loan to Purchaser pursuant to the Loan Sale Agreement. Subject to the right of Platform Agent to purchase Loans pursuant to the Loan Sale Agreement, nothing in this Agreement or any other Program Documents shall be construed to limit Bank’s ability to sell any Loans to another Person in the event Purchaser is unwilling or unable, or for any reason fails, to purchase such Loans under the terms of the Loan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5" w:name="page156"/>
    <w:bookmarkEnd w:id="155"/>
    <w:p>
      <w:pPr>
        <w:jc w:val="both"/>
        <w:ind w:firstLine="656"/>
        <w:spacing w:after="0" w:line="268" w:lineRule="auto"/>
        <w:tabs>
          <w:tab w:leader="none" w:pos="111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shall have sole ownership of all Customer Information at all times prior to the sale of the related Loan pursuant to the Loan Sale Agreement including with respect to a Retained Loan and the Platform Agent shall be the owner of all Customer Information associated with any Loan purchased by Platform Agent. Without limiting the foregoing, Bank shall be permitted to retain copies of and use Customer Information associated with all Loans as necessary to comply with all Applicable Laws and Platform Agent shall deliver copies of all Customer Information that Bank has not received upon request of Bank.</w:t>
      </w:r>
    </w:p>
    <w:p>
      <w:pPr>
        <w:spacing w:after="0" w:line="1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Securitization Transactions</w:t>
      </w:r>
      <w:r>
        <w:rPr>
          <w:rFonts w:ascii="Times New Roman" w:cs="Times New Roman" w:eastAsia="Times New Roman" w:hAnsi="Times New Roman"/>
          <w:sz w:val="22"/>
          <w:szCs w:val="22"/>
          <w:color w:val="auto"/>
        </w:rPr>
        <w:t>. Except as set forth in the Loan Sale Agreement, each of Platform Agent and Bank shall be permitted to (a) securitize any or all of the Loans it owns and any amounts owing thereunder, (b) enter into a Securitization Transaction, or (c) effect one or more sales of such Loans.</w:t>
      </w:r>
    </w:p>
    <w:p>
      <w:pPr>
        <w:spacing w:after="0" w:line="14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Advertising Materials; Third Party Service Providers; Safe Harbor Provisions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656"/>
        <w:spacing w:after="0" w:line="247" w:lineRule="auto"/>
        <w:tabs>
          <w:tab w:leader="none" w:pos="110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to the contrary, Bank has the ultimate approval authority over all Advertising Materials and Program Materials and may revoke its approval of any Advertising Materials or Program Materials upon written notice to Platform Agent based on changes in Applicable Law, input from its Regulatory Authorities or otherwise for cause. For the avoidance of doubt, Bank has the right to audit all Advertising Materials and Program Materials pursuant to this Agreement.</w:t>
      </w:r>
    </w:p>
    <w:p>
      <w:pPr>
        <w:spacing w:after="0" w:line="210" w:lineRule="exact"/>
        <w:rPr>
          <w:rFonts w:ascii="Times New Roman" w:cs="Times New Roman" w:eastAsia="Times New Roman" w:hAnsi="Times New Roman"/>
          <w:sz w:val="22"/>
          <w:szCs w:val="22"/>
          <w:color w:val="auto"/>
        </w:rPr>
      </w:pPr>
    </w:p>
    <w:p>
      <w:pPr>
        <w:ind w:right="100" w:firstLine="656"/>
        <w:spacing w:after="0" w:line="253" w:lineRule="auto"/>
        <w:tabs>
          <w:tab w:leader="none" w:pos="111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in </w:t>
      </w:r>
      <w:r>
        <w:rPr>
          <w:rFonts w:ascii="Times New Roman" w:cs="Times New Roman" w:eastAsia="Times New Roman" w:hAnsi="Times New Roman"/>
          <w:sz w:val="22"/>
          <w:szCs w:val="22"/>
          <w:u w:val="single" w:color="auto"/>
          <w:color w:val="auto"/>
        </w:rPr>
        <w:t>Section 3.2(t)</w:t>
      </w:r>
      <w:r>
        <w:rPr>
          <w:rFonts w:ascii="Times New Roman" w:cs="Times New Roman" w:eastAsia="Times New Roman" w:hAnsi="Times New Roman"/>
          <w:sz w:val="22"/>
          <w:szCs w:val="22"/>
          <w:color w:val="auto"/>
        </w:rPr>
        <w:t xml:space="preserve"> to the contrary, Bank has the ultimate approval authority of (i) any Third Party Service Provider that will provide services that are (A) deemed critical by Platform Agent based on Platform Agent’s Third Party risk management policy and (B) material to the Program (each, a “</w:t>
      </w:r>
      <w:r>
        <w:rPr>
          <w:rFonts w:ascii="Times New Roman" w:cs="Times New Roman" w:eastAsia="Times New Roman" w:hAnsi="Times New Roman"/>
          <w:sz w:val="22"/>
          <w:szCs w:val="22"/>
          <w:u w:val="single" w:color="auto"/>
          <w:color w:val="auto"/>
        </w:rPr>
        <w:t>Significant Third Party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Provider</w:t>
      </w:r>
      <w:r>
        <w:rPr>
          <w:rFonts w:ascii="Times New Roman" w:cs="Times New Roman" w:eastAsia="Times New Roman" w:hAnsi="Times New Roman"/>
          <w:sz w:val="22"/>
          <w:szCs w:val="22"/>
          <w:color w:val="auto"/>
        </w:rPr>
        <w:t>”), and (ii) Platform Agent’s oversight and/or third-party risk management program pertaining to such Third Party Service Providers.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DUTIES OF PLATFORM AGENT AND BANK</w:t>
      </w:r>
    </w:p>
    <w:p>
      <w:pPr>
        <w:spacing w:after="0" w:line="23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Duties and Responsibilities of Platform Agent and Bank</w:t>
      </w:r>
      <w:r>
        <w:rPr>
          <w:rFonts w:ascii="Times New Roman" w:cs="Times New Roman" w:eastAsia="Times New Roman" w:hAnsi="Times New Roman"/>
          <w:sz w:val="22"/>
          <w:szCs w:val="22"/>
          <w:color w:val="auto"/>
        </w:rPr>
        <w:t>. Platform Agent and Bank shall perform and discharge the following duties and responsibilities in connection with the Program:</w:t>
      </w:r>
    </w:p>
    <w:p>
      <w:pPr>
        <w:spacing w:after="0" w:line="117" w:lineRule="exact"/>
        <w:rPr>
          <w:sz w:val="20"/>
          <w:szCs w:val="20"/>
          <w:color w:val="auto"/>
        </w:rPr>
      </w:pPr>
    </w:p>
    <w:p>
      <w:pPr>
        <w:jc w:val="both"/>
        <w:ind w:firstLine="656"/>
        <w:spacing w:after="0" w:line="263" w:lineRule="auto"/>
        <w:tabs>
          <w:tab w:leader="none" w:pos="110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Laws</w:t>
      </w:r>
      <w:r>
        <w:rPr>
          <w:rFonts w:ascii="Times New Roman" w:cs="Times New Roman" w:eastAsia="Times New Roman" w:hAnsi="Times New Roman"/>
          <w:sz w:val="22"/>
          <w:szCs w:val="22"/>
          <w:color w:val="auto"/>
        </w:rPr>
        <w:t>. Platform Agent and Bank shall comply with Applicable Laws, to the extent such noncompliance would reasonably be expected to have a Material Adverse Effect, in performing their respective duties under this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1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Personnel</w:t>
      </w:r>
      <w:r>
        <w:rPr>
          <w:rFonts w:ascii="Times New Roman" w:cs="Times New Roman" w:eastAsia="Times New Roman" w:hAnsi="Times New Roman"/>
          <w:sz w:val="22"/>
          <w:szCs w:val="22"/>
          <w:color w:val="auto"/>
        </w:rPr>
        <w:t>. Each party shall (i) provide executive personnel bios or resumes as requested by the other party and (ii) notify the other party in writing (email being sufficient) of any changes to such party’s executive management and critical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56" w:name="page157"/>
    <w:bookmarkEnd w:id="156"/>
    <w:p>
      <w:pPr>
        <w:spacing w:after="0" w:line="271" w:lineRule="auto"/>
        <w:rPr>
          <w:sz w:val="20"/>
          <w:szCs w:val="20"/>
          <w:color w:val="auto"/>
        </w:rPr>
      </w:pPr>
      <w:r>
        <w:rPr>
          <w:rFonts w:ascii="Times New Roman" w:cs="Times New Roman" w:eastAsia="Times New Roman" w:hAnsi="Times New Roman"/>
          <w:sz w:val="22"/>
          <w:szCs w:val="22"/>
          <w:color w:val="auto"/>
        </w:rPr>
        <w:t xml:space="preserve">functions within thirty (30) days after such departure or hiring, provided that a violation of this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shall not be considered a default for purposes of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56"/>
        <w:spacing w:after="0" w:line="256" w:lineRule="auto"/>
        <w:tabs>
          <w:tab w:leader="none" w:pos="121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Notice/Approval and Response Guidelines</w:t>
      </w:r>
      <w:r>
        <w:rPr>
          <w:rFonts w:ascii="Times New Roman" w:cs="Times New Roman" w:eastAsia="Times New Roman" w:hAnsi="Times New Roman"/>
          <w:sz w:val="22"/>
          <w:szCs w:val="22"/>
          <w:color w:val="auto"/>
        </w:rPr>
        <w:t xml:space="preserve">. Each party shall comply with the obligations set forth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violation of this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 xml:space="preserve"> shall not be considered a default for purposes of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Where Platform Agent is seeking Bank’s approval (an “</w:t>
      </w:r>
      <w:r>
        <w:rPr>
          <w:rFonts w:ascii="Times New Roman" w:cs="Times New Roman" w:eastAsia="Times New Roman" w:hAnsi="Times New Roman"/>
          <w:sz w:val="22"/>
          <w:szCs w:val="22"/>
          <w:u w:val="single" w:color="auto"/>
          <w:color w:val="auto"/>
        </w:rPr>
        <w:t>Approval Request</w:t>
      </w:r>
      <w:r>
        <w:rPr>
          <w:rFonts w:ascii="Times New Roman" w:cs="Times New Roman" w:eastAsia="Times New Roman" w:hAnsi="Times New Roman"/>
          <w:sz w:val="22"/>
          <w:szCs w:val="22"/>
          <w:color w:val="auto"/>
        </w:rPr>
        <w:t xml:space="preserve">”), Bank shall provide an approval, rejection or feedback within the applicable timeline specified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Response Timeline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Duties and Responsibilities of Platform Agent</w:t>
      </w:r>
      <w:r>
        <w:rPr>
          <w:rFonts w:ascii="Times New Roman" w:cs="Times New Roman" w:eastAsia="Times New Roman" w:hAnsi="Times New Roman"/>
          <w:sz w:val="22"/>
          <w:szCs w:val="22"/>
          <w:color w:val="auto"/>
        </w:rPr>
        <w:t>. Platform Agent shall perform and discharge the following duties and responsibilities in connection with the services provided to Bank hereunder:</w:t>
      </w:r>
    </w:p>
    <w:p>
      <w:pPr>
        <w:spacing w:after="0" w:line="131" w:lineRule="exact"/>
        <w:rPr>
          <w:sz w:val="20"/>
          <w:szCs w:val="20"/>
          <w:color w:val="auto"/>
        </w:rPr>
      </w:pPr>
    </w:p>
    <w:p>
      <w:pPr>
        <w:jc w:val="both"/>
        <w:ind w:firstLine="656"/>
        <w:spacing w:after="0" w:line="253" w:lineRule="auto"/>
        <w:tabs>
          <w:tab w:leader="none" w:pos="117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Management.</w:t>
      </w:r>
      <w:r>
        <w:rPr>
          <w:rFonts w:ascii="Times New Roman" w:cs="Times New Roman" w:eastAsia="Times New Roman" w:hAnsi="Times New Roman"/>
          <w:sz w:val="22"/>
          <w:szCs w:val="22"/>
          <w:color w:val="auto"/>
        </w:rPr>
        <w:t xml:space="preserve"> Platform Agent shall adopt and maintain compliance management systems satisfactory for (i) complying with the examination manual of the FDIC, (ii) achieving at least a “satisfactory” rating under the FFIEC consumer compliance rating system and (iii) meeting the Compliance Guidelines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Platform Agent shall provide Bank full access to any information or data related to the Program necessary for Bank, in Bank’s reasonable discretion, to perform its oversight, risk management and compliance management responsibilities.</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and Information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2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On the fifth (5th) Business Day of each month, Platform Agent shall deliver to Bank a report setting forth the calculation of the aggregate Purchase Premium for the prior Bank Origination Month and the Loan Performance Fee for the prior month, which Bank may independently verify.</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882"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Platform Reporting and Compliance</w:t>
      </w:r>
      <w:r>
        <w:rPr>
          <w:rFonts w:ascii="Times New Roman" w:cs="Times New Roman" w:eastAsia="Times New Roman" w:hAnsi="Times New Roman"/>
          <w:sz w:val="21"/>
          <w:szCs w:val="21"/>
          <w:color w:val="auto"/>
        </w:rPr>
        <w:t>. Platform Agent shall provide to Bank data submissions and reports reasonably requested by Bank to maintain effective enterprise risk management and internal controls to monitor Platform Agent’s and its Third-Party Service Provider’s compliance with this Agreement and with Applicable Laws. In addition, and without limiting the foregoing, Platform Agent shall provide such supplemental information as Bank may reasonably request regarding Loans originated using the Platform Agent Platform including measures such as production volumes and trends, approval rates, rejection or decline rates, losses, delinquencies, collections and any other measure that Platform Agent tracks in order to comply with the Program Guidelines. For Loans originated under this Agreement, Platform Agent shall provide such information (to the extent such information is not otherwise readily available to Bank) in a commercially reasonable manner and in a form sufficient to permit Bank to conduct a meaningful analysis for compliance with the Program Guidelines. Additionally, Platform Agent shall use commercially reasonable efforts to provide Bank with any Program-related data in the possession or control of Platform Agent that is reasonably requested by Bank as necessary for Bank to meet Community Reinvestment Act data reporting requirements within thirty (30) days of each such request; provided, however, that such requests shall not be made more than once per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57" w:name="page158"/>
    <w:bookmarkEnd w:id="157"/>
    <w:p>
      <w:pPr>
        <w:jc w:val="both"/>
        <w:ind w:firstLine="656"/>
        <w:spacing w:after="0" w:line="253" w:lineRule="auto"/>
        <w:tabs>
          <w:tab w:leader="none" w:pos="110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Records</w:t>
      </w:r>
      <w:r>
        <w:rPr>
          <w:rFonts w:ascii="Times New Roman" w:cs="Times New Roman" w:eastAsia="Times New Roman" w:hAnsi="Times New Roman"/>
          <w:sz w:val="22"/>
          <w:szCs w:val="22"/>
          <w:color w:val="auto"/>
        </w:rPr>
        <w:t>. Platform Agent shall provide Bank and applicable Regulatory Authorities with reasonable access to Platform Agent’s offices, to the books and records of Platform Agent (solely to the extent such books and records pertain to the Loans), the officers, employees and accountants of Platform Agent in each case, and to all computer files containing the Loan Documents, for the purpose of ensuring that Platform Agent and its Third-Party Service Providers are complying with the Program Guidelines and Applicable Laws.</w:t>
      </w:r>
    </w:p>
    <w:p>
      <w:pPr>
        <w:spacing w:after="0" w:line="178" w:lineRule="exact"/>
        <w:rPr>
          <w:rFonts w:ascii="Times New Roman" w:cs="Times New Roman" w:eastAsia="Times New Roman" w:hAnsi="Times New Roman"/>
          <w:sz w:val="22"/>
          <w:szCs w:val="22"/>
          <w:color w:val="auto"/>
        </w:rPr>
      </w:pPr>
    </w:p>
    <w:p>
      <w:pPr>
        <w:jc w:val="both"/>
        <w:ind w:firstLine="656"/>
        <w:spacing w:after="0" w:line="247" w:lineRule="auto"/>
        <w:tabs>
          <w:tab w:leader="none" w:pos="119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Business Models and Technical Information</w:t>
      </w:r>
      <w:r>
        <w:rPr>
          <w:rFonts w:ascii="Times New Roman" w:cs="Times New Roman" w:eastAsia="Times New Roman" w:hAnsi="Times New Roman"/>
          <w:sz w:val="22"/>
          <w:szCs w:val="22"/>
          <w:color w:val="auto"/>
        </w:rPr>
        <w:t xml:space="preserve">. Platform Agent shall at all times comply with the Credit Model Policy and shall provide Bank with periodic access to the Technical Information underlying the Credit Model Policy for the sole purpose of validating consistency with FIL 22 and the Program Guidelines. Bank shall have the right to test and validate the Technical Information and the Credit Model Policy, including any underlying data, for the sole purpose of validating consistency with FIL 22 and the Program Guidelines. Subject to the confidentiality provisions of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hereof, Bank may, at its election and at the expense of Platform Agent, require Platform Agent to submit all Technical Information to a Platform Technical Auditor of Platform Agent’s choosing and accepted by Bank (i) for validation of compliance with FIL 22 and the Program Guidelines, including, but not limited to, Applicable Laws and (ii) to independently test and validate Platform Agent’s models for the Program, including Platform Agent’s loan performance models. In connection with any such testing and validation, Bank shall cooperate with Platform Agent and Platform Technical Auditor including delivering any requested information and making available responsible personnel to answer questions on a timely and complete basis and Bank and Platform Agent shall mutually agree to the scope of such audit. Any information shared with such Platform Technical Auditor shall be considered Confidential Information hereunder and such Platform Technical Auditor shall be subject to the confidentiality restrictions hereunder and may not share any Technical Information received from Platform Agent in connection with such audit with Bank. Platform Agent shall be the owner of the results of such review and shall share the results and any other requested information related to the Credit Model Policy, Program Guidelines and Applicable Laws with Bank promptly upon the completion of such review or audit. If the Platform Agent desires to modify the credit model, Platform Agent shall provide Bank five (5) Business Days’ prior written notice of the intended effectiveness of such credit model update, including a full-context summary of the assumptions underlying such credit model update as well as the anticipated effects thereof and Bank shall provide its consent to such update, not to be unreasonably withheld, within five (5) Business Days of the receipt of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may request that Platform Agent extend the time required to consent by five (5) Business Days while it reviews such update in good faith. Without limiting the foregoing, Bank may exercise oversight over any credit models used by Platform Agent in connection with the Program, including governance of the credit models under applicable model risk management required by any Regulatory Authorities or pursuant to Applicable Law. Platform Agent shall cooperate with Bank with respect to any requests from Bank in connection therewith and Platform Agent shall use reasonable best efforts to communicate planned changes and updates in advance of formal review submissions.</w:t>
      </w:r>
    </w:p>
    <w:p>
      <w:pPr>
        <w:spacing w:after="0" w:line="18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58" w:name="page159"/>
    <w:bookmarkEnd w:id="158"/>
    <w:p>
      <w:pPr>
        <w:jc w:val="both"/>
        <w:ind w:left="-460" w:firstLine="644"/>
        <w:spacing w:after="0" w:line="259" w:lineRule="auto"/>
        <w:tabs>
          <w:tab w:leader="none" w:pos="743"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any other agreement entered into with respect to Bank’s right to audit, or cause an audit of, Platform Agent, on an annual basis, Bank shall be permitted to cause an audit (except to the extent a Platform Technical Auditor has audited the Program) by an independent third party firm selected by Platform Agent and acceptable to Bank and at Platform Agent’s sole cost and expense, not to exceed [***], to be conducted of Platform Agent’s controls relating to the control, monitoring and supervision of the operation of the Program and of Platform Agent’s and its Third-Party Service Provider’s compliance with this Agreement, including ensuring that all Loans comply with the Program Guidelines and all Applicable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such audit has been conducted within the twelve (12) months prior to the Effective Date, then Platform Agent shall have met its Platform Audit obligations for the initial year under this Agreement, so long as a summary of such audit or issues log has been provided to Bank and contains no material findings, or any such material findings are subject to management remediation efforts;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Platform Agent shall (i) own the results of such audit, (ii) share such results with Bank, which Bank agrees to keep confidential, sharing only with Bank’s board and directly relevant regulators and (iii) keep such audit confidential except as required by Applicable Laws;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Platform Agent may share the results of such audit with a third party, as Platform Agent deems reasonably necessary (subject to Platform Agent entering into a non-disclosure or other confidentiality agreement with any such third party). Platform Agent shall provide Bank with notice of such sharing of any audit that was paid for by both Parties. In addition to the foregoing, Platform Agent shall comply with all auditing obligations set forth in </w:t>
      </w:r>
      <w:r>
        <w:rPr>
          <w:rFonts w:ascii="Times New Roman" w:cs="Times New Roman" w:eastAsia="Times New Roman" w:hAnsi="Times New Roman"/>
          <w:sz w:val="21"/>
          <w:szCs w:val="21"/>
          <w:u w:val="single" w:color="auto"/>
          <w:color w:val="auto"/>
        </w:rPr>
        <w:t>Schedule 3.2(f)</w:t>
      </w:r>
      <w:r>
        <w:rPr>
          <w:rFonts w:ascii="Times New Roman" w:cs="Times New Roman" w:eastAsia="Times New Roman" w:hAnsi="Times New Roman"/>
          <w:sz w:val="21"/>
          <w:szCs w:val="21"/>
          <w:color w:val="auto"/>
        </w:rPr>
        <w:t xml:space="preserve">, and to cause the auditing reports to be delivered to Bank on the dates specified in such </w:t>
      </w:r>
      <w:r>
        <w:rPr>
          <w:rFonts w:ascii="Times New Roman" w:cs="Times New Roman" w:eastAsia="Times New Roman" w:hAnsi="Times New Roman"/>
          <w:sz w:val="21"/>
          <w:szCs w:val="21"/>
          <w:u w:val="single" w:color="auto"/>
          <w:color w:val="auto"/>
        </w:rPr>
        <w:t>Schedule 3.2(f)</w:t>
      </w:r>
      <w:r>
        <w:rPr>
          <w:rFonts w:ascii="Times New Roman" w:cs="Times New Roman" w:eastAsia="Times New Roman" w:hAnsi="Times New Roman"/>
          <w:sz w:val="21"/>
          <w:szCs w:val="21"/>
          <w:color w:val="auto"/>
        </w:rPr>
        <w:t xml:space="preserve">, each in form and substance satisfactory to Bank. For the avoidance of doubt, the [***] limit on Platform Agent’s liability for audit costs and expenses set forth above applies to the combination of all audits set forth in </w:t>
      </w:r>
      <w:r>
        <w:rPr>
          <w:rFonts w:ascii="Times New Roman" w:cs="Times New Roman" w:eastAsia="Times New Roman" w:hAnsi="Times New Roman"/>
          <w:sz w:val="21"/>
          <w:szCs w:val="21"/>
          <w:u w:val="single" w:color="auto"/>
          <w:color w:val="auto"/>
        </w:rPr>
        <w:t>Schedule 3.2(f)</w:t>
      </w:r>
      <w:r>
        <w:rPr>
          <w:rFonts w:ascii="Times New Roman" w:cs="Times New Roman" w:eastAsia="Times New Roman" w:hAnsi="Times New Roman"/>
          <w:sz w:val="21"/>
          <w:szCs w:val="21"/>
          <w:color w:val="auto"/>
        </w:rPr>
        <w:t xml:space="preserve">. Platform Agent may add additional audit scope in order to satisfy requirements for other partners, the cost of which shall be the sole responsibility of Platform Agent and excluded from the [***] limit above. To the extent Bank requests any audit not set forth in </w:t>
      </w:r>
      <w:r>
        <w:rPr>
          <w:rFonts w:ascii="Times New Roman" w:cs="Times New Roman" w:eastAsia="Times New Roman" w:hAnsi="Times New Roman"/>
          <w:sz w:val="21"/>
          <w:szCs w:val="21"/>
          <w:u w:val="single" w:color="auto"/>
          <w:color w:val="auto"/>
        </w:rPr>
        <w:t>Schedule 3.2(f)</w:t>
      </w:r>
      <w:r>
        <w:rPr>
          <w:rFonts w:ascii="Times New Roman" w:cs="Times New Roman" w:eastAsia="Times New Roman" w:hAnsi="Times New Roman"/>
          <w:sz w:val="21"/>
          <w:szCs w:val="21"/>
          <w:color w:val="auto"/>
        </w:rPr>
        <w:t>, the resource burden and cost and expense liability associated with such incremental audit will be subject to good faith discussion and agreement between the parties.</w:t>
      </w:r>
    </w:p>
    <w:p>
      <w:pPr>
        <w:spacing w:after="0" w:line="175" w:lineRule="exact"/>
        <w:rPr>
          <w:rFonts w:ascii="Times New Roman" w:cs="Times New Roman" w:eastAsia="Times New Roman" w:hAnsi="Times New Roman"/>
          <w:sz w:val="21"/>
          <w:szCs w:val="21"/>
          <w:color w:val="auto"/>
        </w:rPr>
      </w:pPr>
    </w:p>
    <w:p>
      <w:pPr>
        <w:ind w:left="-460" w:firstLine="644"/>
        <w:spacing w:after="0" w:line="284" w:lineRule="auto"/>
        <w:tabs>
          <w:tab w:leader="none" w:pos="74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Bank shall have the following obligations to Platform Agent with respect to the annual audit performed pursuant to </w:t>
      </w:r>
      <w:r>
        <w:rPr>
          <w:rFonts w:ascii="Times New Roman" w:cs="Times New Roman" w:eastAsia="Times New Roman" w:hAnsi="Times New Roman"/>
          <w:sz w:val="22"/>
          <w:szCs w:val="22"/>
          <w:u w:val="single" w:color="auto"/>
          <w:color w:val="auto"/>
        </w:rPr>
        <w:t>Section 3.2(f)(i)</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22"/>
          <w:szCs w:val="22"/>
          <w:color w:val="auto"/>
        </w:rPr>
      </w:pPr>
    </w:p>
    <w:p>
      <w:pPr>
        <w:jc w:val="both"/>
        <w:ind w:left="180" w:firstLine="717"/>
        <w:spacing w:after="0" w:line="234" w:lineRule="auto"/>
        <w:tabs>
          <w:tab w:leader="none" w:pos="1342"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shall prepare and send an annual audit plan to Bank on or before March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calendar year the audit is scheduled to take place, which sets forth the proposed scope and schedule of the audit, which scope shall be determined in accordance with Bank’s legal and regulatory obligations and applied to Bank’s other credit sponsorships; and</w:t>
      </w:r>
    </w:p>
    <w:p>
      <w:pPr>
        <w:spacing w:after="0" w:line="193" w:lineRule="exact"/>
        <w:rPr>
          <w:rFonts w:ascii="Times New Roman" w:cs="Times New Roman" w:eastAsia="Times New Roman" w:hAnsi="Times New Roman"/>
          <w:sz w:val="22"/>
          <w:szCs w:val="22"/>
          <w:color w:val="auto"/>
        </w:rPr>
      </w:pPr>
    </w:p>
    <w:p>
      <w:pPr>
        <w:ind w:left="180" w:firstLine="717"/>
        <w:spacing w:after="0" w:line="284" w:lineRule="auto"/>
        <w:tabs>
          <w:tab w:leader="none" w:pos="1319"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engagement letter has been negotiated and executed among the parties and the auditor, but before the audit has officially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120"/>
          </w:cols>
          <w:pgMar w:left="1440" w:top="1422" w:right="339" w:bottom="1440" w:gutter="0" w:footer="0" w:header="0"/>
        </w:sectPr>
      </w:pPr>
    </w:p>
    <w:bookmarkStart w:id="159" w:name="page160"/>
    <w:bookmarkEnd w:id="159"/>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Bank shall, at a minimum, participate in a kick-off call (or multiple calls, if necessary) among Bank, Platform Agent and the auditor, which shall include a thorough discussion and consensus agreement about the exact scope and timeline of the audit.</w:t>
      </w:r>
    </w:p>
    <w:p>
      <w:pPr>
        <w:spacing w:after="0" w:line="186" w:lineRule="exact"/>
        <w:rPr>
          <w:sz w:val="20"/>
          <w:szCs w:val="20"/>
          <w:color w:val="auto"/>
        </w:rPr>
      </w:pPr>
    </w:p>
    <w:p>
      <w:pPr>
        <w:jc w:val="both"/>
        <w:ind w:firstLine="656"/>
        <w:spacing w:after="0" w:line="265" w:lineRule="auto"/>
        <w:tabs>
          <w:tab w:leader="none" w:pos="108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Noncompliance and Remediation</w:t>
      </w:r>
      <w:r>
        <w:rPr>
          <w:rFonts w:ascii="Times New Roman" w:cs="Times New Roman" w:eastAsia="Times New Roman" w:hAnsi="Times New Roman"/>
          <w:sz w:val="21"/>
          <w:szCs w:val="21"/>
          <w:color w:val="auto"/>
        </w:rPr>
        <w:t xml:space="preserve">. Platform Agent agrees that should an investigation or review of Platform Agent or its Third-Party Service Providers reveal material noncompliance with this Agreement, the Program Guidelines or Applicable Laws, Platform Agent shall notify Bank as soon as reasonably practicable but in any event within ten (10) days of notice of the noncompliance. In addition to the indemnification provided for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Platform Agent agrees to take all necessary steps to conform its or its Third-Party Service Providers’ actions to the terms of this Agreement, the Program Guidelines or Applicable Laws, including providing applicable remediation or restitution to affected Borrowers that is required by Applicable Law.</w:t>
      </w:r>
    </w:p>
    <w:p>
      <w:pPr>
        <w:spacing w:after="0" w:line="168"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firstLine="656"/>
        <w:spacing w:after="0"/>
        <w:tabs>
          <w:tab w:leader="none" w:pos="112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Platform Agent shall provide a report to Bank, on a monthly basis not later than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each month and in form and substance reasonably satisfactory to Bank, detailing all Complaints received by Platform Agent or any Third-Party Service Provider. Such report shall include for each Complaint, the name and address of the complaining Borrower or Loan Applicant, a brief summary of the Borrower’s or Loan Applicant’s Complaint, if such Complaint is received from a Regulatory Authority or State Attorney General, if such Complaint was received via the Better Business Bureau, and (i) if resolved, a brief summary of how the Complaint was resolved (ii) if not resolved, an anticipated timeframe for resolution.</w:t>
      </w:r>
    </w:p>
    <w:p>
      <w:pPr>
        <w:spacing w:after="0" w:line="190" w:lineRule="exact"/>
        <w:rPr>
          <w:rFonts w:ascii="Times New Roman" w:cs="Times New Roman" w:eastAsia="Times New Roman" w:hAnsi="Times New Roman"/>
          <w:sz w:val="22"/>
          <w:szCs w:val="22"/>
          <w:color w:val="auto"/>
        </w:rPr>
      </w:pPr>
    </w:p>
    <w:p>
      <w:pPr>
        <w:jc w:val="both"/>
        <w:ind w:firstLine="656"/>
        <w:spacing w:after="0" w:line="251" w:lineRule="auto"/>
        <w:tabs>
          <w:tab w:leader="none" w:pos="112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 Agent’s Program Manager; Monthly Meetings</w:t>
      </w:r>
      <w:r>
        <w:rPr>
          <w:rFonts w:ascii="Times New Roman" w:cs="Times New Roman" w:eastAsia="Times New Roman" w:hAnsi="Times New Roman"/>
          <w:sz w:val="22"/>
          <w:szCs w:val="22"/>
          <w:color w:val="auto"/>
        </w:rPr>
        <w:t xml:space="preserve">. Platform Agent shall designate a Program Manager. On a monthly basis, Platform Agent’s Program Manager and/or designated personnel shall meet with Bank’s Program Manager and/or designated personnel to review the processes and procedures used by Platform Agent to ensure that the Program and this Agreement comply with Applicable Laws. If Platform Agent’s Program Manager and Bank’s Program Manager are unable to reach agreement with respect to any processes or procedures under the Program, then the dispute will be handled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Examinations</w:t>
      </w:r>
      <w:r>
        <w:rPr>
          <w:rFonts w:ascii="Times New Roman" w:cs="Times New Roman" w:eastAsia="Times New Roman" w:hAnsi="Times New Roman"/>
          <w:sz w:val="22"/>
          <w:szCs w:val="22"/>
          <w:color w:val="auto"/>
        </w:rPr>
        <w:t>. Both parties agree to submit to any examination that may be required by a Regulatory Authority having jurisdiction over the other party, during regular business hours and upon reasonable prior notice, and to otherwise reasonably cooperate with the other party in promptly responding to such Regulatory Authority’s examination and requests related to the Program. Platform Agent acknowledges and agrees that upon prior written notice of Bank’s regulatory examinations, it shall ensure sufficient staffing and responsiveness to any requests made by Bank in connection with such regulatory examinations.</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60" w:name="page161"/>
    <w:bookmarkEnd w:id="160"/>
    <w:p>
      <w:pPr>
        <w:jc w:val="both"/>
        <w:ind w:firstLine="656"/>
        <w:spacing w:after="0" w:line="264" w:lineRule="auto"/>
        <w:tabs>
          <w:tab w:leader="none" w:pos="1081"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Anti-Money Laundering Laws; Anti-Corruption Laws; Sanctions</w:t>
      </w:r>
      <w:r>
        <w:rPr>
          <w:rFonts w:ascii="Times New Roman" w:cs="Times New Roman" w:eastAsia="Times New Roman" w:hAnsi="Times New Roman"/>
          <w:sz w:val="21"/>
          <w:szCs w:val="21"/>
          <w:color w:val="auto"/>
        </w:rPr>
        <w:t>. Platform Agent shall comply and shall cause each of its Affiliates and Third-Party Service Providers to comply, in all material respects with all applicable Anti-Money Laundering Laws, Anti-Corruption Laws and Sanctions. Without limiting the generality of the foregoing, Platform Agent shall (i) maintain an anti-money laundering compliance program that is in compliance, in all material respects, with Anti-Money Laundering Laws,</w:t>
      </w:r>
    </w:p>
    <w:p>
      <w:pPr>
        <w:jc w:val="both"/>
        <w:ind w:firstLine="8"/>
        <w:spacing w:after="0" w:line="246" w:lineRule="auto"/>
        <w:tabs>
          <w:tab w:leader="none" w:pos="32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in all material respects, the due diligence required under Anti-Money Laundering Laws and Sanctions in connection with all Loan Applications and Borrowers, including with respect to the applicable Borrower and (iii) maintain sufficient information to identify the applicable Borrower for purposes of compliance, in all material respects, with Anti-Money Laundering Laws and Sanctions. Platform Agent shall provide notice to Bank, within five (5) Business Days of receipt, of any written notice of a violation or action received under any Anti-Money Laundering Law, Anti-Corruption Law or Sanctions involving the Program.</w:t>
      </w:r>
    </w:p>
    <w:p>
      <w:pPr>
        <w:spacing w:after="0" w:line="188" w:lineRule="exact"/>
        <w:rPr>
          <w:rFonts w:ascii="Times New Roman" w:cs="Times New Roman" w:eastAsia="Times New Roman" w:hAnsi="Times New Roman"/>
          <w:sz w:val="22"/>
          <w:szCs w:val="22"/>
          <w:color w:val="auto"/>
        </w:rPr>
      </w:pPr>
    </w:p>
    <w:p>
      <w:pPr>
        <w:jc w:val="both"/>
        <w:ind w:firstLine="656"/>
        <w:spacing w:after="0" w:line="252" w:lineRule="auto"/>
        <w:tabs>
          <w:tab w:leader="none" w:pos="136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Proceedings</w:t>
      </w:r>
      <w:r>
        <w:rPr>
          <w:rFonts w:ascii="Times New Roman" w:cs="Times New Roman" w:eastAsia="Times New Roman" w:hAnsi="Times New Roman"/>
          <w:sz w:val="22"/>
          <w:szCs w:val="22"/>
          <w:color w:val="auto"/>
        </w:rPr>
        <w:t>. Each party shall reasonably cooperate with the other party with respect to any proceedings before any Governmental Authority related to this Agreement, the Loan Sale Agreement, the Servicing Agreement, including related to any Loan and, in connection therewith, permit such other party, at its election, to participate in any such proceedings.</w:t>
      </w:r>
    </w:p>
    <w:p>
      <w:pPr>
        <w:spacing w:after="0" w:line="19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1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Disaster Recovery</w:t>
      </w:r>
      <w:r>
        <w:rPr>
          <w:rFonts w:ascii="Times New Roman" w:cs="Times New Roman" w:eastAsia="Times New Roman" w:hAnsi="Times New Roman"/>
          <w:sz w:val="22"/>
          <w:szCs w:val="22"/>
          <w:color w:val="auto"/>
        </w:rPr>
        <w:t>. Platform Agent shall establish and maintain a disaster recovery plan and business continuity plan, consisting of policies and procedures, as well as ancillary backup capabilities and facilities (“</w:t>
      </w:r>
      <w:r>
        <w:rPr>
          <w:rFonts w:ascii="Times New Roman" w:cs="Times New Roman" w:eastAsia="Times New Roman" w:hAnsi="Times New Roman"/>
          <w:sz w:val="22"/>
          <w:szCs w:val="22"/>
          <w:u w:val="single" w:color="auto"/>
          <w:color w:val="auto"/>
        </w:rPr>
        <w:t>DRP</w:t>
      </w:r>
      <w:r>
        <w:rPr>
          <w:rFonts w:ascii="Times New Roman" w:cs="Times New Roman" w:eastAsia="Times New Roman" w:hAnsi="Times New Roman"/>
          <w:sz w:val="22"/>
          <w:szCs w:val="22"/>
          <w:color w:val="auto"/>
        </w:rPr>
        <w:t>”), that is designed to enable the performance of all Platform Agent’s duties and obligations contemplated under this Agreement and other Program Documents in the event of any natural disaster or other unplanned interruption of services. At the request of Bank, the Platform Agent shall provide a current copy or summary of the DRP. Platform Agent shall not amend the DRP in a manner that knowingly materially increases the risks of disruptions and delays of its services without the consent of the Bank. Reinstating the services contemplated under this Agreement shall receive as high a priority as reinstating the similar services provided to Platform Agent’s affiliates and other customers.</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2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System</w:t>
      </w:r>
      <w:r>
        <w:rPr>
          <w:rFonts w:ascii="Times New Roman" w:cs="Times New Roman" w:eastAsia="Times New Roman" w:hAnsi="Times New Roman"/>
          <w:sz w:val="22"/>
          <w:szCs w:val="22"/>
          <w:color w:val="auto"/>
        </w:rPr>
        <w:t>. Platform Agent shall establish and maintain, at its sole cost and expense, a comprehensive accounting and Loan tracking system to accurately track and report all Loan Applications, Loans and related information regarding the Program to satisfy the requirements of Bank set forth in this Agreement, applicable Regulatory Authorities and Bank’s internal and external auditors. Platform Agent shall cause such system to provide Bank with access to copies of all Loan Applications and Loan Documents, including the information needed for Bank to underwrite and approve Loan Applications pursuant to the Program Guidelines.</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61" w:name="page162"/>
    <w:bookmarkEnd w:id="161"/>
    <w:p>
      <w:pPr>
        <w:jc w:val="both"/>
        <w:ind w:firstLine="656"/>
        <w:spacing w:after="0" w:line="253" w:lineRule="auto"/>
        <w:tabs>
          <w:tab w:leader="none" w:pos="113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Service Providers</w:t>
      </w:r>
      <w:r>
        <w:rPr>
          <w:rFonts w:ascii="Times New Roman" w:cs="Times New Roman" w:eastAsia="Times New Roman" w:hAnsi="Times New Roman"/>
          <w:sz w:val="22"/>
          <w:szCs w:val="22"/>
          <w:color w:val="auto"/>
        </w:rPr>
        <w:t xml:space="preserve">. Platform Agent shall not be permitted to retain, materially modify the scope or role of, or otherwise engage any Third-Party Service Provider that will provide services that are (i) deemed critical by Platform Agent based on Platform Agent’s third-party risk management policy and (ii) material to the Program, without the prior written consent of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Third-Party Service Provider listed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shall be deemed to be approved by Bank as of the Effective Date.</w:t>
      </w:r>
    </w:p>
    <w:p>
      <w:pPr>
        <w:spacing w:after="0" w:line="17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Monitoring Communications</w:t>
      </w:r>
      <w:r>
        <w:rPr>
          <w:rFonts w:ascii="Times New Roman" w:cs="Times New Roman" w:eastAsia="Times New Roman" w:hAnsi="Times New Roman"/>
          <w:sz w:val="21"/>
          <w:szCs w:val="21"/>
          <w:color w:val="auto"/>
        </w:rPr>
        <w:t>. Platform Agent shall maintain records of all communication with Borrowers and Loan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Applicants.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Duties and Responsibilities of Platform Agent on Behalf of Bank</w:t>
      </w:r>
      <w:r>
        <w:rPr>
          <w:rFonts w:ascii="Times New Roman" w:cs="Times New Roman" w:eastAsia="Times New Roman" w:hAnsi="Times New Roman"/>
          <w:sz w:val="22"/>
          <w:szCs w:val="22"/>
          <w:color w:val="auto"/>
        </w:rPr>
        <w:t>. Platform Agent shall perform and discharge the following duties and responsibilities in connection with the services provided on behalf of Bank under this Agreement:</w:t>
      </w:r>
    </w:p>
    <w:p>
      <w:pPr>
        <w:spacing w:after="0" w:line="127" w:lineRule="exact"/>
        <w:rPr>
          <w:sz w:val="20"/>
          <w:szCs w:val="20"/>
          <w:color w:val="auto"/>
        </w:rPr>
      </w:pPr>
    </w:p>
    <w:p>
      <w:pPr>
        <w:jc w:val="both"/>
        <w:ind w:firstLine="656"/>
        <w:spacing w:after="0" w:line="253" w:lineRule="auto"/>
        <w:tabs>
          <w:tab w:leader="none" w:pos="126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Marketing</w:t>
      </w:r>
      <w:r>
        <w:rPr>
          <w:rFonts w:ascii="Times New Roman" w:cs="Times New Roman" w:eastAsia="Times New Roman" w:hAnsi="Times New Roman"/>
          <w:sz w:val="22"/>
          <w:szCs w:val="22"/>
          <w:color w:val="auto"/>
        </w:rPr>
        <w:t xml:space="preserve">. Platform Agent shall only market Loans to persons through the use of the Advertising Materials. Platform Agent’s marketing efforts may include the use of radio, television, internet and print advertising and any other form of media deemed reasonable by Bank and approved by Bank in accordance with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In marketing the Loans, Platform Agent shall at all times and in all material respects comply with Bank’s trademark usage guidelines which may be updated from time to time.</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9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Program Controls and Monitoring Policies</w:t>
      </w:r>
      <w:r>
        <w:rPr>
          <w:rFonts w:ascii="Times New Roman" w:cs="Times New Roman" w:eastAsia="Times New Roman" w:hAnsi="Times New Roman"/>
          <w:sz w:val="22"/>
          <w:szCs w:val="22"/>
          <w:color w:val="auto"/>
        </w:rPr>
        <w:t xml:space="preserve">. Platform Agent shall establish and maintain such controls as may be necessary or desirable to adequately control, monitor and supervise the operation of the Program, including the approval of each Loan thereunder. Platform Agent shall maintain policies and procedures to meet the Program Guidelines for the Program that are acceptable to Bank, including procedures relating to periodic training and on-going monitoring and auditing of Platform Agent to ensure compliance with this Agreement, the Program Guideline, and all Applicable Laws. Platform Agent acknowledges that Bank retains the authority to require Platform Agent to revise its existing policies and procedures, or, as necessary, implement new policies and procedures, relating to any function or activity integral to the Program Guidelines for the Program and all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shall give Platform Agent the notice required by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Origination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7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Processing</w:t>
      </w:r>
      <w:r>
        <w:rPr>
          <w:rFonts w:ascii="Times New Roman" w:cs="Times New Roman" w:eastAsia="Times New Roman" w:hAnsi="Times New Roman"/>
          <w:sz w:val="22"/>
          <w:szCs w:val="22"/>
          <w:color w:val="auto"/>
        </w:rPr>
        <w:t>. Platform Agent shall (A) accept Loan Applications from Loan Applicants, (B) provide reasonable assistance to each Loan Applicant in completing such Loan Application, (C) on behalf of Bank, review all completed Loan Applications for compliance with the Credit Policy and Underwriting Procedures, (D) take appropriate measures to verify the identity of all Loan Applicants consistent with Applicable Laws and the Program Guidelines, (E) take such further steps as it deems reasonably necessary to prevent fraud in connection with the Program and (F) forward completed Loan Applications that meet the Credit Policy and the Underwriting Procedures and Platform Agent’s standards to Bank (or its designated loan processing agent) electronically or by other appropriate means acceptable to Platform Agent and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62" w:name="page163"/>
    <w:bookmarkEnd w:id="162"/>
    <w:p>
      <w:pPr>
        <w:jc w:val="both"/>
        <w:ind w:left="660" w:firstLine="644"/>
        <w:spacing w:after="0" w:line="251" w:lineRule="auto"/>
        <w:tabs>
          <w:tab w:leader="none" w:pos="1815"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xml:space="preserve">. All approvals shall be made in accordance with the Underwriting Procedures and shall be based upon the information provided in the related Loan Application and such other information as Platform Agent obtains at the direction of Bank. Bank shall have the exclusive authority to approve or deny any or all Loan Applications in its sole discretion and any Loan Application shall be deemed not approved by Bank to the extent it does not comply with the Program Guidelines;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absent the Bank’s specific decline of a Loan Application, such Loan Application shall be deemed approved.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0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Declines</w:t>
      </w:r>
      <w:r>
        <w:rPr>
          <w:rFonts w:ascii="Times New Roman" w:cs="Times New Roman" w:eastAsia="Times New Roman" w:hAnsi="Times New Roman"/>
          <w:sz w:val="22"/>
          <w:szCs w:val="22"/>
          <w:color w:val="auto"/>
        </w:rPr>
        <w:t>. Bank shall provide notice to Platform Agent of all declined Loan Applications on a daily basis. On behalf of Bank, Platform Agent shall provide notices in accordance with Applicable Law, including any adverse action notices, to the Loan Applicant if the related Loan Application is rejected by Bank.</w:t>
      </w:r>
    </w:p>
    <w:p>
      <w:pPr>
        <w:spacing w:after="0" w:line="167" w:lineRule="exact"/>
        <w:rPr>
          <w:rFonts w:ascii="Times New Roman" w:cs="Times New Roman" w:eastAsia="Times New Roman" w:hAnsi="Times New Roman"/>
          <w:sz w:val="22"/>
          <w:szCs w:val="22"/>
          <w:color w:val="auto"/>
        </w:rPr>
      </w:pPr>
    </w:p>
    <w:p>
      <w:pPr>
        <w:jc w:val="both"/>
        <w:ind w:firstLine="656"/>
        <w:spacing w:after="0"/>
        <w:tabs>
          <w:tab w:leader="none" w:pos="123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FCRA</w:t>
      </w:r>
      <w:r>
        <w:rPr>
          <w:rFonts w:ascii="Times New Roman" w:cs="Times New Roman" w:eastAsia="Times New Roman" w:hAnsi="Times New Roman"/>
          <w:sz w:val="22"/>
          <w:szCs w:val="22"/>
          <w:color w:val="auto"/>
        </w:rPr>
        <w:t>. Platform Agent may furnish, in accordance with FCRA, as well as Platform Agent’s own policies and practices, information (e.g., favorable and unfavorable) on its Loan Applicant credit files to TransUnion, Experian or Equifax. For purposes of FCRA, the Platform Agent and not Bank, shall be the “furnisher.” Platform Agent shall be responsible for receiving and responding timely to Complaints (as they pertain to Loans), and forwarding copies of each Complaint and any response thereto to Bank. Platform Agent shall maintain Complaint resolution policies and procedures, and shall further include information summarizing the Complaints and responses thereto for the given time period in each FCRA report by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month, along with sufficient information for Bank to analyze Program activity relating to the Loans. As part of the FCRA report, Platform Agent shall provide Bank information with respect to the number of Loan Applications rejected as a percentage of both total Loan Applications received and total Loan Applications accepted, as well as any additional information reasonably requested by Bank for its fair lending review and analysis.</w:t>
      </w:r>
    </w:p>
    <w:p>
      <w:pPr>
        <w:spacing w:after="0" w:line="20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3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Document Submission</w:t>
      </w:r>
      <w:r>
        <w:rPr>
          <w:rFonts w:ascii="Times New Roman" w:cs="Times New Roman" w:eastAsia="Times New Roman" w:hAnsi="Times New Roman"/>
          <w:sz w:val="22"/>
          <w:szCs w:val="22"/>
          <w:color w:val="auto"/>
        </w:rPr>
        <w:t xml:space="preserve">. Platform Agent shall be responsible for preparing and transmitting to each Loan Applicant all documents and all notices required by Bank to originate the Loan, including the Loan Account Agreement. Prior to submitting any Loan to Bank pursuant to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Platform Agent shall, on behalf of Bank, (i) obtain from the Borrower the executed Loan Account Agreement and (ii) deliver a copy of Bank’s privacy notice to the related Borrower.</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 Retention</w:t>
      </w:r>
      <w:r>
        <w:rPr>
          <w:rFonts w:ascii="Times New Roman" w:cs="Times New Roman" w:eastAsia="Times New Roman" w:hAnsi="Times New Roman"/>
          <w:sz w:val="22"/>
          <w:szCs w:val="22"/>
          <w:color w:val="auto"/>
        </w:rPr>
        <w:t>. Platform Agent shall maintain and retain on behalf of Bank all Loan Applications and copies of all adverse action notices and other documents relating to rejected Loan Applications for the period required by Applicable Laws. Platform Agent shall further maintain copies of all Loan Documents and any other documents provided to or received from Borrowers for the period required by Applicable Laws.</w:t>
      </w:r>
    </w:p>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Duties and Responsibilities of Bank</w:t>
      </w:r>
      <w:r>
        <w:rPr>
          <w:rFonts w:ascii="Times New Roman" w:cs="Times New Roman" w:eastAsia="Times New Roman" w:hAnsi="Times New Roman"/>
          <w:sz w:val="22"/>
          <w:szCs w:val="22"/>
          <w:color w:val="auto"/>
        </w:rPr>
        <w:t>. Bank shall perform and discharge the following duties and responsibilities in connection with the Program:</w:t>
      </w:r>
    </w:p>
    <w:p>
      <w:pPr>
        <w:spacing w:after="0" w:line="131" w:lineRule="exact"/>
        <w:rPr>
          <w:sz w:val="20"/>
          <w:szCs w:val="20"/>
          <w:color w:val="auto"/>
        </w:rPr>
      </w:pPr>
    </w:p>
    <w:p>
      <w:pPr>
        <w:ind w:firstLine="656"/>
        <w:spacing w:after="0" w:line="271" w:lineRule="auto"/>
        <w:tabs>
          <w:tab w:leader="none" w:pos="112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comply with any reporting requirements of the Missouri Division of Finance and the FDIC applicable to Bank’s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63" w:name="page164"/>
    <w:bookmarkEnd w:id="163"/>
    <w:p>
      <w:pPr>
        <w:jc w:val="both"/>
        <w:ind w:firstLine="656"/>
        <w:spacing w:after="0" w:line="257" w:lineRule="auto"/>
        <w:tabs>
          <w:tab w:leader="none" w:pos="11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 may modify the Program Guidelines from time to time in its reasonable discretion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Bank shall have the right to make an exception to its Credit Policy with respect to any particular transaction, in its sole discretion, provided that Bank shall expressly communicate such exception, and the reasoning therefor, to Platform Agent.</w:t>
      </w:r>
    </w:p>
    <w:p>
      <w:pPr>
        <w:spacing w:after="0" w:line="186" w:lineRule="exact"/>
        <w:rPr>
          <w:rFonts w:ascii="Times New Roman" w:cs="Times New Roman" w:eastAsia="Times New Roman" w:hAnsi="Times New Roman"/>
          <w:sz w:val="22"/>
          <w:szCs w:val="22"/>
          <w:color w:val="auto"/>
        </w:rPr>
      </w:pPr>
    </w:p>
    <w:p>
      <w:pPr>
        <w:jc w:val="both"/>
        <w:ind w:firstLine="656"/>
        <w:spacing w:after="0" w:line="265" w:lineRule="auto"/>
        <w:tabs>
          <w:tab w:leader="none" w:pos="114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Bank shall establish and maintain such controls as may be reasonably necessary to adequately control, monitor and supervise the operation of the Program, including the approval of each Loan. Bank shall be solely responsible for the cost of such activities. All Loan Application processing functions performed by Platform Agent hereunder shall be supervised by Bank and Bank shall review and audit Loan Applications to determine compliance with the Program Guidelines;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neither Bank’s failure to establish and maintain any such controls nor the inadequacy of any Bank’s controls shall relieve Platform Agent of its obligations to establish and maintain its own such controls or to comply with the Program Guidelines and Applicable Laws.</w:t>
      </w:r>
    </w:p>
    <w:p>
      <w:pPr>
        <w:spacing w:after="0" w:line="168" w:lineRule="exact"/>
        <w:rPr>
          <w:rFonts w:ascii="Times New Roman" w:cs="Times New Roman" w:eastAsia="Times New Roman" w:hAnsi="Times New Roman"/>
          <w:sz w:val="21"/>
          <w:szCs w:val="21"/>
          <w:color w:val="auto"/>
        </w:rPr>
      </w:pPr>
    </w:p>
    <w:p>
      <w:pPr>
        <w:ind w:firstLine="656"/>
        <w:spacing w:after="0" w:line="271" w:lineRule="auto"/>
        <w:tabs>
          <w:tab w:leader="none" w:pos="118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manage the Program in good faith, employing at least the same degree of care, skill and attention that Bank devotes to the management of its other assets.</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fund all Loans in the manner set out in the Program Guidelines, and from its own account using any source allowable by banking regulation, including a combination of its own capital, reserves, retained earnings, deposits, and credit facilities. Funds shall not be provided by Platform Agent to Bank for the express purpose of funding the origination of Loans.</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4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Consistent with </w:t>
      </w:r>
      <w:r>
        <w:rPr>
          <w:rFonts w:ascii="Times New Roman" w:cs="Times New Roman" w:eastAsia="Times New Roman" w:hAnsi="Times New Roman"/>
          <w:sz w:val="22"/>
          <w:szCs w:val="22"/>
          <w:u w:val="single" w:color="auto"/>
          <w:color w:val="auto"/>
        </w:rPr>
        <w:t>Section 3.2(d)</w:t>
      </w:r>
      <w:r>
        <w:rPr>
          <w:rFonts w:ascii="Times New Roman" w:cs="Times New Roman" w:eastAsia="Times New Roman" w:hAnsi="Times New Roman"/>
          <w:sz w:val="22"/>
          <w:szCs w:val="22"/>
          <w:color w:val="auto"/>
        </w:rPr>
        <w:t>, to the extent that Bank accepts valid service of Legal Process, Bank shall receive, track, process, and respond with information and data in its possession, custody, and control. For the avoidance of doubt, Bank will not seek information and data involving the Loan(s) from other parties, including Platform Agent, and will instead respond that the requested information and data, if any, resides with Platform Agent, which may be served at its agent for service of process at CT Corporation System, 330 N Brand Blvd. Glendale, CA 91203.</w:t>
      </w:r>
    </w:p>
    <w:p>
      <w:pPr>
        <w:spacing w:after="0" w:line="17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Conditions Precedent to the Obligations of Bank</w:t>
      </w:r>
      <w:r>
        <w:rPr>
          <w:rFonts w:ascii="Times New Roman" w:cs="Times New Roman" w:eastAsia="Times New Roman" w:hAnsi="Times New Roman"/>
          <w:sz w:val="22"/>
          <w:szCs w:val="22"/>
          <w:color w:val="auto"/>
        </w:rPr>
        <w:t xml:space="preserve">. The obligations of Bank in this Agreement are subject to the satisfaction of the following conditions precedent on or prior to Bank’s funding of a Loan pursuant to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ind w:firstLine="656"/>
        <w:spacing w:after="0" w:line="284" w:lineRule="auto"/>
        <w:tabs>
          <w:tab w:leader="none" w:pos="123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shall be sourced by the Platform Agent under the Program and meet the standards set forth in the Program Terms and the Program Guidelines then in effect;</w:t>
      </w:r>
    </w:p>
    <w:p>
      <w:pPr>
        <w:spacing w:after="0" w:line="103" w:lineRule="exact"/>
        <w:rPr>
          <w:rFonts w:ascii="Times New Roman" w:cs="Times New Roman" w:eastAsia="Times New Roman" w:hAnsi="Times New Roman"/>
          <w:sz w:val="22"/>
          <w:szCs w:val="22"/>
          <w:color w:val="auto"/>
        </w:rPr>
      </w:pPr>
    </w:p>
    <w:p>
      <w:pPr>
        <w:jc w:val="both"/>
        <w:ind w:firstLine="656"/>
        <w:spacing w:after="0" w:line="263" w:lineRule="auto"/>
        <w:tabs>
          <w:tab w:leader="none" w:pos="12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 or proceeding shall have been instituted or threatened by any Regulatory Authority against Platform Agent or Bank to prevent or restrain the consummation of the origination or other transactions contemplated hereby and there shall be no injunction, decree, or similar restraint preventing or restraining such consummation;</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Platform Agent set forth in this Agreement and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the Loan Sale Agreement to be performed on or before each date that a Loan is funded shall have been performed in all material respects as of such date by Platform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64" w:name="page165"/>
    <w:bookmarkEnd w:id="164"/>
    <w:p>
      <w:pPr>
        <w:ind w:left="1120" w:hanging="464"/>
        <w:spacing w:after="0"/>
        <w:tabs>
          <w:tab w:leader="none" w:pos="11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other Program Document to which Platform Agent and Bank are parties shall be in full force and effect.</w:t>
      </w:r>
    </w:p>
    <w:p>
      <w:pPr>
        <w:spacing w:after="0" w:line="219" w:lineRule="exact"/>
        <w:rPr>
          <w:rFonts w:ascii="Times New Roman" w:cs="Times New Roman" w:eastAsia="Times New Roman" w:hAnsi="Times New Roman"/>
          <w:sz w:val="22"/>
          <w:szCs w:val="22"/>
          <w:color w:val="auto"/>
        </w:rPr>
      </w:pPr>
    </w:p>
    <w:p>
      <w:pPr>
        <w:ind w:left="50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TRADE NAMES, ADVERTISING AND PROGRAM MATERIALS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Trade Names and Trademarks</w:t>
      </w:r>
      <w:r>
        <w:rPr>
          <w:rFonts w:ascii="Times New Roman" w:cs="Times New Roman" w:eastAsia="Times New Roman" w:hAnsi="Times New Roman"/>
          <w:sz w:val="22"/>
          <w:szCs w:val="22"/>
          <w:color w:val="auto"/>
        </w:rPr>
        <w:t xml:space="preserve">. Platform Agent shall have no authority to use any Marks of Bank except as explicitly permitted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as otherwise permitted in writing by Bank. Bank acknowledges that approved Program Materials or Advertising Materials may contain Marks of Platform Agent, and Bank shall have no authority to use any Marks of Platform Agent separate and apart from their use in the Program Materials or Advertising Materials or as otherwise approved hereunder or in writing by Platform Agent. The parties shall use Program Materials and Advertising Materials only for the purpose of implementing the provisions of this Agreement and shall not use Program Materials or Advertising Materials in any manner that would violate Applicable Laws, the terms of this Agreement or operating the Program or any provision of the Program Guidelines.</w:t>
      </w:r>
    </w:p>
    <w:p>
      <w:pPr>
        <w:spacing w:after="0" w:line="14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Advertising and Program Materials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656"/>
        <w:spacing w:after="0" w:line="252" w:lineRule="auto"/>
        <w:tabs>
          <w:tab w:leader="none" w:pos="125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Platform Agent shall prepare Advertising Materials and Program Materials to be used in connection with the Program and shall ensure that such materials (i) comply, at all times, with Applicable Laws, the terms of this Agreement,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 xml:space="preserve"> and the Program Guidelines, (ii) are true and accurate and not misleading in any material respect and (iii) are approved and authorized by Bank prior to use (which approval may have been given prior to the date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least five (5) Business Days prior to the first use of any Marks of Bank, Platform Agent shall provide to Bank all Advertising Materials and all Program Materials proposed to be used by Platform Agent in connection with the Program in order to enable Bank to complete an initial review and to approve or reject any such materials. Bank shall review and shall promptly (and in no event, later than thirty (30) Business Days following receipt thereof) approve or reject any such Advertising Materials or Program Materials (which approval shall not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Advertising Materials and Program Materials shall be considered approved and authorized by Bank only upon approval and authorization clearly communicated by Bank in writing, which may be by email or other written medium. In the event that Bank does not accept and authorize such materials, Platform Agent shall not use any such materials in connection with the Program and Bank shall provide Platform Agent the reason for such denial. Platform Agent hereby agrees that any approval by Bank of any Advertising Materials and Program Materials shall not relieve Platform Agent of its primary responsibility for the preparation and maintenance of Advertising Materials and Program Materials in accordance with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firstLine="656"/>
        <w:spacing w:after="0" w:line="271" w:lineRule="auto"/>
        <w:tabs>
          <w:tab w:leader="none" w:pos="125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may at any time retract or modify any approval previously given by it with respect to any Advertising Materials or Program Materials if Bank reasonably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65" w:name="page166"/>
    <w:bookmarkEnd w:id="165"/>
    <w:p>
      <w:pPr>
        <w:spacing w:after="0" w:line="271" w:lineRule="auto"/>
        <w:rPr>
          <w:sz w:val="20"/>
          <w:szCs w:val="20"/>
          <w:color w:val="auto"/>
        </w:rPr>
      </w:pPr>
      <w:r>
        <w:rPr>
          <w:rFonts w:ascii="Times New Roman" w:cs="Times New Roman" w:eastAsia="Times New Roman" w:hAnsi="Times New Roman"/>
          <w:sz w:val="22"/>
          <w:szCs w:val="22"/>
          <w:color w:val="auto"/>
        </w:rPr>
        <w:t>such action is required to remain in compliance with Applicable Laws or for the safe and sound operation of the Program, or to preserve or protect the Marks of the Bank.</w:t>
      </w:r>
    </w:p>
    <w:p>
      <w:pPr>
        <w:spacing w:after="0" w:line="158" w:lineRule="exact"/>
        <w:rPr>
          <w:sz w:val="20"/>
          <w:szCs w:val="20"/>
          <w:color w:val="auto"/>
        </w:rPr>
      </w:pPr>
    </w:p>
    <w:p>
      <w:pPr>
        <w:jc w:val="both"/>
        <w:ind w:firstLine="656"/>
        <w:spacing w:after="0" w:line="253" w:lineRule="auto"/>
        <w:tabs>
          <w:tab w:leader="none" w:pos="116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prior written approval of Platform Agent and subject to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Platform Agent (i) may use such Advertising Materials and Program Materials in connection with the Program and (ii) shall comply with all instructions from Bank (including any restrictions or prohibitions) as to the use of the Bank's Marks with any other Marks. In the event that the Platform Agent desires to make a substantive change in the Advertising Materials or Program Materials, Platform Agent shall submit such materials to Bank for review and approval in accordance with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7"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of this Agreement, Bank hereby grants Platform Agent a non-exclusive, non-assignable license without the right to sublicense, to use and reproduce Bank’s Marks in the United States, as necessary to perform its obligations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Platform Agent shall obtain Bank’s prior written approval, which may be by email, for the use of Bank’s Marks and such use shall at all times comply with all written instructions provided by Bank regarding the use of Bank’s Marks; (b) Platform Agent acknowledges that it shall acquire no interest in Bank’s Marks; and (c) Platform Agent shall obtain Bank’s prior written approval for the release of any press release incorporating the name, Marks or likeness of Bank. Upon termination of this Agreement, Platform Agent shall cease using Bank’s Marks.</w:t>
      </w:r>
    </w:p>
    <w:p>
      <w:pPr>
        <w:spacing w:after="0" w:line="186" w:lineRule="exact"/>
        <w:rPr>
          <w:rFonts w:ascii="Times New Roman" w:cs="Times New Roman" w:eastAsia="Times New Roman" w:hAnsi="Times New Roman"/>
          <w:sz w:val="21"/>
          <w:szCs w:val="21"/>
          <w:color w:val="auto"/>
        </w:rPr>
      </w:pPr>
    </w:p>
    <w:p>
      <w:pPr>
        <w:jc w:val="both"/>
        <w:ind w:firstLine="656"/>
        <w:spacing w:after="0" w:line="252" w:lineRule="auto"/>
        <w:tabs>
          <w:tab w:leader="none" w:pos="110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recognizes the value of the goodwill associated with the Bank's Marks and acknowledges that Bank exclusively owns all right, title and interest in and to the Bank's Marks and all goodwill pertaining thereto. Platform Agent acknowledges and agrees that any and all of its use of the Bank's Marks shall be on behalf of and accrue and inure solely to the benefit of Bank.</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shall not, anywhere in the world, use or seek to register in its own name, or that of any third party, any Marks that are the Bank's Marks, that are colorably or confusingly similar to the Bank's Marks, or that incorporate the Bank's Marks or any element colorably or confusingly similar to the Bank's Marks.</w:t>
      </w:r>
    </w:p>
    <w:p>
      <w:pPr>
        <w:spacing w:after="0" w:line="167"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52" w:lineRule="auto"/>
        <w:tabs>
          <w:tab w:leader="none" w:pos="123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shall retain sole and exclusive right, title and interest to all of its Intellectual Property Rights, including its Marks, its websites, the Platform Agent Platform, the Platform Agent technology related thereto, and Platform Agent’s proprietary information. Bank shall retain sole and exclusive right, title and interest in and to all of Bank’s Intellectual Property Rights, including its Marks, websites, promotional materials, proprietary information and technology. Platform Agent shall retain the sole and exclusive right and license to use, reproduce and create derivatives of the Credit Model Policy and Bank may only use the Credit Model Policy in connection with the Program. This Agreement does not transfer any Intellectual Property Rights from Platform Agent to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66" w:name="page167"/>
    <w:bookmarkEnd w:id="166"/>
    <w:p>
      <w:pPr>
        <w:jc w:val="both"/>
        <w:ind w:firstLine="656"/>
        <w:spacing w:after="0" w:line="257" w:lineRule="auto"/>
        <w:tabs>
          <w:tab w:leader="none" w:pos="117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shall retain sole and exclusive right, title, and interest to all of its Intellectual Property Rights, its Marks, its website(s), including all aspects of the website(s)’ content, and the services and processes performed by Bank under the Program. This Agreement does not transfer any Intellectual Property Rights from Bank to Platform Agent.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LOAN ORIGINATION AND COMPENSATION</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Loan Origination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63" w:lineRule="auto"/>
        <w:tabs>
          <w:tab w:leader="none" w:pos="115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(i) each day on which Platform Agent receives a Loan Application from a Loan Applicant that Platform Agent determines satisfies the eligibility criteria set forth in the Program Guidelines, and (ii) each Business Day on which any Loan is sold by Bank to Purchaser pursuant to the Loan Sale Agreement, Platform Agent shall provide to Bank a Funding Statement.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75" w:lineRule="auto"/>
        <w:tabs>
          <w:tab w:leader="none" w:pos="1126"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Funding Date, Bank shall (1) confirm that each Loan listed on the related Funding Statement complies with the Program Guidelines, (2) originate each such Loan, (3) deliver to Platform Agent a Loan Origination Report related to such Funding Date and (4) by the close of business on such Funding Date, distribute via ACH transfer or wire the following amounts:</w:t>
      </w:r>
    </w:p>
    <w:p>
      <w:pPr>
        <w:spacing w:after="0" w:line="168" w:lineRule="exact"/>
        <w:rPr>
          <w:rFonts w:ascii="Times New Roman" w:cs="Times New Roman" w:eastAsia="Times New Roman" w:hAnsi="Times New Roman"/>
          <w:sz w:val="21"/>
          <w:szCs w:val="21"/>
          <w:color w:val="auto"/>
        </w:rPr>
      </w:pPr>
    </w:p>
    <w:p>
      <w:pPr>
        <w:ind w:left="660" w:firstLine="644"/>
        <w:spacing w:after="0" w:line="271" w:lineRule="auto"/>
        <w:tabs>
          <w:tab w:leader="none" w:pos="174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related Merchant on behalf of the related Borrower, an amount equal to the Disbursed Proceeds for the applicable Loan;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4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Platform Agent, an amount equal to the applicable Platform Agent Facilitation Fee;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mutual agreement by the parties, the Platform Agent Facilitation Fee may be distributed on a different cadence.</w:t>
      </w:r>
    </w:p>
    <w:p>
      <w:pPr>
        <w:spacing w:after="0" w:line="158"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ind w:firstLine="656"/>
        <w:spacing w:after="0" w:line="259" w:lineRule="auto"/>
        <w:tabs>
          <w:tab w:leader="none" w:pos="122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fifteen (15) days after the end of the related calendar month (or if such day is not a Business Day, the following Business Day), [***].</w:t>
      </w:r>
    </w:p>
    <w:p>
      <w:pPr>
        <w:spacing w:after="0" w:line="170" w:lineRule="exact"/>
        <w:rPr>
          <w:rFonts w:ascii="Times New Roman" w:cs="Times New Roman" w:eastAsia="Times New Roman" w:hAnsi="Times New Roman"/>
          <w:sz w:val="22"/>
          <w:szCs w:val="22"/>
          <w:color w:val="auto"/>
        </w:rPr>
      </w:pPr>
    </w:p>
    <w:p>
      <w:pPr>
        <w:ind w:firstLine="656"/>
        <w:spacing w:after="0" w:line="271" w:lineRule="auto"/>
        <w:tabs>
          <w:tab w:leader="none" w:pos="121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receipt of an invoice from Bank (or if such day is not a Business Day, the following Business Day), [***].</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EXPENSES</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84" w:lineRule="auto"/>
        <w:tabs>
          <w:tab w:leader="none" w:pos="12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shall pay all reasonable and documented third-party costs and expenses of Bank incurred in connection with any event with respect to which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Agent requests Bank enter into an amendment, modification or waiver of any provision of this Agreement or the Program Documents or enter into another agreement with Platform Agent or a third party with respect to the Program (including reasonable legal fees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shall be responsible for any expenses incurred by it as a result of any amendment, modification or waiver of any provision of this Agreement requested by Bank or at the request of a Regulatory Authority; it being understood that each of Platform Agent and Bank shall be responsible for any expenses incurred by it as a result of the execution of this Agreement and the Loan Sale Agreement.</w:t>
      </w:r>
    </w:p>
    <w:p>
      <w:pPr>
        <w:spacing w:after="0" w:line="181" w:lineRule="exact"/>
        <w:rPr>
          <w:sz w:val="20"/>
          <w:szCs w:val="20"/>
          <w:color w:val="auto"/>
        </w:rPr>
      </w:pPr>
    </w:p>
    <w:p>
      <w:pPr>
        <w:ind w:firstLine="656"/>
        <w:spacing w:after="0" w:line="271" w:lineRule="auto"/>
        <w:tabs>
          <w:tab w:leader="none" w:pos="117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herein, each of Platform Agent and Bank shall bear the costs and expenses of performing their respective obligations and duties under this Agreement.</w:t>
      </w:r>
    </w:p>
    <w:p>
      <w:pPr>
        <w:spacing w:after="0" w:line="171" w:lineRule="exact"/>
        <w:rPr>
          <w:sz w:val="20"/>
          <w:szCs w:val="20"/>
          <w:color w:val="auto"/>
        </w:rPr>
      </w:pPr>
    </w:p>
    <w:p>
      <w:pPr>
        <w:jc w:val="both"/>
        <w:ind w:left="80" w:firstLine="567"/>
        <w:spacing w:after="0" w:line="254"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Wire Costs</w:t>
      </w:r>
      <w:r>
        <w:rPr>
          <w:rFonts w:ascii="Times New Roman" w:cs="Times New Roman" w:eastAsia="Times New Roman" w:hAnsi="Times New Roman"/>
          <w:sz w:val="22"/>
          <w:szCs w:val="22"/>
          <w:color w:val="auto"/>
        </w:rPr>
        <w:t xml:space="preserve">. Without limiting the generality of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Bank may request reimbursement in the amount of [***] expressly requested by Platform Agent.</w:t>
      </w:r>
    </w:p>
    <w:p>
      <w:pPr>
        <w:spacing w:after="0" w:line="2" w:lineRule="exact"/>
        <w:rPr>
          <w:sz w:val="20"/>
          <w:szCs w:val="20"/>
          <w:color w:val="auto"/>
        </w:rPr>
      </w:pPr>
    </w:p>
    <w:p>
      <w:pPr>
        <w:jc w:val="both"/>
        <w:ind w:left="80" w:firstLine="567"/>
        <w:spacing w:after="0" w:line="247"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party shall be responsible for the payment of any federal, state or local taxes or assessments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applicable to such party associated with the performance of its obligations under this Agreement and for compliance with all filing, registration and other requirements applicable to such party related to this Agreement. For the avoidance of doubt, Bank shall be responsible for all Taxes, and any associated tax reporting, imposed on or resulting from the period that Bank owns any Loan.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xml:space="preserve">. Unless terminated earlier in accordance with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this Agreement shall remain in effect for the Initial Term, and shall automatically renew for successive terms of one (1) year, (each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collectively, the Initial Term and Renewal Term(s) shall be referred to as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unless either party provides notice to the other party of its intent not to renew at least ninety (90) days prior to the end of the Initial Term or Renewal Term.</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w:t>
      </w:r>
    </w:p>
    <w:p>
      <w:pPr>
        <w:spacing w:after="0" w:line="22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firstLine="656"/>
        <w:spacing w:after="0" w:line="271" w:lineRule="auto"/>
        <w:tabs>
          <w:tab w:leader="none" w:pos="115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shall have the right to terminate this Agreement immediately upon written notice to the other party in any of the following circumstances (each a “</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3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party shall default in any material respect in the performance of any obligation or undertaking under this Agreement or the Loan Sale Agreement and such default is not cured within thirty (30) days after written notice thereof has been given to such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68" w:name="page169"/>
    <w:bookmarkEnd w:id="168"/>
    <w:p>
      <w:pPr>
        <w:jc w:val="both"/>
        <w:ind w:left="660" w:firstLine="644"/>
        <w:spacing w:after="0" w:line="257" w:lineRule="auto"/>
        <w:tabs>
          <w:tab w:leader="none" w:pos="1865"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other party in this Agreement or the Loan Sale Agreement is incorrect in any material respect and is not corrected within thirty (30) days after written notice thereof has been given to such other party;</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43"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party commences a voluntary action or other proceeding seeking reorganization, liquidation or other relief with respect to itself or its debts under any bankruptcy, insolvency, receivership, conservatorship or other similar law now or hereafter in effect or seeking the appointment of a trustee, receiver, liquidator, conservator, custodian or other similar official of it or any substantial part of its property, or shall consent to any such relief or to the appointment of a trustee, receiver, liquidator, conservator, custodian or other similar official or to any involuntary action or other proceeding commenced against it; or</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87"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party becomes subject to an involuntary action or other proceeding, whether pursuant to banking regulations or otherwise, seeking reorganization, liquidation or other relief with respect to it or its debts under any bankruptcy, insolvency, receivership, conservatorship or other similar law now or hereafter in effect or seeking the appointment of a trustee, receiver, liquidator, conservator, custodian or other similar official of it or any substantial part of its property; or an order for relief shall be entered against either party under the federal bankruptcy laws as now or hereafter in effect.</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party shall have the right to terminate this Agreement (i) upon written notice to the other party if the activities of either party under this Agreement or the Program (A) violate Applicable Laws in any material respects, and (B) such activities cannot be remedied without causing a Material Adverse Effect on the other party or the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if the illegality or prohibition is of a state or local rule, the parties shall only discontinue the Program in those states or localities affected by such Applicable Laws without terminating this Agreement in its entirety for such reason; (ii) upon written notice to the other party if such party reasonably determines in good faith that the continued activities of the parties under this Agreement would affect the continued viability and existence of such party; (iii) if Bank determines in its reasonable discretion that the continuing operation of the Program will, in the case of Bank, materially and adversely affect the safety and soundness of Bank; or (iv) at the request of a Regulatory Authority.</w:t>
      </w:r>
    </w:p>
    <w:p>
      <w:pPr>
        <w:spacing w:after="0" w:line="198" w:lineRule="exact"/>
        <w:rPr>
          <w:rFonts w:ascii="Times New Roman" w:cs="Times New Roman" w:eastAsia="Times New Roman" w:hAnsi="Times New Roman"/>
          <w:sz w:val="22"/>
          <w:szCs w:val="22"/>
          <w:color w:val="auto"/>
        </w:rPr>
      </w:pPr>
    </w:p>
    <w:p>
      <w:pPr>
        <w:ind w:firstLine="656"/>
        <w:spacing w:after="0" w:line="271" w:lineRule="auto"/>
        <w:tabs>
          <w:tab w:leader="none" w:pos="114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automatically be terminated upon the termination of the Loan Sale Agreement in accordance with its terms.</w:t>
      </w:r>
    </w:p>
    <w:p>
      <w:pPr>
        <w:spacing w:after="0" w:line="157" w:lineRule="exact"/>
        <w:rPr>
          <w:rFonts w:ascii="Times New Roman" w:cs="Times New Roman" w:eastAsia="Times New Roman" w:hAnsi="Times New Roman"/>
          <w:sz w:val="22"/>
          <w:szCs w:val="22"/>
          <w:color w:val="auto"/>
        </w:rPr>
      </w:pPr>
    </w:p>
    <w:p>
      <w:pPr>
        <w:jc w:val="both"/>
        <w:ind w:firstLine="656"/>
        <w:spacing w:after="0" w:line="265" w:lineRule="auto"/>
        <w:tabs>
          <w:tab w:leader="none" w:pos="1172"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any other rights or remedies available to the Platform Agent under this Agreement or by law, either party shall have the right to terminate this Agreement upon five (5) days’ written notice to the other if (i) the other party is materially unable to perform its obligations in connection with the Program, (ii) a Material Adverse Effect has occurred with respect to the other party or (iii) a Change of Control occurs with respect to the other party that the terminating party determines in its reasonable discretion will have a Material Adverse Effect with respect to Bank, Platform Agent or the Loans. For the avoidance of doubt, a termination pursuant to this </w:t>
      </w:r>
      <w:r>
        <w:rPr>
          <w:rFonts w:ascii="Times New Roman" w:cs="Times New Roman" w:eastAsia="Times New Roman" w:hAnsi="Times New Roman"/>
          <w:sz w:val="21"/>
          <w:szCs w:val="21"/>
          <w:u w:val="single" w:color="auto"/>
          <w:color w:val="auto"/>
        </w:rPr>
        <w:t>Section 8.1(d)</w:t>
      </w:r>
      <w:r>
        <w:rPr>
          <w:rFonts w:ascii="Times New Roman" w:cs="Times New Roman" w:eastAsia="Times New Roman" w:hAnsi="Times New Roman"/>
          <w:sz w:val="21"/>
          <w:szCs w:val="21"/>
          <w:color w:val="auto"/>
        </w:rPr>
        <w:t xml:space="preserve"> by Platform Agent shall not be subject to any termination fees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penalties that would otherwise be payable by Platform Agent to the Bank under this Agreement or under the Program Terms.</w:t>
      </w:r>
    </w:p>
    <w:p>
      <w:pPr>
        <w:spacing w:after="0" w:line="220" w:lineRule="exact"/>
        <w:rPr>
          <w:sz w:val="20"/>
          <w:szCs w:val="20"/>
          <w:color w:val="auto"/>
        </w:rPr>
      </w:pPr>
    </w:p>
    <w:p>
      <w:pPr>
        <w:jc w:val="both"/>
        <w:ind w:firstLine="656"/>
        <w:spacing w:after="0" w:line="256" w:lineRule="auto"/>
        <w:tabs>
          <w:tab w:leader="none" w:pos="1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and agree that any failure by Platform Agent to pay amounts when due that is not cured within two (2) Business Days shall not be a separate Termination Event but shall allow Bank to cease all new Program originations unless and until such payment failure has been cured. Additionally, if such failure occurs more than three (3) times in any calendar month, Bank shall only be required to re-commence originations in its sole discretion.</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Upon the termination of this Agreement, (a) Bank shall cease originating any new Loans, (b) Platform Agent shall cease marketing the Program and soliciting new Borrowers under the Program, (c) each party shall immediately discontinue the use of the other party’s Marks, and (d) all amounts due and owing hereunder shall become due and payable, including any amounts due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Loan Performance Fees shall continue to be payable by Platform Agent as described in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 Notwithstanding the termination hereof, to the extent that any terms set forth in this Agreement are applicable to the servicing of the Loans, such terms shall survive the termination of this Agreement and shall remain in effect until such time as each Loan is paid in full by the related Borrower or charged off by Platform Agent or Bank.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WARRANTIES AND COVENANTS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Platform Agent’s Representations and Warranties</w:t>
      </w:r>
      <w:r>
        <w:rPr>
          <w:rFonts w:ascii="Times New Roman" w:cs="Times New Roman" w:eastAsia="Times New Roman" w:hAnsi="Times New Roman"/>
          <w:sz w:val="22"/>
          <w:szCs w:val="22"/>
          <w:color w:val="auto"/>
        </w:rPr>
        <w:t>. Platform Agent makes the following warranties and representations to Bank:</w:t>
      </w:r>
    </w:p>
    <w:p>
      <w:pPr>
        <w:spacing w:after="0" w:line="131" w:lineRule="exact"/>
        <w:rPr>
          <w:sz w:val="20"/>
          <w:szCs w:val="20"/>
          <w:color w:val="auto"/>
        </w:rPr>
      </w:pPr>
    </w:p>
    <w:p>
      <w:pPr>
        <w:jc w:val="both"/>
        <w:ind w:firstLine="656"/>
        <w:spacing w:after="0" w:line="251" w:lineRule="auto"/>
        <w:tabs>
          <w:tab w:leader="none" w:pos="118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a legal, valid and binding obligation of Platform Agent, enforceable against Platform Agent in accordance with its terms, except (i) to the extent such enforceability may be limited by applicable bankruptcy, insolvency, reorganization, moratorium, or other similar laws now or hereafter in effect, which may affect the enforcement of creditors’ rights in general, and (ii) as such enforceability may be limited by general principles of equity (whether considered in a suit at law or in equity) and Platform Agent has received all necessary approvals and consents for the execution, delivery and performance by it of this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2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is duly organized, existing and in good standing under the laws of the state of its organization and is authorized, registered and licensed to do business in each state in which the lack of such authorization, registration or licensing would have a Material Adverse Effect with respect to Platform Agent or the Loans.</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has the full power and authority to execute and deliver this Agreement and perform all of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170" w:name="page171"/>
    <w:bookmarkEnd w:id="170"/>
    <w:p>
      <w:pPr>
        <w:jc w:val="both"/>
        <w:ind w:right="20" w:firstLine="656"/>
        <w:spacing w:after="0" w:line="257" w:lineRule="auto"/>
        <w:tabs>
          <w:tab w:leader="none" w:pos="112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this Agreement and the completion of all actions required or contemplated to be taken by Platform Agent hereunder are within the ordinary course of Platform Agent’s business and not prohibited by Applicable Laws in any material respect.</w:t>
      </w:r>
    </w:p>
    <w:p>
      <w:pPr>
        <w:spacing w:after="0" w:line="18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0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and the performance of each of its obligations hereunder do not conflict with Platform Agent’s organizational or governing documents, or any material agreement, contract, lease, order or obligation to which Platform Agent is a party or by which Platform Agent is bound, including any exclusivity or other provisions of any other agreement to which Platform Agent or any related entity is a party, and including any non-compete agreement or similar agreement limiting the right of Platform Agent to engage in activities competitive with the business of any other party or any Governmental Authority that Platform Agent is subject to.</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1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approval, authorization or other action by, or filing with, any Governmental Authority is required in connection with the execution, delivery and performance by it of this Agreement or any other Program Document other than approvals and authorizations that have previously been obtained and filings which have previously been made or would not have a Material Adverse Effect with respect to the Loans.</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30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which was heretofore furnished by it or on its behalf (other than information furnished by Borrowers) in writing to Platform Agent for purposes of or in connection with this Agreement, any Program Document or any transaction contemplated hereby or thereby is true and accurate in all material respects in the aggregation and as of the date such information was furnished (except to the extent that such furnished information relates solely to an earlier date, in which case such information was true and accurate in all material respects on and as of such earlier date).</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11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licensed or otherwise permitted, Platform Agent has not used the Intellectual Property Rights, trade secrets or other confidential business information of any third party that it was not authorized to use in connection with the development of the Program Materials and Advertising Materials or in carrying out its obligations or exercising its rights under this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action, suit, proceeding or investigation pending or, to the knowledge of Platform Agent, threatened against Platform Agent seeking a determination or ruling which, either in any one instance or in the aggregate, would reasonably be expected to result in a Material Adverse Effect with respect to Platform Agent, or which would render invalid this Agreement or any Program Document, or asserting the invalidity of, or seeking to prevent the consummation of any of the transactions contemplated by, the Program Documents. No proceeding has been instituted against Platform Agent seeking to adjudicate it bankrupt or insolvent, or seeking the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Platform Agent or any substantial part of its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171" w:name="page172"/>
    <w:bookmarkEnd w:id="171"/>
    <w:p>
      <w:pPr>
        <w:ind w:firstLine="656"/>
        <w:spacing w:after="0" w:line="271" w:lineRule="auto"/>
        <w:tabs>
          <w:tab w:leader="none" w:pos="122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Platform Agent nor any principal thereof has been or is the subject of any of the following that will materially affect Platform Agent’s ability to perform under this Agreement:</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2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Enforcement agreement, memorandum of understanding, cease and desist order, administrative penalty or similar agreement concerning lending matters, or participation in the affairs of a financial institution;</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203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or enforcement proceeding or investigation commenced by the Securities Exchange Commission, state securities regulatory authority, Federal Trade Commission, any banking regulator or any other state or federal Regulatory Authority, with the exception of routine communications from a Regulatory Authority concerning a Complaint and routine examinations of Platform Agent conducted by a Regulatory Authority in the ordinary course of Platform Agent’s business; or</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90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Restraining order, decree, injunction or judgment in any proceeding or lawsuit alleging fraud or deceptive practices on the part of Platform Agent or any principal thereof.</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9.1(j)</w:t>
      </w:r>
      <w:r>
        <w:rPr>
          <w:rFonts w:ascii="Times New Roman" w:cs="Times New Roman" w:eastAsia="Times New Roman" w:hAnsi="Times New Roman"/>
          <w:sz w:val="22"/>
          <w:szCs w:val="22"/>
          <w:color w:val="auto"/>
        </w:rPr>
        <w:t xml:space="preserve"> the word “principal” of Platform Agent shall include (A) any person owning or controlling [***] or more of the voting power of Platform Agent, (B) any officer or director of Platform Agent and (C) any person actively participating in the control of Platform Agent’s business.</w:t>
      </w:r>
    </w:p>
    <w:p>
      <w:pPr>
        <w:spacing w:after="0" w:line="186" w:lineRule="exact"/>
        <w:rPr>
          <w:sz w:val="20"/>
          <w:szCs w:val="20"/>
          <w:color w:val="auto"/>
        </w:rPr>
      </w:pPr>
    </w:p>
    <w:p>
      <w:pPr>
        <w:jc w:val="both"/>
        <w:ind w:firstLine="656"/>
        <w:spacing w:after="0" w:line="252" w:lineRule="auto"/>
        <w:tabs>
          <w:tab w:leader="none" w:pos="112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Platform Agent, any of its Affiliates or any of their respective officers, directors or members is a Person (or to Platform Agent’s knowledge, is owned or controlled by a Person) that (i) is subject to Sanctions, (ii) has been previously indicted for or convicted of any felony involving a crime or crimes of moral turpitude or for any Patriot Act Offense, or (iii) is currently under investigation by any Governmental Authority for alleged felony involving a crime of moral turpitude.</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07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and each of its Affiliates is in compliance with all applicable Anti-Money Laundering Laws. Without limiting the generality of the foregoing, to the extent required by Anti-Money Laundering Laws or Anti-Corruption Laws, Platform Agent has established an anti-money laundering compliance program that is in compliance with Anti-Money Laundering Laws and Anti-Corruption Laws.</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134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has a compliance management system in place to ensure compliance with the terms of this Agreement, including the Program Guidelines, Applicable Laws, that includes management of Third-Party Service Providers and Complaints filed with Platform Agent that provides Platform Agent with the ability to track and respond to Complaints to the extent required within the required time period.</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3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is solvent and does not believe, nor does it have any reason or cause to believe, that it cannot perform its obligations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72" w:name="page173"/>
    <w:bookmarkEnd w:id="172"/>
    <w:p>
      <w:pPr>
        <w:ind w:left="1120" w:hanging="464"/>
        <w:spacing w:after="0"/>
        <w:tabs>
          <w:tab w:leader="none" w:pos="11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is in material compliance with all Applicable Laws.</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16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Platform Agent has in full force and effect insurance in such amounts and against such risks as are reasonable and customarily maintained by companies engaged in the same or similar businesses operating in the same or similar locations.</w:t>
      </w:r>
    </w:p>
    <w:p>
      <w:pPr>
        <w:spacing w:after="0" w:line="17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2"/>
          <w:szCs w:val="22"/>
          <w:u w:val="single" w:color="auto"/>
          <w:color w:val="auto"/>
        </w:rPr>
        <w:t>Bank’s Representations and Warranties</w:t>
      </w:r>
      <w:r>
        <w:rPr>
          <w:rFonts w:ascii="Times New Roman" w:cs="Times New Roman" w:eastAsia="Times New Roman" w:hAnsi="Times New Roman"/>
          <w:sz w:val="22"/>
          <w:szCs w:val="22"/>
          <w:color w:val="auto"/>
        </w:rPr>
        <w:t>. Bank makes the following warranties and representations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Platform Agent:</w:t>
      </w:r>
    </w:p>
    <w:p>
      <w:pPr>
        <w:spacing w:after="0" w:line="4" w:lineRule="exact"/>
        <w:rPr>
          <w:sz w:val="20"/>
          <w:szCs w:val="20"/>
          <w:color w:val="auto"/>
        </w:rPr>
      </w:pPr>
    </w:p>
    <w:p>
      <w:pPr>
        <w:jc w:val="both"/>
        <w:ind w:firstLine="656"/>
        <w:spacing w:after="0" w:line="255" w:lineRule="auto"/>
        <w:tabs>
          <w:tab w:leader="none" w:pos="1124"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constitutes a valid and binding obligation of Bank, enforceable against Bank in accordance with its terms except (i) to the extent that such enforceability may be limited by applicable bankruptcy, insolvency, reorganization, moratorium or other similar laws now or hereafter in effect, which may affect the enforcement of creditors’ rights in general,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such enforceability may be limited by general principles of equity (whether considered in a suit at law or in equity).</w:t>
      </w:r>
    </w:p>
    <w:p>
      <w:pPr>
        <w:spacing w:after="0" w:line="207" w:lineRule="exact"/>
        <w:rPr>
          <w:rFonts w:ascii="Times New Roman" w:cs="Times New Roman" w:eastAsia="Times New Roman" w:hAnsi="Times New Roman"/>
          <w:sz w:val="22"/>
          <w:szCs w:val="22"/>
          <w:color w:val="auto"/>
        </w:rPr>
      </w:pPr>
    </w:p>
    <w:p>
      <w:pPr>
        <w:ind w:firstLine="656"/>
        <w:spacing w:after="0" w:line="271" w:lineRule="auto"/>
        <w:tabs>
          <w:tab w:leader="none" w:pos="117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the authority to accept insured deposits and is an FDIC-insured state-chartered depository institution for the purposes of section 521 of the Depository Institutions Deregulation and Monetary Control Act of 1980 (12 USC §1831(d)).</w:t>
      </w:r>
    </w:p>
    <w:p>
      <w:pPr>
        <w:spacing w:after="0" w:line="157"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full corporate power and authority to execute, deliver and perform all of its obligations under this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95" w:lineRule="exact"/>
        <w:rPr>
          <w:rFonts w:ascii="Times New Roman" w:cs="Times New Roman" w:eastAsia="Times New Roman" w:hAnsi="Times New Roman"/>
          <w:sz w:val="22"/>
          <w:szCs w:val="22"/>
          <w:color w:val="auto"/>
        </w:rPr>
      </w:pPr>
    </w:p>
    <w:p>
      <w:pPr>
        <w:ind w:right="20" w:firstLine="656"/>
        <w:spacing w:after="0" w:line="284" w:lineRule="auto"/>
        <w:tabs>
          <w:tab w:leader="none" w:pos="118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this Agreement and the completion of all actions required or contemplated to be taken by Bank hereunder are within the ordinary course of Bank’s business and not prohibited by Applicable Laws in any material respect.</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1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have been duly authorized by Bank and are not in conflict with and do not violate the terms of the charter or by-laws of Bank and will not result in a material breach of or constitute a default under, or require any consent under, any indenture, loan or agreement to which Bank is a party.</w:t>
      </w:r>
    </w:p>
    <w:p>
      <w:pPr>
        <w:spacing w:after="0" w:line="172" w:lineRule="exact"/>
        <w:rPr>
          <w:rFonts w:ascii="Times New Roman" w:cs="Times New Roman" w:eastAsia="Times New Roman" w:hAnsi="Times New Roman"/>
          <w:sz w:val="22"/>
          <w:szCs w:val="22"/>
          <w:color w:val="auto"/>
        </w:rPr>
      </w:pPr>
    </w:p>
    <w:p>
      <w:pPr>
        <w:jc w:val="both"/>
        <w:ind w:firstLine="656"/>
        <w:spacing w:after="0" w:line="252" w:lineRule="auto"/>
        <w:tabs>
          <w:tab w:leader="none" w:pos="1163"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 has the authority to originate Loans in accordance with the Program Terms to the Borrowers who meet the minimum Credit Policy requirements established in the Program Guidelines as contemplated hereunder. Bank has adopted the Credit Policy and approved each Loan in accordance therewith, and each Loan and disbursement of Disbursed Proceeds complies with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Bank shall have no responsibility with respect to complying with Applicable Laws to the extent any such non-compliance arises out of erroneous data or information provided by Platform Agent to Bank hereunder unless Bank is aware of such error and refuses to remedy its compliance to the extent Bank is able to remedy such error or the failure of Platform Agent to comply with Applicable Laws in the performance of its duties hereunder;</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the authority to originate Loans in each state in which Loans are originated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173" w:name="page174"/>
    <w:bookmarkEnd w:id="173"/>
    <w:p>
      <w:pPr>
        <w:jc w:val="both"/>
        <w:ind w:firstLine="656"/>
        <w:spacing w:after="0" w:line="253" w:lineRule="auto"/>
        <w:tabs>
          <w:tab w:leader="none" w:pos="114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each date of origination and sale of the Loans to Platform Agent, (i) each Loan meets the criteria outlined in the Program Guidelines; (ii) each Loan has not been satisfied, subordinated or rescinded, and no right of rescission, set-off, counterclaim or defense exists or has been asserted with respect to such Loan; (iii) each Loan was originated and disbursed by Bank in accordance with Applicable Laws; and (iv) there is no action before any Regulatory Authority involving such Loan in which an adverse result would have a Material Adverse Effect with respect to such Loan.</w:t>
      </w:r>
    </w:p>
    <w:p>
      <w:pPr>
        <w:spacing w:after="0" w:line="178" w:lineRule="exact"/>
        <w:rPr>
          <w:rFonts w:ascii="Times New Roman" w:cs="Times New Roman" w:eastAsia="Times New Roman" w:hAnsi="Times New Roman"/>
          <w:sz w:val="22"/>
          <w:szCs w:val="22"/>
          <w:color w:val="auto"/>
        </w:rPr>
      </w:pPr>
    </w:p>
    <w:p>
      <w:pPr>
        <w:ind w:right="20" w:firstLine="656"/>
        <w:spacing w:after="0" w:line="271" w:lineRule="auto"/>
        <w:tabs>
          <w:tab w:leader="none" w:pos="111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Bank nor any principal thereof has been or is the subject of any of the following that will materially affect Bank’s ability to perform under this Agreement:</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74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enforcement agreement, memorandum of understanding, cease and desist order, administrative penalty or similar agreement;</w:t>
      </w:r>
    </w:p>
    <w:p>
      <w:pPr>
        <w:spacing w:after="0" w:line="143"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4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administrative or enforcement proceeding or investigation commenced by the Securities Exchange Commission, state securities regulatory authority, Federal Trade Commission, any banking regulator or any other state or federal Regulatory Authority; or</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6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restraining order, decree, injunction or judgment in any proceeding or lawsuit alleging fraud or deceptive practices on the part of Bank or any principal thereof.</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9.2(i)</w:t>
      </w:r>
      <w:r>
        <w:rPr>
          <w:rFonts w:ascii="Times New Roman" w:cs="Times New Roman" w:eastAsia="Times New Roman" w:hAnsi="Times New Roman"/>
          <w:sz w:val="22"/>
          <w:szCs w:val="22"/>
          <w:color w:val="auto"/>
        </w:rPr>
        <w:t xml:space="preserve"> the word “principal” of Bank shall include (A) any person owning or controlling [***] or more of the voting power of Bank, (B) any officer or director of Bank and (C) any person actively participating in the control of Bank’s business.</w:t>
      </w:r>
    </w:p>
    <w:p>
      <w:pPr>
        <w:spacing w:after="0" w:line="173" w:lineRule="exact"/>
        <w:rPr>
          <w:sz w:val="20"/>
          <w:szCs w:val="20"/>
          <w:color w:val="auto"/>
        </w:rPr>
      </w:pPr>
    </w:p>
    <w:p>
      <w:pPr>
        <w:jc w:val="both"/>
        <w:ind w:firstLine="656"/>
        <w:spacing w:after="0" w:line="281" w:lineRule="auto"/>
        <w:tabs>
          <w:tab w:leader="none" w:pos="116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is in full compliance with applicable minimum capital requirements prescribed by the FDIC and any other Regulatory Authority having jurisdiction over Bank, and Bank meets the requirements to be considered “adequately capitalized” as defined in the Federal Deposit Insurance Act, as amended, and the applicable regulations promulgated thereunder.</w:t>
      </w:r>
    </w:p>
    <w:p>
      <w:pPr>
        <w:spacing w:after="0" w:line="15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Platform Agent’s Covenants</w:t>
      </w:r>
      <w:r>
        <w:rPr>
          <w:rFonts w:ascii="Times New Roman" w:cs="Times New Roman" w:eastAsia="Times New Roman" w:hAnsi="Times New Roman"/>
          <w:sz w:val="21"/>
          <w:szCs w:val="21"/>
          <w:color w:val="auto"/>
        </w:rPr>
        <w:t>. Platform Agent hereby covenants and agrees as follows:</w:t>
      </w:r>
    </w:p>
    <w:p>
      <w:pPr>
        <w:spacing w:after="0" w:line="179" w:lineRule="exact"/>
        <w:rPr>
          <w:sz w:val="20"/>
          <w:szCs w:val="20"/>
          <w:color w:val="auto"/>
        </w:rPr>
      </w:pPr>
    </w:p>
    <w:p>
      <w:pPr>
        <w:ind w:left="1120" w:hanging="464"/>
        <w:spacing w:after="0"/>
        <w:tabs>
          <w:tab w:leader="none" w:pos="11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Platform Agent shall furnish to Bank:</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3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xml:space="preserve">. Within one hundred twenty (120) days after the end of each fiscal year of Holdco, copies of Holdco’s annual audited financial statements certified by independent certified public accountants reasonably satisfactory to Bank and prepared on a consolidated basis in conformity with GAAP, together with a report of such firm expressing such firm’s opinion thereon without a “going concern” or like qualification or exception and without any qualification or exception as to the scope of the audit;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public filing of information with the EDGAR system of the SEC shall be deemed to satisfy the requirements of this </w:t>
      </w:r>
      <w:r>
        <w:rPr>
          <w:rFonts w:ascii="Times New Roman" w:cs="Times New Roman" w:eastAsia="Times New Roman" w:hAnsi="Times New Roman"/>
          <w:sz w:val="22"/>
          <w:szCs w:val="22"/>
          <w:u w:val="single" w:color="auto"/>
          <w:color w:val="auto"/>
        </w:rPr>
        <w:t>Section 9.3(a)(i)</w:t>
      </w:r>
      <w:r>
        <w:rPr>
          <w:rFonts w:ascii="Times New Roman" w:cs="Times New Roman" w:eastAsia="Times New Roman" w:hAnsi="Times New Roman"/>
          <w:sz w:val="22"/>
          <w:szCs w:val="22"/>
          <w:color w:val="auto"/>
        </w:rPr>
        <w:t xml:space="preserve"> with respect to such publicly filed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174" w:name="page175"/>
    <w:bookmarkEnd w:id="174"/>
    <w:p>
      <w:pPr>
        <w:jc w:val="both"/>
        <w:ind w:left="660" w:firstLine="644"/>
        <w:spacing w:after="0" w:line="263" w:lineRule="auto"/>
        <w:tabs>
          <w:tab w:leader="none" w:pos="1815"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Financial Statements</w:t>
      </w:r>
      <w:r>
        <w:rPr>
          <w:rFonts w:ascii="Times New Roman" w:cs="Times New Roman" w:eastAsia="Times New Roman" w:hAnsi="Times New Roman"/>
          <w:sz w:val="21"/>
          <w:szCs w:val="21"/>
          <w:color w:val="auto"/>
        </w:rPr>
        <w:t xml:space="preserve">. Within sixty (60) days after each of the first three fiscal quarters of Holdco, copies of Holdco’s unaudited consolidated balance sheet and related statements of operations and stockholders’ equity as of the end of and for such fiscal quarter and the then elapsed portion of the fiscal year, setting forth in each case in comparative form the figures for the corresponding period of (or, in the case of the balance sheet, as of the end of) the previous fiscal year, all certified by one of its chief financial officer, principal accounting officer, treasurer or controller as presenting fairly in all material respects its (and Holdco’s consolidated Subsidiaries) financial condition and results of operations on a consolidated basis in accordance with GAAP consistently applied, subject to normal year-end audit adjustments and the absence of footnotes;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public filing of information with the EDGAR system of the SEC shall be deemed to satisfy the requirements of this </w:t>
      </w:r>
      <w:r>
        <w:rPr>
          <w:rFonts w:ascii="Times New Roman" w:cs="Times New Roman" w:eastAsia="Times New Roman" w:hAnsi="Times New Roman"/>
          <w:sz w:val="21"/>
          <w:szCs w:val="21"/>
          <w:u w:val="single" w:color="auto"/>
          <w:color w:val="auto"/>
        </w:rPr>
        <w:t>Section 9.3(a)(ii)</w:t>
      </w:r>
      <w:r>
        <w:rPr>
          <w:rFonts w:ascii="Times New Roman" w:cs="Times New Roman" w:eastAsia="Times New Roman" w:hAnsi="Times New Roman"/>
          <w:sz w:val="21"/>
          <w:szCs w:val="21"/>
          <w:color w:val="auto"/>
        </w:rPr>
        <w:t xml:space="preserve"> with respect to such publicly filed information.</w:t>
      </w:r>
    </w:p>
    <w:p>
      <w:pPr>
        <w:spacing w:after="0" w:line="169" w:lineRule="exact"/>
        <w:rPr>
          <w:rFonts w:ascii="Times New Roman" w:cs="Times New Roman" w:eastAsia="Times New Roman" w:hAnsi="Times New Roman"/>
          <w:sz w:val="21"/>
          <w:szCs w:val="21"/>
          <w:color w:val="auto"/>
        </w:rPr>
      </w:pPr>
    </w:p>
    <w:p>
      <w:pPr>
        <w:ind w:left="660" w:right="20" w:firstLine="644"/>
        <w:spacing w:after="0" w:line="271" w:lineRule="auto"/>
        <w:tabs>
          <w:tab w:leader="none" w:pos="188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xml:space="preserve">. Concurrently with the delivery of financial statements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Platform Agent shall certify to Bank that no Liquidity Trigger or Tangible Net Worth Trigger has occurred.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17"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xml:space="preserve">. As promptly as practicable, from time to time, such information, documents or records or reports respecting the Program or the condition or operations, financial or otherwise, of Platform Agent as Bank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Platform Agent shall not be required to deliver any Technical Information to Bank.</w:t>
      </w:r>
    </w:p>
    <w:p>
      <w:pPr>
        <w:spacing w:after="0" w:line="186" w:lineRule="exact"/>
        <w:rPr>
          <w:rFonts w:ascii="Times New Roman" w:cs="Times New Roman" w:eastAsia="Times New Roman" w:hAnsi="Times New Roman"/>
          <w:sz w:val="22"/>
          <w:szCs w:val="22"/>
          <w:color w:val="auto"/>
        </w:rPr>
      </w:pPr>
    </w:p>
    <w:p>
      <w:pPr>
        <w:ind w:right="20" w:firstLine="656"/>
        <w:spacing w:after="0" w:line="271" w:lineRule="auto"/>
        <w:tabs>
          <w:tab w:leader="none" w:pos="119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Events</w:t>
      </w:r>
      <w:r>
        <w:rPr>
          <w:rFonts w:ascii="Times New Roman" w:cs="Times New Roman" w:eastAsia="Times New Roman" w:hAnsi="Times New Roman"/>
          <w:sz w:val="22"/>
          <w:szCs w:val="22"/>
          <w:color w:val="auto"/>
        </w:rPr>
        <w:t>. As soon as possible, after obtaining actual knowledge thereof, notify Bank of the occurrence of any Termination Event applicable to it.</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1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Each of the Platform Agent and Bank shall perform all actions necessary to remain duly organized or incorporated, validly existing and in good standing in its jurisdiction of formation and to maintain all requisite authority to conduct its business in each jurisdiction in which it conducts business except where the failure to preserve and maintain such existence has had, or could reasonably be expected to have, a Material Adverse Effect with respect to such party or the Loans.</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w:t>
      </w:r>
      <w:r>
        <w:rPr>
          <w:rFonts w:ascii="Times New Roman" w:cs="Times New Roman" w:eastAsia="Times New Roman" w:hAnsi="Times New Roman"/>
          <w:sz w:val="22"/>
          <w:szCs w:val="22"/>
          <w:color w:val="auto"/>
        </w:rPr>
        <w:t>. Each of the Platform Agent and Bank shall preserve and maintain its corporate existence, rights, franchises and privileges in the jurisdiction of its incorporation, and qualify and remain qualified and in good standing as a foreign corporation in each jurisdiction where the failure to preserve and maintain such existence, rights, franchises, privileges and qualifications has had, or could reasonably be expected to have, a Material Adverse Effect with respect to such party.</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2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Systems Failure</w:t>
      </w:r>
      <w:r>
        <w:rPr>
          <w:rFonts w:ascii="Times New Roman" w:cs="Times New Roman" w:eastAsia="Times New Roman" w:hAnsi="Times New Roman"/>
          <w:sz w:val="22"/>
          <w:szCs w:val="22"/>
          <w:color w:val="auto"/>
        </w:rPr>
        <w:t>. It shall promptly notify Bank of any total systems failure and shall advise Bank of the estimated time required to remedy such total systems failure. Until a total systems failure is remedied, it shall (i) furnish to Bank such periodic status reports and other information relating to such total systems failure as Bank may reasonably request and (ii) promptly notify Bank if it believes that such total systems failure cannot be remedied by the estimated date, which notice shall include a description of the circumstances which gave rise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175" w:name="page176"/>
    <w:bookmarkEnd w:id="175"/>
    <w:p>
      <w:pPr>
        <w:ind w:right="20"/>
        <w:spacing w:after="0" w:line="271" w:lineRule="auto"/>
        <w:rPr>
          <w:sz w:val="20"/>
          <w:szCs w:val="20"/>
          <w:color w:val="auto"/>
        </w:rPr>
      </w:pPr>
      <w:r>
        <w:rPr>
          <w:rFonts w:ascii="Times New Roman" w:cs="Times New Roman" w:eastAsia="Times New Roman" w:hAnsi="Times New Roman"/>
          <w:sz w:val="22"/>
          <w:szCs w:val="22"/>
          <w:color w:val="auto"/>
        </w:rPr>
        <w:t>such delay, the action proposed to be taken in response thereto and it shall promptly notify Bank when a total systems failure has been remedied.</w:t>
      </w:r>
    </w:p>
    <w:p>
      <w:pPr>
        <w:spacing w:after="0" w:line="158" w:lineRule="exact"/>
        <w:rPr>
          <w:sz w:val="20"/>
          <w:szCs w:val="20"/>
          <w:color w:val="auto"/>
        </w:rPr>
      </w:pPr>
    </w:p>
    <w:p>
      <w:pPr>
        <w:jc w:val="both"/>
        <w:ind w:firstLine="656"/>
        <w:spacing w:after="0" w:line="250" w:lineRule="auto"/>
        <w:tabs>
          <w:tab w:leader="none" w:pos="11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The parties hereto acknowledge that in order to help the United States government fight the funding of terrorism and money laundering activities, pursuant to federal regulations that became effective on October 1, 2003, Section 326 of the Patriot Act requires all financial institutions to obtain, verify, record and update information that identifies each person establishing a relationship or opening an account. The Platform Agent agrees that it will provide Bank such information as it may request, from time to time, in order for Bank to satisfy the requirements of the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Disaster Recovery Plan</w:t>
      </w:r>
      <w:r>
        <w:rPr>
          <w:rFonts w:ascii="Times New Roman" w:cs="Times New Roman" w:eastAsia="Times New Roman" w:hAnsi="Times New Roman"/>
          <w:sz w:val="22"/>
          <w:szCs w:val="22"/>
          <w:color w:val="auto"/>
        </w:rPr>
        <w:t>. It will maintain an adequate disaster recovery plan in light of its duties under this Agreement and contemplated volume of business.</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14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 Sales, etc</w:t>
      </w:r>
      <w:r>
        <w:rPr>
          <w:rFonts w:ascii="Times New Roman" w:cs="Times New Roman" w:eastAsia="Times New Roman" w:hAnsi="Times New Roman"/>
          <w:sz w:val="22"/>
          <w:szCs w:val="22"/>
          <w:color w:val="auto"/>
        </w:rPr>
        <w:t>. It will not consolidate with or merge into any other Person or convey substantially all of its assets to any Person, unless:</w:t>
      </w:r>
    </w:p>
    <w:p>
      <w:pPr>
        <w:spacing w:after="0" w:line="171"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surviving entity in a consolidation or merger;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have delivered prior written notice of such consolidation, merger or conveyance to Bank;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97"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thereto, no Termination Event or event that with notice or lapse of time, or both, would constitute a Termination Event shall have occurred.</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9.4. </w:t>
      </w:r>
      <w:r>
        <w:rPr>
          <w:rFonts w:ascii="Times New Roman" w:cs="Times New Roman" w:eastAsia="Times New Roman" w:hAnsi="Times New Roman"/>
          <w:sz w:val="21"/>
          <w:szCs w:val="21"/>
          <w:u w:val="single" w:color="auto"/>
          <w:color w:val="auto"/>
        </w:rPr>
        <w:t>Colorado Specified Loans</w:t>
      </w:r>
      <w:r>
        <w:rPr>
          <w:rFonts w:ascii="Times New Roman" w:cs="Times New Roman" w:eastAsia="Times New Roman" w:hAnsi="Times New Roman"/>
          <w:sz w:val="21"/>
          <w:szCs w:val="21"/>
          <w:color w:val="auto"/>
        </w:rPr>
        <w:t>. To the extent the Program offers “supervised loans” in Colorado as defined by UCCC, C.R.S. 5-1-301(47) and Platform Agent takes assignment of and undertakes direct collection of payments from or enforcement of rights against consumers arising from such supervised loans, and to the extent required by Applicable Law, Platform Agent shall have a Supervised Lenders’ License issued by the Administrator of the UCCC in Colorado pursuant to the UCCC, C.R.S. 5-2-301, and shall at all times maintain such license in good standing. As applicable, Platform Agent shall timely submit all reports as required by the Administrator of the UCCC in Colorado and shall provide copies of such reports to Bank.</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firstLine="656"/>
        <w:spacing w:after="0" w:line="236" w:lineRule="auto"/>
        <w:tabs>
          <w:tab w:leader="none" w:pos="94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by Platform Agent. Except to the extent of any Losses which arise from the direct acts or omissions of Bank or an Affiliate of Bank, Platform Agent shall be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176" w:name="page177"/>
    <w:bookmarkEnd w:id="176"/>
    <w:p>
      <w:pPr>
        <w:jc w:val="both"/>
        <w:spacing w:after="0" w:line="218" w:lineRule="auto"/>
        <w:rPr>
          <w:sz w:val="20"/>
          <w:szCs w:val="20"/>
          <w:color w:val="auto"/>
        </w:rPr>
      </w:pPr>
      <w:r>
        <w:rPr>
          <w:rFonts w:ascii="Times New Roman" w:cs="Times New Roman" w:eastAsia="Times New Roman" w:hAnsi="Times New Roman"/>
          <w:sz w:val="21"/>
          <w:szCs w:val="21"/>
          <w:color w:val="auto"/>
        </w:rPr>
        <w:t>to and shall indemnify Bank and its directors, officers, employees, agents and Affiliates and permitted assigns from and against any and all Losses arising out of (i) any failure of Platform Agent to comply with any of the terms and conditions of this Agreement or any other Program Document, (ii) the inaccuracy of any representation or warranty made by Platform Agent herein or any other Program Document, (iii) any infringement by Platform Agent of any Marks of Bank, or the use thereof hereunder or any infringement or misappropriation or alleged infringement or misappropriation of any Intellectual Property Rights, (iv) a failure of Platform Agent to comply, in respect of its obligations in connection with the Program hereunder, with any material Applicable Laws, (v) any act or omission by a Merchant in connection with the Program, (vi) any claim that a Loan Document, the Program Materials, the Advertising Materials, any other Program Document or any other aspect of the Program violate any Applicable Law (whether material or immaterial), (vii) any claims based on a fraudulent application submitted by a Loan Applicant or (viii) any Information Security Incident attributable to Platform Agent. Platform Agent shall indemnify Bank for all Losses incurred by Bank in connection with its participation in the Program or being a party to any Program Document. Platform Agent agrees to promptly notify Bank of any event or occurrence that would reasonably be expected to impair Platform Agent’s capacity to honor its indemnification obligations under this Agreement. For the avoidance of doubt, Bank hereby acknowledges and agrees that the foregoing undertakings are not and shall not be construed to be a guaranty of payment or performance by any Borrower of all or any amounts owed in relation to any Loan, nor shall be enforced in a manner that would render such undertaking the legal or economic equivalent of a guaranty by Purchaser of such payment or performance by any Borrower.</w:t>
      </w:r>
    </w:p>
    <w:p>
      <w:pPr>
        <w:spacing w:after="0" w:line="162" w:lineRule="exact"/>
        <w:rPr>
          <w:sz w:val="20"/>
          <w:szCs w:val="20"/>
          <w:color w:val="auto"/>
        </w:rPr>
      </w:pPr>
    </w:p>
    <w:p>
      <w:pPr>
        <w:jc w:val="both"/>
        <w:ind w:firstLine="656"/>
        <w:spacing w:after="0" w:line="211" w:lineRule="auto"/>
        <w:tabs>
          <w:tab w:leader="none" w:pos="95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by Bank. Except to the extent of any Losses which arise directly from any act or omission of Platform Agent or an Affiliate of Platform Agent, Bank shall be liable to and shall indemnify and hold harmless Platform Agent and its officers, directors, employees, agents and Affiliates and permitted assigns, from and against any Losses arising out of (i) the failure of Bank to comply with any of the terms and conditions of this Agreement or in any Program Document, (ii) the inaccuracy of any representation or warranty made by Bank in this Agreement or in any Program Document, (iii) any infringement or alleged infringement by Bank of any trade names or Marks of Platform Agent, or the use thereof hereunder or any infringement or misappropriation or alleged misappropriation of any Intellectual Property Rights, (iv) a failure of the Bank to comply, in respect of its obligations in connection with the Program hereunder, with any material Applicable Laws in connection with the Program hereunder, or (v) any Information Security Incident attributable to Bank.</w:t>
      </w:r>
    </w:p>
    <w:p>
      <w:pPr>
        <w:spacing w:after="0" w:line="158" w:lineRule="exact"/>
        <w:rPr>
          <w:rFonts w:ascii="Times New Roman" w:cs="Times New Roman" w:eastAsia="Times New Roman" w:hAnsi="Times New Roman"/>
          <w:sz w:val="22"/>
          <w:szCs w:val="22"/>
          <w:color w:val="auto"/>
        </w:rPr>
      </w:pPr>
    </w:p>
    <w:p>
      <w:pPr>
        <w:jc w:val="both"/>
        <w:ind w:firstLine="656"/>
        <w:spacing w:after="0" w:line="211" w:lineRule="auto"/>
        <w:tabs>
          <w:tab w:leader="none" w:pos="94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Claims. In the event any claim is made, any suit or action is commenced or any knowledge of a state of facts that, if not corrected, would clearly and unequivocally give rise to a right of indemnification of a party hereunder by the other party is received, the indemnified party will give written notice to the indemnifying party as promptly as practicable, but, in the case of lawsuit, in no event later than the time necessary to enable the indemnifying party to file a timely answer to the complaint. The indemnified party shall make available to the indemnifying party and its counsel and accountants at reasonable times and for reasonable periods, during normal business hours, all books and records of the indemnified party relating to any such possible claim for indemnification, and each party hereunder will render to the other such assistance as it may reasonably require of the other (at the expenses of the party requesting assistance) in order to insure prompt and adequate defense of any suit, claim or proceeding based upon a state of facts which may give rise to a right of indemnification hereunder.</w:t>
      </w:r>
    </w:p>
    <w:p>
      <w:pPr>
        <w:spacing w:after="0" w:line="158" w:lineRule="exact"/>
        <w:rPr>
          <w:rFonts w:ascii="Times New Roman" w:cs="Times New Roman" w:eastAsia="Times New Roman" w:hAnsi="Times New Roman"/>
          <w:sz w:val="22"/>
          <w:szCs w:val="22"/>
          <w:color w:val="auto"/>
        </w:rPr>
      </w:pPr>
    </w:p>
    <w:p>
      <w:pPr>
        <w:jc w:val="both"/>
        <w:ind w:firstLine="656"/>
        <w:spacing w:after="0" w:line="220" w:lineRule="auto"/>
        <w:tabs>
          <w:tab w:leader="none" w:pos="9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Defense and Counsel. Subject to the terms hereof, the indemnifying party shall have the exclusive right to assume the defense of any suit, claim, action or proceeding. In the event that the indemnifying party elects to defend any suit, claim or proceeding, then the indemnifying party shall notify the indemnified party via facsimile transmission or email, with a copy by mail, within thirty (30) days of having been notified pursuant to this Section 10.1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177" w:name="page178"/>
    <w:bookmarkEnd w:id="177"/>
    <w:p>
      <w:pPr>
        <w:jc w:val="both"/>
        <w:spacing w:after="0" w:line="208" w:lineRule="auto"/>
        <w:rPr>
          <w:sz w:val="20"/>
          <w:szCs w:val="20"/>
          <w:color w:val="auto"/>
        </w:rPr>
      </w:pPr>
      <w:r>
        <w:rPr>
          <w:rFonts w:ascii="Times New Roman" w:cs="Times New Roman" w:eastAsia="Times New Roman" w:hAnsi="Times New Roman"/>
          <w:sz w:val="22"/>
          <w:szCs w:val="22"/>
          <w:color w:val="auto"/>
        </w:rPr>
        <w:t>indemnifying party elects to employ counsel and assume the defense of any such claim, suit, action or proceeding. The indemnifying party shall institute and maintain any such defense diligently and reasonably and shall keep the indemnified party fully advised of the status thereof. The indemnified party shall have the right to employ its own counsel if the indemnified party so elects to assume such defense, but the fees and expense of such counsel shall be at the indemnified party’s expenses, unless (i) the employment of such counsel shall have been authorized in writing by the indemnifying party; (ii) such indemnified party shall have reasonably concluded that the interests of such parties are conflicting such that it would be inappropriate for the same counsel to represent both parties or shall have reasonably concluded that the ability of the parties to prevail in the defense of any claim are improved if separate counsel represents the indemnified party (in which case the indemnifying party shall not have the right to direct the defense of such action on behalf of the indemnified party), and in either of such events such reasonable fees and expenses shall be borne by the indemnifying party; (iii) the indemnified party shall have reasonably concluded that it is necessary to institute separate litigation, whether in the same or another court, in order to defend the claims asserted against it; (iv) the indemnified party reasonably concludes that the ability of the parties to prevail in the defense of any claim is materially improved if separate counsel represents the indemnified party; and (v) the indemnifying party shall not have employed counsel reasonably acceptable to the indemnified party to take charge of the defense of such action after electing to assume the defense thereof. In the event that the indemnifying party elects not to assume the defense of any suit, claim, action or proceeding, then the indemnified party shall do so and the indemnifying party shall pay for, or reimburse indemnified party, as the indemnified party shall elect, all Losses of the indemnified party.</w:t>
      </w:r>
    </w:p>
    <w:p>
      <w:pPr>
        <w:spacing w:after="0" w:line="161" w:lineRule="exact"/>
        <w:rPr>
          <w:sz w:val="20"/>
          <w:szCs w:val="20"/>
          <w:color w:val="auto"/>
        </w:rPr>
      </w:pPr>
    </w:p>
    <w:p>
      <w:pPr>
        <w:jc w:val="both"/>
        <w:ind w:firstLine="656"/>
        <w:spacing w:after="0" w:line="210" w:lineRule="auto"/>
        <w:tabs>
          <w:tab w:leader="none" w:pos="98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of Claims. The indemnifying party shall have the right to compromise and settle any suit, claim or proceeding in the name of the indemnified party; provided, however, that the indemnifying party shall not compromise or settle a suit, claim or proceeding (i) unless it indemnifies the indemnified party for all Losses arising out of or relating thereto and (ii) with respect to any suit, claim or proceeding which seeks any non-monetary relief, without the consent of the indemnified party, which consent shall not unreasonably be withheld. The indemnifying party shall not be permitted to make any admission of guilt on behalf of the indemnified party. Any final judgment or decree entered on or in, any claim, suit or action which the indemnifying party did not assume the defense of in accordance herewith, shall be deemed to have been consented to by, and shall be binding upon, the indemnifying party as fully as if the indemnifying party had assumed the defense thereof and a final judgment or decree had been entered in such suit or action, or with regard to such claim, by a court of competent jurisdiction for the amount of such settlement, compromise, judgment or decree. The indemnifying party shall be subrogated to any claims or rights of the indemnified party as against any other Persons with respect to any amount paid by the indemnifying party under this Section 10.1(e).</w:t>
      </w:r>
    </w:p>
    <w:p>
      <w:pPr>
        <w:spacing w:after="0" w:line="151" w:lineRule="exact"/>
        <w:rPr>
          <w:rFonts w:ascii="Times New Roman" w:cs="Times New Roman" w:eastAsia="Times New Roman" w:hAnsi="Times New Roman"/>
          <w:sz w:val="22"/>
          <w:szCs w:val="22"/>
          <w:color w:val="auto"/>
        </w:rPr>
      </w:pPr>
    </w:p>
    <w:p>
      <w:pPr>
        <w:ind w:firstLine="656"/>
        <w:spacing w:after="0" w:line="236" w:lineRule="auto"/>
        <w:tabs>
          <w:tab w:leader="none" w:pos="93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Payments. Amounts owing under this Section 10.1 shall be paid promptly upon written demand for indemnification containing in reasonable detail the facts giving rise to such Losses.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97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Single Recovery. To the extent that an indemnified party may be indemnified for a Loss under this Agreement, the Sale Agreement or the Servicing Agreement, the indemnified party may seek only a single recovery for the Loss.</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FOR A PARTY’S INDEMNIFICATION OBLIGATIONS UNDER THIS AGREEMENT, A PARTY’S BREACH OF ITS OBLIGATIONS TO COMPLY WITH ALL APPLICABLE LAWS, OR A PARTY’S GROSS NEGLIGENCE, WILLFUL MISCONDUCT, OR FRAUD, NEITHER PARTY SHALL BE LIABLE TO THE OTHER PARTY FOR INDIRECT, SPECIAL, INCIDENTAL,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178" w:name="page179"/>
    <w:bookmarkEnd w:id="178"/>
    <w:p>
      <w:pPr>
        <w:jc w:val="both"/>
        <w:spacing w:after="0" w:line="272" w:lineRule="auto"/>
        <w:rPr>
          <w:sz w:val="20"/>
          <w:szCs w:val="20"/>
          <w:color w:val="auto"/>
        </w:rPr>
      </w:pPr>
      <w:r>
        <w:rPr>
          <w:rFonts w:ascii="Times New Roman" w:cs="Times New Roman" w:eastAsia="Times New Roman" w:hAnsi="Times New Roman"/>
          <w:sz w:val="21"/>
          <w:szCs w:val="21"/>
          <w:color w:val="auto"/>
        </w:rPr>
        <w:t>PUNITIVE, CONSEQUENTIAL, OR EXEMPLARY DAMAGES OR LOST PROFITS (EVEN IF SUCH PARTY HAS BEEN ADVISED OF THE POSSIBILITY OF SUCH DAMAGES) ARISING OUT OF OR IN CONNECTION WITH THE PROGRAM DOCUMENTS; PROVIDED, HOWEVER, THAT DATA BREACH NOTIFICATION RELATED COSTS SHALL NOT BE DEEMED INDIRECT, SPECIAL, INCIDENTAL, PUNITIVE, CONSEQUENTIAL OR EXEMPLARY DAMAGES.</w:t>
      </w:r>
    </w:p>
    <w:p>
      <w:pPr>
        <w:spacing w:after="0" w:line="1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AND GOVERNED BY THE LAWS OF THE STATE OF MISSOURI, WITHOUT REGARD TO THE CONFLICT OF LAWS PRINCIPLES THEREOF.</w:t>
      </w:r>
    </w:p>
    <w:p>
      <w:pPr>
        <w:spacing w:after="0" w:line="14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EACH PARTY HERETO HEREBY IRREVOCABLY SUBMITS TO THE JURISDICTION OF ANY MISSOURI STATE OR FEDERAL COURT SITTING IN JACKSON COUNTY, MISSOURI IN ANY ACTION OR PROCEEDING ARISING OUT OF OR RELATING TO THIS AGREEMENT, AND EACH PARTY HERETO HEREBY IRREVOCABLY AGREES THAT ALL CLAIMS IN RESPECT OF SUCH ACTION OR PROCEEDING MAY BE HEARD AND DETERMINED IN SUCH STATE COURTS OR, TO THE EXTENT PERMITTED BY LAW, IN SUCH FEDERAL COURTS. THE PARTIES HERETO HEREBY IRREVOCABLY WAIVE, TO THE FULLEST EXTENT THEY MAY EFFECTIVELY DO SO, THE DEFENSE OF AN INCONVENIENT FORUM TO THE MAINTENANCE OF SUCH ACTION OR PROCEEDING. THE PARTIES HERETO AGREE THAT A FINAL JUDGMENT NOT SUBJECT TO FURTHER APPEAL, IN ANY SUCH ACTION OR PROCEEDING SHALL BE CONCLUSIVE AND MAY BE ENFORCED IN OTHER JURISDICTIONS BY SUIT ON THE JUDGMENT OR IN ANY OTHER MANNER PROVIDED BY LAW.</w:t>
      </w:r>
    </w:p>
    <w:p>
      <w:pPr>
        <w:spacing w:after="0" w:line="131"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right="20" w:firstLine="656"/>
        <w:spacing w:after="0" w:line="271" w:lineRule="auto"/>
        <w:tabs>
          <w:tab w:leader="none" w:pos="110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their obligations pursuant to this Agreement, either party may disclose Confidential Information to the other party, either directly or indirectly, in writing, orally or by inspection of intangible objects (including documents).</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4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and Platform Agent agree that Confidential Information shall be used by each party solely in the performance of its obligations under the Program Documents.</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(including their respective Representatives) shall receive Confidential Information in confidence and shall not, without the prior written consent of the disclosing party, disclose any Confidential Information of the disclosing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there shall be no obligation on the part of the parties to maintain in confidence any Confidential Information disclosed to it by the other which (i) is generally known to the trade or the public at the time of such disclosure, (ii) becomes generally known to the trade or the public subsequent to the time of such disclosure, but not as a result of disclosure by the other in violation of this Agreement, (iii) is legally received by either party or any of its respective Representatives from a third party on a non-confidential basis provided that to such party’s knowledge such third party is not prohibited from disclosing such information to the receiving party by a contractual, legal or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179" w:name="page180"/>
    <w:bookmarkEnd w:id="179"/>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obligation to the other party, its Representatives or another party, or (iv) was or hereafter is independently developed by either party or any of its Representatives without using Confidential Information or in violation of its obligations under this Agreement.</w:t>
      </w:r>
    </w:p>
    <w:p>
      <w:pPr>
        <w:spacing w:after="0" w:line="135" w:lineRule="exact"/>
        <w:rPr>
          <w:sz w:val="20"/>
          <w:szCs w:val="20"/>
          <w:color w:val="auto"/>
        </w:rPr>
      </w:pPr>
    </w:p>
    <w:p>
      <w:pPr>
        <w:jc w:val="both"/>
        <w:ind w:firstLine="656"/>
        <w:spacing w:after="0" w:line="253" w:lineRule="auto"/>
        <w:tabs>
          <w:tab w:leader="none" w:pos="117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disclosing party owns all rights, title and interest in and to its Confidential Information, and that the party receiving such Confidential Information will not reverse-engineer any software or other materials embodying the Confidential Information. The parties acknowledge that Confidential Information is being provided for limited use internally, and the receiving party agrees to use the Confidential Information only in accordance with the terms and conditions of this Agreement.</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21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however, disclosure of the Confidential Information may be made if, and to the extent, requested or required by court proceedings, Applicable Laws or Governmental Authority without liability and, except as required by the following sentence, without notice to the other party. In the event that the receiving party or any of its Representatives receives a demand or request to disclose all or any part of the disclosing party’s Confidential Information to a Governmental Authority, (i) to the extent practicable and permitted, the receiving party agrees to use commercially reasonable efforts under the circumstances to notify the disclosing party of the existence, terms and circumstances surrounding such a demand or request and (ii) if the receiving party or its applicable Representative is compelled to disclose all or a portion of the disclosing party’s Confidential Information, the receiving party or its applicable Representative may disclose that Confidential Information that its counsel advises that it is compelled to disclose and will exercise reasonable efforts to obtain assurance that confidential treatment will be accorded to the Confidential Information that is being so disclosed.</w:t>
      </w:r>
    </w:p>
    <w:p>
      <w:pPr>
        <w:spacing w:after="0" w:line="183" w:lineRule="exact"/>
        <w:rPr>
          <w:rFonts w:ascii="Times New Roman" w:cs="Times New Roman" w:eastAsia="Times New Roman" w:hAnsi="Times New Roman"/>
          <w:sz w:val="22"/>
          <w:szCs w:val="22"/>
          <w:color w:val="auto"/>
        </w:rPr>
      </w:pPr>
    </w:p>
    <w:p>
      <w:pPr>
        <w:jc w:val="both"/>
        <w:ind w:firstLine="656"/>
        <w:spacing w:after="0" w:line="256" w:lineRule="auto"/>
        <w:tabs>
          <w:tab w:leader="none" w:pos="109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represents and covenants that it will protect the Confidential Information of the other party in accordance with prudent business practices and will use the same degree of care to protect the other party’s Confidential Information that it uses to protect its own confidential information of a similar type. Except as expressly provided herein, no right or license whatsoever is granted with respect to the Confidential Information or otherwise.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Following termination of this Agreement and to the extent permissible under Applicable Law and in compliance with any applicable Bank or Platform Agent policies, upon the request of the disclosing party, the non-disclosing party will, within thirty</w:t>
      </w:r>
    </w:p>
    <w:p>
      <w:pPr>
        <w:spacing w:after="0" w:line="2" w:lineRule="exact"/>
        <w:rPr>
          <w:sz w:val="20"/>
          <w:szCs w:val="20"/>
          <w:color w:val="auto"/>
        </w:rPr>
      </w:pPr>
    </w:p>
    <w:p>
      <w:pPr>
        <w:jc w:val="both"/>
        <w:ind w:firstLine="8"/>
        <w:spacing w:after="0" w:line="247" w:lineRule="auto"/>
        <w:tabs>
          <w:tab w:leader="none" w:pos="44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receiving a request by the disclosing party, destroy all Confidential Information furnished to it or any of its Representatives by or on behalf of the disclosing party. Except to the extent a party is advised by legal counsel that such destruction is prohibited by law, the non-disclosing party and its Representatives will also destroy all written material, memoranda, notes, copies, excerpts and other writings or recordings whatsoever prepared by the non-disclosing party or its Representatives based upon, containing or otherwise reflecting any Confidential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the non-disclosing party nor any of its Representatives shall be obligated to return or destroy Confidential Information (i) to the extent it has been electronically archived by any such party in accordance with its automated security or disaster recovery procedures as in effect from time to time or (ii) to the extent required by their respective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180" w:name="page181"/>
    <w:bookmarkEnd w:id="180"/>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record retention policies for legal, compliance or regulatory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Confidential Information so retained shall remain subject to the confidentiality provisions contained herein for so long as it is retained by the non-disclosing party, irrespective of the Term of this Agreement. At the request of the disclosing party made at the time of its request for the return or destruction of Confidential Information, the return or destruction of materials in accordance with the foregoing shall be certified to the disclosing party in writing by a Representative of the non-disclosing party.</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Privacy Law Compliance; Security Breach Disclosure</w:t>
      </w:r>
      <w:r>
        <w:rPr>
          <w:rFonts w:ascii="Times New Roman" w:cs="Times New Roman" w:eastAsia="Times New Roman" w:hAnsi="Times New Roman"/>
          <w:sz w:val="21"/>
          <w:szCs w:val="21"/>
          <w:color w:val="auto"/>
        </w:rPr>
        <w:t xml:space="preserve">. In addition to the requirements of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each party agrees that it shall obtain, use, retain and share Customer Information in strict compliance with all applicable state and federal laws and regulations concerning the privacy and confidentiality of such Customer Information, including the requirements of the federal Gramm-Leach-Bliley Act of 1999, its implementing regulations, the California Consumer Privacy Act, Cal. Civ. Code §1798.100 et seq., and any regulations promulgated thereunder by the Attorney General of California, and Bank’s privacy notice, in connection with this Agreement. Neither party shall disclose or use Customer Information concerning Borrowers or Loan Applicants other than (a) to carry out the purposes for which such Customer Information has been disclosed to it hereunder,</w:t>
      </w:r>
    </w:p>
    <w:p>
      <w:pPr>
        <w:spacing w:after="0" w:line="2" w:lineRule="exact"/>
        <w:rPr>
          <w:sz w:val="20"/>
          <w:szCs w:val="20"/>
          <w:color w:val="auto"/>
        </w:rPr>
      </w:pPr>
    </w:p>
    <w:p>
      <w:pPr>
        <w:jc w:val="both"/>
        <w:ind w:firstLine="8"/>
        <w:spacing w:after="0" w:line="252" w:lineRule="auto"/>
        <w:tabs>
          <w:tab w:leader="none" w:pos="3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sale or financing of the related Loans or (c) to the extent requested or required by court process, Applicable Laws or Governmental Authority. Further, Platform Agent shall by written contract require any Third-Party Service Providers to maintain the confidentiality of Customer Information in a similar manner.</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party shall immediately inform the other party in writing of any Information Security Incident of which the notifying party becomes aware, but in no case later than twenty-four (24) hours after it becomes aware of such Information Security Incident. Such notice shall summarize in reasonable detail the effect on such party, if known, of the Information Security Incident and the corrective action taken or to be taken by the notifying party. The notifying party shall promptly take all necessary and advisable corrective actions and shall cooperate fully with the other party in all reasonable and lawful efforts to prevent, mitigate or rectify such Information Security Incident. The notifying party shall (i) investigate such Information Security Incident and perform a root cause analysis thereon; (ii) remediate the effects of such Information Security Incident; and (iii) provide the other party with such assurances as such party shall request that such Information Security Incident is not likely to recur. The content of any filings, communications, notices, press releases or reports related to any Information Security Incident shall be approved by the other party prior to any publication or communication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Upon the occurrence of an Information Security Incident involving nonpublic personal information in the possession, custody or control of either party or for which such party is otherwise responsible, such party shall reimburse the other party on demand for all reasonable Notification Related Costs incurred by such party arising out of or in connection with any such Information Security Incident.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each party agrees that it will not make any material changes to its security procedures and requirements affecting the performance of its obligations hereunder which would materially reduce the security of its operations or materially reduce the confidentiality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181" w:name="page182"/>
    <w:bookmarkEnd w:id="18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databases and information maintained with respect to the parties hereto, Borrowers and Loan Applicants without the prior written consent of Bank.</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Each of Bank and Platform Agent agrees and represents to the other that it and each of its Third-Party Service Providers have, or will have prior to the receipt of any Confidential Information or Customer Information, designed and implemented an information security program that will comply in all material respects with the applicable requirements set forth in 12 C.F.R. Part 332 (Privacy of Consumer Financial Information), 12 C.F.R. Part 364 (including the Interagency Guidelines Establishing Information Security Standards found at Appendix B to Part 364), and 16 C.F.R Part 314, all as amended, supplemented or interpreted in writing by Regulatory Authorities and all other Applicable Law.</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xml:space="preserve">. In the event that either party fails to perform its obligations under the Program Documents in whole or in part as a consequence of events beyond its reasonable control (including acts of God, fire, explosion, public utility failure, accident, floods, embargoes, epidemics, war, terrorist acts, nuclear disaster or riot), such failure to perform shall not be considered a breach of the Program Documents during the period of such disability. In the event of any force majeure occurrence as set forth in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the disabled party shall use its best efforts to meet its obligations as set forth in the Program Documents. The disabled party shall promptly and in writing advise the other party if it is unable to perform due to a force majeure event, the expected duration of such inability to perform and of any developments (or changes therein) that appear likely to affect the ability of that party to perform any of its obligations hereunder in whole or in part.</w:t>
      </w:r>
    </w:p>
    <w:p>
      <w:pPr>
        <w:spacing w:after="0" w:line="14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Relationship of Parties; No Authority to Bind</w:t>
      </w:r>
      <w:r>
        <w:rPr>
          <w:rFonts w:ascii="Times New Roman" w:cs="Times New Roman" w:eastAsia="Times New Roman" w:hAnsi="Times New Roman"/>
          <w:sz w:val="22"/>
          <w:szCs w:val="22"/>
          <w:color w:val="auto"/>
        </w:rPr>
        <w:t>. Bank and Platform Agent agree that they are independent contractors to each other in performing their respective obligations hereunder. Nothing in this Agreement or in the working relationship established and developed hereunder shall be deemed or is intended to be deemed, nor shall it cause, Bank and Platform Agent to be treated as partners, joint venturers or otherwise as joint associates for profit. Platform Agent understands and agrees that Bank shall be responsible for all decisions to make or fund a Loan. Platform Agent shall not modify the terms of any Loan Document on behalf of Bank prior to purchase of the Loan by Platform Agent. Platform Agent’s responsibilities hereunder shall not constitute the “receipt” of the Loan Documents by Bank; instead, Bank shall be deemed to have received and reviewed the Loan Documents and supporting materials only after the Loan Documents and materials have previously been received at Bank’s offices, at which time and place Bank shall decide whether to make the Loan. Platform Agent shall not represent to anyone that Platform Agent has the authority or power to do any of the foregoing and shall make no representations concerning Bank’s transactions except as Bank shall expressly authorize in writing. Bank shall not have any authority or control over any of the property interests or employees of Platform Agent. Without limitation of the foregoing, Bank and Platform Agent intend, and they agree to undertake such action as may be necessary or advisable to ensure, that: (a) the Program complies with federal guidelines regarding outsourcing of bank-related activities, installment loans, bank supervision and control and safety and soundness procedures; (b) Bank is the lender under applicable federal standards and is authorized to export its home-state interest rates and matters material to the rate under 12 U.S.C.A. § 1831d;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182" w:name="page183"/>
    <w:bookmarkEnd w:id="182"/>
    <w:p>
      <w:pPr>
        <w:jc w:val="both"/>
        <w:spacing w:after="0" w:line="271" w:lineRule="auto"/>
        <w:rPr>
          <w:sz w:val="20"/>
          <w:szCs w:val="20"/>
          <w:color w:val="auto"/>
        </w:rPr>
      </w:pPr>
      <w:r>
        <w:rPr>
          <w:rFonts w:ascii="Times New Roman" w:cs="Times New Roman" w:eastAsia="Times New Roman" w:hAnsi="Times New Roman"/>
          <w:sz w:val="22"/>
          <w:szCs w:val="22"/>
          <w:color w:val="auto"/>
        </w:rPr>
        <w:t>all activities related to the marketing and origination of a loan are made by or on behalf of Bank as disclosed principal for any relevant regulatory, agency law and contract-law purposes.</w:t>
      </w:r>
    </w:p>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part of this Agreement is ruled by a court, Regulatory Authority or other public or private tribunal of competent jurisdiction to be invalid or unenforceable, such provision shall be deemed to have been omitted from this Agreement. The remainder of this Agreement shall remain in full force and effect and shall be modified to any extent necessary to give such force and effect to the remaining provisions, but only to such extent. In addition, if the operation of the Program or the compliance by a party with its obligations set forth herein causes or results in a violation of an Applicable Law, the parties agree to negotiate in good faith to modify the Program or this Agreement as necessary in order to permit the parties to continue the Program in full compliance with Applicable Laws.</w:t>
      </w:r>
    </w:p>
    <w:p>
      <w:pPr>
        <w:spacing w:after="0" w:line="1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Successors and Third Parties</w:t>
      </w:r>
      <w:r>
        <w:rPr>
          <w:rFonts w:ascii="Times New Roman" w:cs="Times New Roman" w:eastAsia="Times New Roman" w:hAnsi="Times New Roman"/>
          <w:sz w:val="22"/>
          <w:szCs w:val="22"/>
          <w:color w:val="auto"/>
        </w:rPr>
        <w:t>. This Agreement and the rights and obligations hereunder shall bind and inure to the benefit of the parties hereto and their successors and assigns. The rights and benefits hereunder are specific to the parties and shall not be delegated or assigned without the prior written consent, not to be unreasonably withheld, of the other party. Nothing in this Agreement is intended to create or grant any right, privilege or other benefit to or for any person or entity other than the parties hereto. Notwithstanding the foregoing, in the event that (a) Bank agrees to sell all, or substantially all, of its assets to a third party or (b) agrees to merge with a third party pursuant to which Bank will not be the surviving entity, then Bank may assign this Agreement and its rights hereunder to such third party upon Platform Agent’s consent, provided that to the extent Platform Agent does not consent to such assignment then Bank may terminate this Agreement.</w:t>
      </w:r>
    </w:p>
    <w:p>
      <w:pPr>
        <w:spacing w:after="0" w:line="14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under this Agreement shall be in writing (including communication by facsimile copy or other electronic means) and shall be deemed to have been duly given when delivered in person, by facsimile or email transmission, by express or overnight mail delivered by a nationally recognized courier (delivery charges prepaid), or by registered or certified mail (postage prepaid, return receipt requested) to the respective parties as follows:</w:t>
      </w:r>
    </w:p>
    <w:p>
      <w:pPr>
        <w:spacing w:after="0" w:line="12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2"/>
          <w:szCs w:val="22"/>
          <w:color w:val="auto"/>
        </w:rPr>
        <w:t>To Bank:</w:t>
      </w:r>
      <w:r>
        <w:rPr>
          <w:sz w:val="20"/>
          <w:szCs w:val="20"/>
          <w:color w:val="auto"/>
        </w:rPr>
        <w:tab/>
      </w:r>
      <w:r>
        <w:rPr>
          <w:rFonts w:ascii="Times New Roman" w:cs="Times New Roman" w:eastAsia="Times New Roman" w:hAnsi="Times New Roman"/>
          <w:sz w:val="21"/>
          <w:szCs w:val="21"/>
          <w:color w:val="auto"/>
        </w:rPr>
        <w:t>Lead Bank</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1801 Main Street</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Kansas City, MO 64108</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Chief Legal and Risk Officer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 and [***]</w:t>
      </w:r>
    </w:p>
    <w:p>
      <w:pPr>
        <w:spacing w:after="0" w:line="223" w:lineRule="exact"/>
        <w:rPr>
          <w:sz w:val="20"/>
          <w:szCs w:val="20"/>
          <w:color w:val="auto"/>
        </w:rPr>
      </w:pPr>
    </w:p>
    <w:p>
      <w:pPr>
        <w:ind w:left="660"/>
        <w:spacing w:after="0"/>
        <w:tabs>
          <w:tab w:leader="none" w:pos="2520" w:val="left"/>
        </w:tabs>
        <w:rPr>
          <w:sz w:val="20"/>
          <w:szCs w:val="20"/>
          <w:color w:val="auto"/>
        </w:rPr>
      </w:pPr>
      <w:r>
        <w:rPr>
          <w:rFonts w:ascii="Times New Roman" w:cs="Times New Roman" w:eastAsia="Times New Roman" w:hAnsi="Times New Roman"/>
          <w:sz w:val="22"/>
          <w:szCs w:val="22"/>
          <w:color w:val="auto"/>
        </w:rPr>
        <w:t>To Platform Agent:</w:t>
      </w:r>
      <w:r>
        <w:rPr>
          <w:sz w:val="20"/>
          <w:szCs w:val="20"/>
          <w:color w:val="auto"/>
        </w:rPr>
        <w:tab/>
      </w:r>
      <w:r>
        <w:rPr>
          <w:rFonts w:ascii="Times New Roman" w:cs="Times New Roman" w:eastAsia="Times New Roman" w:hAnsi="Times New Roman"/>
          <w:sz w:val="21"/>
          <w:szCs w:val="21"/>
          <w:color w:val="auto"/>
        </w:rPr>
        <w:t>Affirm,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650 California St., 12th Floor</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Brooke Major-Reid, Chief Capital Officer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Affirm,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650 California St., 12th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83" w:name="page184"/>
    <w:bookmarkEnd w:id="183"/>
    <w:p>
      <w:pPr>
        <w:ind w:left="260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Capital Legal</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2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Waiver; Amendments</w:t>
      </w:r>
      <w:r>
        <w:rPr>
          <w:rFonts w:ascii="Times New Roman" w:cs="Times New Roman" w:eastAsia="Times New Roman" w:hAnsi="Times New Roman"/>
          <w:sz w:val="22"/>
          <w:szCs w:val="22"/>
          <w:color w:val="auto"/>
        </w:rPr>
        <w:t xml:space="preserve">. The delay or failure of either party to enforce any of the provisions of this Agreement shall not be construed to be a waiver of any right of that party. All waivers must be in writing and signed by both parties. Subject to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alterations, modifications or amendments of a provision of this Agreement, including all exhibits and schedules attached hereto, shall not be binding and shall be void unless such alteration, modification or amendment is in writing and signed by authorized representatives of Platform Agent and Bank.</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and delivered by the parties hereto in any number of counterparts, each of which shall be deemed an original and all of which together shall constitute one and the same instrument. The parties agree that this Agreement and signature pages may be transmitted between them by electronic mail and that PDF signatures may constitute original signatures and that a PDF signature page containing the signature (PDF or original) is binding upon the parties.</w:t>
      </w:r>
    </w:p>
    <w:p>
      <w:pPr>
        <w:spacing w:after="0" w:line="13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From time to time, each party will execute and deliver to the other such additional documents and will provide such additional information as such other party may reasonably require to carry out the terms of this Agreement.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Program Documents, including this Agreement and its schedules and exhibits (all of which schedules and exhibits are hereby incorporated into this Agreement) and the documents executed and delivered pursuant hereto and thereto, constitute the entire agreement between the parties with respect to the subject matter hereof and thereof, and supersede any prior or contemporaneous negotiations or oral or written agreements between the parties hereto with respect to the subject matter hereof or thereof, except where survival of prior written agreements is expressly provided for herein.</w:t>
      </w:r>
    </w:p>
    <w:p>
      <w:pPr>
        <w:spacing w:after="0" w:line="12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terms of </w:t>
      </w:r>
      <w:r>
        <w:rPr>
          <w:rFonts w:ascii="Times New Roman" w:cs="Times New Roman" w:eastAsia="Times New Roman" w:hAnsi="Times New Roman"/>
          <w:sz w:val="22"/>
          <w:szCs w:val="22"/>
          <w:u w:val="single" w:color="auto"/>
          <w:color w:val="auto"/>
        </w:rPr>
        <w:t>Section 4.2(f)</w:t>
      </w:r>
      <w:r>
        <w:rPr>
          <w:rFonts w:ascii="Times New Roman" w:cs="Times New Roman" w:eastAsia="Times New Roman" w:hAnsi="Times New Roman"/>
          <w:sz w:val="22"/>
          <w:szCs w:val="22"/>
          <w:color w:val="auto"/>
        </w:rPr>
        <w:t xml:space="preserve">, Section </w:t>
      </w:r>
      <w:r>
        <w:rPr>
          <w:rFonts w:ascii="Times New Roman" w:cs="Times New Roman" w:eastAsia="Times New Roman" w:hAnsi="Times New Roman"/>
          <w:sz w:val="22"/>
          <w:szCs w:val="22"/>
          <w:u w:val="single" w:color="auto"/>
          <w:color w:val="auto"/>
        </w:rPr>
        <w:t>4.2(g)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(Intellectual Property),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(Effect of Termination), and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(Miscellaneous) shall survive the termination or expiration of this Agreement.</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Referrals</w:t>
      </w:r>
      <w:r>
        <w:rPr>
          <w:rFonts w:ascii="Times New Roman" w:cs="Times New Roman" w:eastAsia="Times New Roman" w:hAnsi="Times New Roman"/>
          <w:sz w:val="22"/>
          <w:szCs w:val="22"/>
          <w:color w:val="auto"/>
        </w:rPr>
        <w:t>. Neither party has agreed to pay any fee or commission to any agent, broker, finder or other person for or on account of such person’s services rendered in connection with this Agreement that would give rise to any valid claim against the other party for any commission, finder’s fee or like payment.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parties acknowledge that each party and its counsel have reviewed and revised this Agreement and that the normal rule of construction to the effect that any ambiguities are to be resolved against the drafting party shall not be employed in the interpretation of this Agreement or any amendments thereto, and the same shall be construed neither for nor against either party, but shall be given a reasonable interpretation in accordance with the plain meaning of its terms and the intent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184" w:name="page185"/>
    <w:bookmarkEnd w:id="184"/>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Captions and headings in this Agreement are for convenience only, and are not deemed part of this Agreement.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1"/>
          <w:szCs w:val="21"/>
          <w:color w:val="auto"/>
        </w:rPr>
        <w:t>IN WITNESS WHEREOF, the parties have entered into this Agreement as of the date set forth above.</w:t>
      </w:r>
    </w:p>
    <w:p>
      <w:pPr>
        <w:sectPr>
          <w:pgSz w:w="11900" w:h="16838" w:orient="portrait"/>
          <w:cols w:equalWidth="0" w:num="1">
            <w:col w:w="9479"/>
          </w:cols>
          <w:pgMar w:left="980" w:top="1422" w:right="1440"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LEAD BANK</w:t>
      </w:r>
    </w:p>
    <w:p>
      <w:pPr>
        <w:spacing w:after="0" w:line="200" w:lineRule="exact"/>
        <w:rPr>
          <w:sz w:val="20"/>
          <w:szCs w:val="20"/>
          <w:color w:val="auto"/>
        </w:rPr>
      </w:pPr>
    </w:p>
    <w:p>
      <w:pPr>
        <w:spacing w:after="0" w:line="294"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Homam Maalouf_</w:t>
      </w:r>
      <w:r>
        <w:rPr>
          <w:rFonts w:ascii="Times New Roman" w:cs="Times New Roman" w:eastAsia="Times New Roman" w:hAnsi="Times New Roman"/>
          <w:sz w:val="21"/>
          <w:szCs w:val="21"/>
          <w:color w:val="auto"/>
        </w:rPr>
        <w:t>_____________</w:t>
      </w:r>
    </w:p>
    <w:p>
      <w:pPr>
        <w:spacing w:after="0" w:line="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 Homam Maalouf</w:t>
      </w:r>
    </w:p>
    <w:p>
      <w:pPr>
        <w:spacing w:after="0" w:line="15" w:lineRule="exact"/>
        <w:rPr>
          <w:sz w:val="20"/>
          <w:szCs w:val="20"/>
          <w:color w:val="auto"/>
        </w:rPr>
      </w:pPr>
    </w:p>
    <w:p>
      <w:pPr>
        <w:ind w:left="3440"/>
        <w:spacing w:after="0"/>
        <w:tabs>
          <w:tab w:leader="none" w:pos="4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Product Strategy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AFFIRM, INC.</w:t>
      </w:r>
    </w:p>
    <w:p>
      <w:pPr>
        <w:spacing w:after="0" w:line="200" w:lineRule="exact"/>
        <w:rPr>
          <w:sz w:val="20"/>
          <w:szCs w:val="20"/>
          <w:color w:val="auto"/>
        </w:rPr>
      </w:pPr>
    </w:p>
    <w:p>
      <w:pPr>
        <w:spacing w:after="0" w:line="307"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Brooke Major-Reid</w:t>
      </w:r>
      <w:r>
        <w:rPr>
          <w:rFonts w:ascii="Times New Roman" w:cs="Times New Roman" w:eastAsia="Times New Roman" w:hAnsi="Times New Roman"/>
          <w:sz w:val="21"/>
          <w:szCs w:val="21"/>
          <w:color w:val="auto"/>
        </w:rPr>
        <w:t>____________</w:t>
      </w:r>
    </w:p>
    <w:p>
      <w:pPr>
        <w:spacing w:after="0" w:line="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1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 Chief Capital Officer</w:t>
      </w:r>
    </w:p>
    <w:p>
      <w:pPr>
        <w:sectPr>
          <w:pgSz w:w="11900" w:h="16838" w:orient="portrait"/>
          <w:cols w:equalWidth="0" w:num="1">
            <w:col w:w="9479"/>
          </w:cols>
          <w:pgMar w:left="980" w:top="1422" w:right="1440" w:bottom="1440" w:gutter="0" w:footer="0" w:header="0"/>
          <w:type w:val="continuous"/>
        </w:sectPr>
      </w:pPr>
    </w:p>
    <w:bookmarkStart w:id="186" w:name="page187"/>
    <w:bookmarkEnd w:id="186"/>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Program Terms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ectPr>
          <w:pgSz w:w="11900" w:h="16838" w:orient="portrait"/>
          <w:cols w:equalWidth="0" w:num="1">
            <w:col w:w="9019"/>
          </w:cols>
          <w:pgMar w:left="1440" w:top="1418"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B-2</w:t>
      </w:r>
    </w:p>
    <w:p>
      <w:pPr>
        <w:sectPr>
          <w:pgSz w:w="11900" w:h="16838" w:orient="portrait"/>
          <w:cols w:equalWidth="0" w:num="1">
            <w:col w:w="9019"/>
          </w:cols>
          <w:pgMar w:left="1440" w:top="1418" w:right="1440" w:bottom="1440"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Guidelines</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These Compliance Guidelines form a part of the Program Guidelines under the Loan Program Agreement (the “</w:t>
      </w:r>
      <w:r>
        <w:rPr>
          <w:rFonts w:ascii="Times New Roman" w:cs="Times New Roman" w:eastAsia="Times New Roman" w:hAnsi="Times New Roman"/>
          <w:sz w:val="22"/>
          <w:szCs w:val="22"/>
          <w:i w:val="1"/>
          <w:iCs w:val="1"/>
          <w:u w:val="single" w:color="auto"/>
          <w:color w:val="auto"/>
        </w:rPr>
        <w:t>Agreement</w:t>
      </w:r>
      <w:r>
        <w:rPr>
          <w:rFonts w:ascii="Times New Roman" w:cs="Times New Roman" w:eastAsia="Times New Roman" w:hAnsi="Times New Roman"/>
          <w:sz w:val="22"/>
          <w:szCs w:val="22"/>
          <w:color w:val="auto"/>
        </w:rPr>
        <w:t>”) between Lead Bank, an FDIC insured state-chartered bank (“</w:t>
      </w:r>
      <w:r>
        <w:rPr>
          <w:rFonts w:ascii="Times New Roman" w:cs="Times New Roman" w:eastAsia="Times New Roman" w:hAnsi="Times New Roman"/>
          <w:sz w:val="22"/>
          <w:szCs w:val="22"/>
          <w:i w:val="1"/>
          <w:iCs w:val="1"/>
          <w:u w:val="single" w:color="auto"/>
          <w:color w:val="auto"/>
        </w:rPr>
        <w:t>Bank</w:t>
      </w:r>
      <w:r>
        <w:rPr>
          <w:rFonts w:ascii="Times New Roman" w:cs="Times New Roman" w:eastAsia="Times New Roman" w:hAnsi="Times New Roman"/>
          <w:sz w:val="22"/>
          <w:szCs w:val="22"/>
          <w:color w:val="auto"/>
        </w:rPr>
        <w:t>”) and Affirm, Inc., a Delaware corporation (the “</w:t>
      </w:r>
      <w:r>
        <w:rPr>
          <w:rFonts w:ascii="Times New Roman" w:cs="Times New Roman" w:eastAsia="Times New Roman" w:hAnsi="Times New Roman"/>
          <w:sz w:val="22"/>
          <w:szCs w:val="22"/>
          <w:i w:val="1"/>
          <w:iCs w:val="1"/>
          <w:u w:val="single" w:color="auto"/>
          <w:color w:val="auto"/>
        </w:rPr>
        <w:t>Platform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Agent</w:t>
      </w:r>
      <w:r>
        <w:rPr>
          <w:rFonts w:ascii="Times New Roman" w:cs="Times New Roman" w:eastAsia="Times New Roman" w:hAnsi="Times New Roman"/>
          <w:sz w:val="22"/>
          <w:szCs w:val="22"/>
          <w:color w:val="auto"/>
        </w:rPr>
        <w:t>”) Capitalized terms used and not defined herein shall have the meanings given to those terms in the Agreement.</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Platform Agent hereby agrees that it, and all of its permitted assigns under the Agreement shall promptly adopt and maintain a Compliance Management System (“</w:t>
      </w:r>
      <w:r>
        <w:rPr>
          <w:rFonts w:ascii="Times New Roman" w:cs="Times New Roman" w:eastAsia="Times New Roman" w:hAnsi="Times New Roman"/>
          <w:sz w:val="22"/>
          <w:szCs w:val="22"/>
          <w:i w:val="1"/>
          <w:iCs w:val="1"/>
          <w:u w:val="single" w:color="auto"/>
          <w:color w:val="auto"/>
        </w:rPr>
        <w:t>CMS</w:t>
      </w:r>
      <w:r>
        <w:rPr>
          <w:rFonts w:ascii="Times New Roman" w:cs="Times New Roman" w:eastAsia="Times New Roman" w:hAnsi="Times New Roman"/>
          <w:sz w:val="22"/>
          <w:szCs w:val="22"/>
          <w:color w:val="auto"/>
        </w:rPr>
        <w:t>”) reasonably designed to ensure compliance with the terms of the Agreement, all Applicable Laws (as defined below) and the Program Guidelines. All capitalized terms not defined herein shall have the meaning set forth in the Agreement.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Platform Agent, including its Affiliates and Subsidiaries, shall maintain a CMS sufficient to operate the Program in accordance with all Applicable Laws and the Program Guidelines, including policies and procedures for compliance with the following laws, regulations, and supervisory guidance, all as amended, supplemented or interpreted in writing by Regulatory Authorities and all other Applicable Law:</w:t>
      </w:r>
    </w:p>
    <w:p>
      <w:pPr>
        <w:spacing w:after="0" w:line="140" w:lineRule="exact"/>
        <w:rPr>
          <w:sz w:val="20"/>
          <w:szCs w:val="20"/>
          <w:color w:val="auto"/>
        </w:rPr>
      </w:pPr>
    </w:p>
    <w:p>
      <w:pPr>
        <w:ind w:left="880" w:hanging="224"/>
        <w:spacing w:after="0"/>
        <w:tabs>
          <w:tab w:leader="none" w:pos="8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Truth in Lending Act, 15 U.S.C. § 1601 et seq., and implementing regulations Regulation Z;</w:t>
      </w:r>
    </w:p>
    <w:p>
      <w:pPr>
        <w:ind w:left="980" w:right="420" w:hanging="324"/>
        <w:spacing w:after="0" w:line="204" w:lineRule="auto"/>
        <w:tabs>
          <w:tab w:leader="none" w:pos="87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Uniform Retail Credit Classification and Account Management Policy, 65 Fed. Reg. 36904 (FIL-40-2000, June 12, 2000);</w:t>
      </w:r>
    </w:p>
    <w:p>
      <w:pPr>
        <w:spacing w:after="0" w:line="1" w:lineRule="exact"/>
        <w:rPr>
          <w:rFonts w:ascii="Times New Roman" w:cs="Times New Roman" w:eastAsia="Times New Roman" w:hAnsi="Times New Roman"/>
          <w:sz w:val="22"/>
          <w:szCs w:val="22"/>
          <w:color w:val="auto"/>
        </w:rPr>
      </w:pPr>
    </w:p>
    <w:p>
      <w:pPr>
        <w:ind w:left="980" w:right="320" w:hanging="324"/>
        <w:spacing w:after="0" w:line="204" w:lineRule="auto"/>
        <w:tabs>
          <w:tab w:leader="none" w:pos="87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for Managing Third Party Risk (FIL-44-2008, June 6, 2008) or such successor or replacement guidance as may be in effect from Bank’s Regulatory Authorities from time to time;</w:t>
      </w:r>
    </w:p>
    <w:p>
      <w:pPr>
        <w:spacing w:after="0" w:line="1" w:lineRule="exact"/>
        <w:rPr>
          <w:rFonts w:ascii="Times New Roman" w:cs="Times New Roman" w:eastAsia="Times New Roman" w:hAnsi="Times New Roman"/>
          <w:sz w:val="22"/>
          <w:szCs w:val="22"/>
          <w:color w:val="auto"/>
        </w:rPr>
      </w:pPr>
    </w:p>
    <w:p>
      <w:pPr>
        <w:ind w:left="880" w:hanging="224"/>
        <w:spacing w:after="0" w:line="204" w:lineRule="auto"/>
        <w:tabs>
          <w:tab w:leader="none" w:pos="8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Fair Lending Laws (“Fair Lending Laws”), including:</w:t>
      </w:r>
    </w:p>
    <w:p>
      <w:pPr>
        <w:ind w:left="1180" w:hanging="200"/>
        <w:spacing w:after="0" w:line="204" w:lineRule="auto"/>
        <w:tabs>
          <w:tab w:leader="none" w:pos="118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Equal Credit Opportunity Act, 15 U.S.C. § 1691 et seq., and Regulation B,</w:t>
      </w:r>
    </w:p>
    <w:p>
      <w:pPr>
        <w:ind w:left="1200" w:hanging="220"/>
        <w:spacing w:after="0" w:line="204" w:lineRule="auto"/>
        <w:tabs>
          <w:tab w:leader="none" w:pos="120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Military Lending Act, 10 U.S.C. § 101 et seq.</w:t>
      </w:r>
    </w:p>
    <w:p>
      <w:pPr>
        <w:ind w:left="1180" w:hanging="200"/>
        <w:spacing w:after="0" w:line="204" w:lineRule="auto"/>
        <w:tabs>
          <w:tab w:leader="none" w:pos="118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Servicemembers Civil Relief Act (“SCRA”)</w:t>
      </w:r>
    </w:p>
    <w:p>
      <w:pPr>
        <w:ind w:left="880" w:hanging="224"/>
        <w:spacing w:after="0" w:line="204" w:lineRule="auto"/>
        <w:tabs>
          <w:tab w:leader="none" w:pos="8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Debt Collection Practices Act, 15 U.S.C. § 1692 et seq., and implementing regulations Regulation F;</w:t>
      </w:r>
    </w:p>
    <w:p>
      <w:pPr>
        <w:ind w:left="880" w:hanging="224"/>
        <w:spacing w:after="0" w:line="204" w:lineRule="auto"/>
        <w:tabs>
          <w:tab w:leader="none" w:pos="8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Credit Reporting Act, and implementing Regulation V, and Fair Credit Billing Act;</w:t>
      </w:r>
    </w:p>
    <w:p>
      <w:pPr>
        <w:ind w:left="980" w:right="300" w:hanging="324"/>
        <w:spacing w:after="0" w:line="204" w:lineRule="auto"/>
        <w:tabs>
          <w:tab w:leader="none" w:pos="87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Secrecy Act (“BSA”) 31 U.S.C. § 5311 et seq. and Chapter X and Anti-Money Laundering (“AML”) laws and regulations;</w:t>
      </w:r>
    </w:p>
    <w:p>
      <w:pPr>
        <w:spacing w:after="0" w:line="1" w:lineRule="exact"/>
        <w:rPr>
          <w:rFonts w:ascii="Times New Roman" w:cs="Times New Roman" w:eastAsia="Times New Roman" w:hAnsi="Times New Roman"/>
          <w:sz w:val="22"/>
          <w:szCs w:val="22"/>
          <w:color w:val="auto"/>
        </w:rPr>
      </w:pPr>
    </w:p>
    <w:p>
      <w:pPr>
        <w:ind w:left="980" w:right="600" w:hanging="324"/>
        <w:spacing w:after="0" w:line="204" w:lineRule="auto"/>
        <w:tabs>
          <w:tab w:leader="none" w:pos="87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applicable sections of the USA PATRIOT Act and implementing regulations related to Know-Your-Customer (“KYC”) and Customer Identification Programs (“CIP”);</w:t>
      </w:r>
    </w:p>
    <w:p>
      <w:pPr>
        <w:spacing w:after="0" w:line="1" w:lineRule="exact"/>
        <w:rPr>
          <w:rFonts w:ascii="Times New Roman" w:cs="Times New Roman" w:eastAsia="Times New Roman" w:hAnsi="Times New Roman"/>
          <w:sz w:val="22"/>
          <w:szCs w:val="22"/>
          <w:color w:val="auto"/>
        </w:rPr>
      </w:pPr>
    </w:p>
    <w:p>
      <w:pPr>
        <w:ind w:left="880" w:hanging="224"/>
        <w:spacing w:after="0" w:line="204" w:lineRule="auto"/>
        <w:tabs>
          <w:tab w:leader="none" w:pos="8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 of Foreign Assets Control (“OFAC”) regulations (31 C.F.R. Chapter V);</w:t>
      </w:r>
    </w:p>
    <w:p>
      <w:pPr>
        <w:ind w:left="980" w:hanging="324"/>
        <w:spacing w:after="0" w:line="204" w:lineRule="auto"/>
        <w:tabs>
          <w:tab w:leader="none" w:pos="9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National Automated Clearing House Association Rules, Regulations, and Guidelines;</w:t>
      </w:r>
    </w:p>
    <w:p>
      <w:pPr>
        <w:ind w:left="980" w:hanging="324"/>
        <w:spacing w:after="0" w:line="204" w:lineRule="auto"/>
        <w:tabs>
          <w:tab w:leader="none" w:pos="9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Electronic Funds Transfer Act, 15 U.S.C. § 1693 et seq., and Regulation E;</w:t>
      </w:r>
    </w:p>
    <w:p>
      <w:pPr>
        <w:ind w:left="980" w:right="380" w:hanging="324"/>
        <w:spacing w:after="0" w:line="204" w:lineRule="auto"/>
        <w:tabs>
          <w:tab w:leader="none" w:pos="9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applicable regulations, guidelines, and commentaries issued by the Board of Governors of the Federal Reserve System and the Federal Financial Institutions Examination Council related to electronic funds transfer;</w:t>
      </w:r>
    </w:p>
    <w:p>
      <w:pPr>
        <w:spacing w:after="0" w:line="1" w:lineRule="exact"/>
        <w:rPr>
          <w:rFonts w:ascii="Times New Roman" w:cs="Times New Roman" w:eastAsia="Times New Roman" w:hAnsi="Times New Roman"/>
          <w:sz w:val="22"/>
          <w:szCs w:val="22"/>
          <w:color w:val="auto"/>
        </w:rPr>
      </w:pPr>
    </w:p>
    <w:p>
      <w:pPr>
        <w:ind w:left="980" w:right="560" w:hanging="324"/>
        <w:spacing w:after="0" w:line="225" w:lineRule="auto"/>
        <w:tabs>
          <w:tab w:leader="none" w:pos="9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Gramm-Leach-Bliley Act, 15 U.S.C. § 6801 et seq., and Regulation P, and any other applicable state and federal privacy statutes, including the California Consumer</w:t>
      </w:r>
    </w:p>
    <w:p>
      <w:pPr>
        <w:sectPr>
          <w:pgSz w:w="11900" w:h="16838" w:orient="portrait"/>
          <w:cols w:equalWidth="0" w:num="1">
            <w:col w:w="11240"/>
          </w:cols>
          <w:pgMar w:left="320" w:top="1418" w:right="339" w:bottom="1440" w:gutter="0" w:footer="0" w:header="0"/>
        </w:sectPr>
      </w:pPr>
    </w:p>
    <w:bookmarkStart w:id="189" w:name="page190"/>
    <w:bookmarkEnd w:id="189"/>
    <w:p>
      <w:pPr>
        <w:ind w:left="980"/>
        <w:spacing w:after="0"/>
        <w:rPr>
          <w:sz w:val="20"/>
          <w:szCs w:val="20"/>
          <w:color w:val="auto"/>
        </w:rPr>
      </w:pPr>
      <w:r>
        <w:rPr>
          <w:rFonts w:ascii="Times New Roman" w:cs="Times New Roman" w:eastAsia="Times New Roman" w:hAnsi="Times New Roman"/>
          <w:sz w:val="22"/>
          <w:szCs w:val="22"/>
          <w:color w:val="auto"/>
        </w:rPr>
        <w:t>Privacy Act (California Civil Code 1798.100 et seq.) and any implementing regulations;</w:t>
      </w:r>
    </w:p>
    <w:p>
      <w:pPr>
        <w:ind w:left="980" w:right="44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 Consumer Protection Act and all rules and regulations applicable to the Do-Not-Call-Registry and the Telemarketing Sales Rule (16 C.F.R. Part 310);</w:t>
      </w:r>
    </w:p>
    <w:p>
      <w:pPr>
        <w:spacing w:after="0" w:line="1" w:lineRule="exact"/>
        <w:rPr>
          <w:rFonts w:ascii="Times New Roman" w:cs="Times New Roman" w:eastAsia="Times New Roman" w:hAnsi="Times New Roman"/>
          <w:sz w:val="22"/>
          <w:szCs w:val="22"/>
          <w:color w:val="auto"/>
        </w:rPr>
      </w:pPr>
    </w:p>
    <w:p>
      <w:pPr>
        <w:ind w:left="98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statutes applicable to the recording/monitoring calls, including California Penal Code 632 et seq.;</w:t>
      </w:r>
    </w:p>
    <w:p>
      <w:pPr>
        <w:ind w:left="980" w:right="60" w:hanging="324"/>
        <w:spacing w:after="0" w:line="214" w:lineRule="auto"/>
        <w:tabs>
          <w:tab w:leader="none" w:pos="98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Federal Trade Commission Act and all state acts governing fair trade and trade practices, including Unfair, Deceptive or Abusive Acts or Practices (“UDAAP”), 12 U.S.C. § 5536 et seq. and California Civil Code 1770 et seq.;</w:t>
      </w:r>
    </w:p>
    <w:p>
      <w:pPr>
        <w:spacing w:after="0" w:line="1" w:lineRule="exact"/>
        <w:rPr>
          <w:rFonts w:ascii="Times New Roman" w:cs="Times New Roman" w:eastAsia="Times New Roman" w:hAnsi="Times New Roman"/>
          <w:sz w:val="21"/>
          <w:szCs w:val="21"/>
          <w:color w:val="auto"/>
        </w:rPr>
      </w:pPr>
    </w:p>
    <w:p>
      <w:pPr>
        <w:ind w:left="980" w:right="80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4A of the Uniform Commercial Code as in effect in the geographic locations in which the Program is conducted;</w:t>
      </w:r>
    </w:p>
    <w:p>
      <w:pPr>
        <w:spacing w:after="0" w:line="1" w:lineRule="exact"/>
        <w:rPr>
          <w:rFonts w:ascii="Times New Roman" w:cs="Times New Roman" w:eastAsia="Times New Roman" w:hAnsi="Times New Roman"/>
          <w:sz w:val="22"/>
          <w:szCs w:val="22"/>
          <w:color w:val="auto"/>
        </w:rPr>
      </w:pPr>
    </w:p>
    <w:p>
      <w:pPr>
        <w:ind w:left="98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Consumer Financial Information Privacy requirements set forth at 12 C.F.R. Part 332, the Interagency Guidelines Establishing Information Security Standards found at Appendix B to 12 C.F.R. Part 364, and a safeguards policy, demonstrating the safeguarding of consumer data in transmission and storage consistent with 16 C.F.R. § 314 (“Safeguards Rule”) and, as applicable, the Payment Card Industry Data Security Standard, as amended, including the rules and regulations thereunder;</w:t>
      </w:r>
    </w:p>
    <w:p>
      <w:pPr>
        <w:spacing w:after="0" w:line="4" w:lineRule="exact"/>
        <w:rPr>
          <w:rFonts w:ascii="Times New Roman" w:cs="Times New Roman" w:eastAsia="Times New Roman" w:hAnsi="Times New Roman"/>
          <w:sz w:val="22"/>
          <w:szCs w:val="22"/>
          <w:color w:val="auto"/>
        </w:rPr>
      </w:pPr>
    </w:p>
    <w:p>
      <w:pPr>
        <w:ind w:left="980" w:right="62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Interagency Computer-Security Incident Notification Requirements for Banking Organizations and Their Bank Service Providers (12 C.F.R. § 304.21 et seq.);</w:t>
      </w:r>
    </w:p>
    <w:p>
      <w:pPr>
        <w:spacing w:after="0" w:line="1" w:lineRule="exact"/>
        <w:rPr>
          <w:rFonts w:ascii="Times New Roman" w:cs="Times New Roman" w:eastAsia="Times New Roman" w:hAnsi="Times New Roman"/>
          <w:sz w:val="22"/>
          <w:szCs w:val="22"/>
          <w:color w:val="auto"/>
        </w:rPr>
      </w:pPr>
    </w:p>
    <w:p>
      <w:pPr>
        <w:ind w:left="98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CAN-SPAM Act (15 U.S.C. 7701 et seq.) and CAN-SPAM Rule (16 C.F.R. Part 316);</w:t>
      </w:r>
    </w:p>
    <w:p>
      <w:pPr>
        <w:ind w:left="980" w:right="22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Electronic Signatures in Global and National Commerce Act (“E-SIGN Act”) (15 U.S.C. 7001 et seq.) and any applicable state Uniform Electronic Transactions Acts (“UETA”);</w:t>
      </w:r>
    </w:p>
    <w:p>
      <w:pPr>
        <w:spacing w:after="0" w:line="1" w:lineRule="exact"/>
        <w:rPr>
          <w:rFonts w:ascii="Times New Roman" w:cs="Times New Roman" w:eastAsia="Times New Roman" w:hAnsi="Times New Roman"/>
          <w:sz w:val="22"/>
          <w:szCs w:val="22"/>
          <w:color w:val="auto"/>
        </w:rPr>
      </w:pPr>
    </w:p>
    <w:p>
      <w:pPr>
        <w:ind w:left="98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FDIC membership advertising regulations (12 C.F.R. Part 328);</w:t>
      </w:r>
    </w:p>
    <w:p>
      <w:pPr>
        <w:ind w:left="98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Financial Privacy Action, 12 U.S.C. § 3401;</w:t>
      </w:r>
    </w:p>
    <w:p>
      <w:pPr>
        <w:ind w:left="98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 flags policy, demonstrating fraud prevention (12 C.F.R. §§ 222 and 1022);</w:t>
      </w:r>
    </w:p>
    <w:p>
      <w:pPr>
        <w:ind w:left="980" w:right="320" w:hanging="324"/>
        <w:spacing w:after="0" w:line="204" w:lineRule="auto"/>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ADA as applied to websites, including conformance with WCAG Level AA (or higher) of the current WCAG version; and</w:t>
      </w:r>
    </w:p>
    <w:p>
      <w:pPr>
        <w:spacing w:after="0" w:line="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state and local laws related to the matters addressed above.</w:t>
      </w:r>
    </w:p>
    <w:p>
      <w:pPr>
        <w:spacing w:after="0" w:line="18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To the extent that Platform Agent is not subject to such statutes, rules and regulations, but Bank is so subject as it relates to the Program, it shall be the responsibility of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Platform Agent, including its affiliates and subsidiaries, shall [***].</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Platform Agent will maintain the following records related to the Program for as long as the</w:t>
      </w:r>
    </w:p>
    <w:p>
      <w:pPr>
        <w:spacing w:after="0"/>
        <w:rPr>
          <w:sz w:val="20"/>
          <w:szCs w:val="20"/>
          <w:color w:val="auto"/>
        </w:rPr>
      </w:pPr>
      <w:r>
        <w:rPr>
          <w:rFonts w:ascii="Times New Roman" w:cs="Times New Roman" w:eastAsia="Times New Roman" w:hAnsi="Times New Roman"/>
          <w:sz w:val="22"/>
          <w:szCs w:val="22"/>
          <w:color w:val="auto"/>
        </w:rPr>
        <w:t>Agreement is in effect and for a minimum period of [***] following the termination of the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shall assist Platform Agent in connection with Platform Agent’s responsibilities outlined in</w:t>
      </w:r>
    </w:p>
    <w:p>
      <w:pPr>
        <w:spacing w:after="0"/>
        <w:rPr>
          <w:sz w:val="20"/>
          <w:szCs w:val="20"/>
          <w:color w:val="auto"/>
        </w:rPr>
      </w:pPr>
      <w:r>
        <w:rPr>
          <w:rFonts w:ascii="Times New Roman" w:cs="Times New Roman" w:eastAsia="Times New Roman" w:hAnsi="Times New Roman"/>
          <w:sz w:val="22"/>
          <w:szCs w:val="22"/>
          <w:color w:val="auto"/>
        </w:rPr>
        <w:t>(a) through (c) by mutually retaining such approvals.</w:t>
      </w:r>
    </w:p>
    <w:p>
      <w:pPr>
        <w:sectPr>
          <w:pgSz w:w="11900" w:h="16838" w:orient="portrait"/>
          <w:cols w:equalWidth="0" w:num="1">
            <w:col w:w="11180"/>
          </w:cols>
          <w:pgMar w:left="320" w:top="1382" w:right="39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Loan Origination Report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18" w:right="1440"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E</w:t>
      </w:r>
    </w:p>
    <w:p>
      <w:pPr>
        <w:sectPr>
          <w:pgSz w:w="11900" w:h="16838" w:orient="portrait"/>
          <w:cols w:equalWidth="0" w:num="1">
            <w:col w:w="9019"/>
          </w:cols>
          <w:pgMar w:left="1440" w:top="1418" w:right="1440"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[Reserved]</w:t>
      </w:r>
    </w:p>
    <w:p>
      <w:pPr>
        <w:sectPr>
          <w:pgSz w:w="11900" w:h="16838" w:orient="portrait"/>
          <w:cols w:equalWidth="0" w:num="1">
            <w:col w:w="9019"/>
          </w:cols>
          <w:pgMar w:left="1440" w:top="1418" w:right="1440" w:bottom="1440" w:gutter="0" w:footer="0" w:header="0"/>
          <w:type w:val="continuous"/>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Notice/Approval and Response Guidelines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193" w:name="page194"/>
    <w:bookmarkEnd w:id="193"/>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Current Third-Party Service Providers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3.2(f)</w:t>
      </w:r>
    </w:p>
    <w:p>
      <w:pPr>
        <w:sectPr>
          <w:pgSz w:w="11900" w:h="16838" w:orient="portrait"/>
          <w:cols w:equalWidth="0" w:num="1">
            <w:col w:w="9019"/>
          </w:cols>
          <w:pgMar w:left="1440" w:top="1418"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8" w:right="1440" w:bottom="1440" w:gutter="0" w:footer="0" w:header="0"/>
          <w:type w:val="continuous"/>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SECOND AMENDED AND RESTATED INSTALLMENT FINANCING SERVICES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BY AND AMONG AFFIRM, INC.,</w:t>
      </w:r>
    </w:p>
    <w:p>
      <w:pPr>
        <w:spacing w:after="0" w:line="39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AMAZON.COM SERVICES LLC, AND</w:t>
      </w:r>
    </w:p>
    <w:p>
      <w:pPr>
        <w:spacing w:after="0" w:line="17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AMAZON PAYMENTS,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November 6, 2025</w:t>
      </w:r>
    </w:p>
    <w:p>
      <w:pPr>
        <w:sectPr>
          <w:pgSz w:w="11900" w:h="16838" w:orient="portrait"/>
          <w:cols w:equalWidth="0" w:num="1">
            <w:col w:w="10580"/>
          </w:cols>
          <w:pgMar w:left="980" w:top="117" w:right="3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86"/>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940" w:type="dxa"/>
            <w:vAlign w:val="bottom"/>
          </w:tcPr>
          <w:p>
            <w:pPr>
              <w:spacing w:after="0"/>
              <w:rPr>
                <w:sz w:val="24"/>
                <w:szCs w:val="24"/>
                <w:color w:val="auto"/>
              </w:rPr>
            </w:pPr>
          </w:p>
        </w:tc>
      </w:tr>
      <w:tr>
        <w:trPr>
          <w:trHeight w:val="554"/>
        </w:trPr>
        <w:tc>
          <w:tcPr>
            <w:tcW w:w="24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1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Definitions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1.1</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Definitions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1.2</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Interpretation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1.3</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Covered Amazon Affiliates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1.4</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Individual Liability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7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  Issuance of Program Credit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2.1</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General Program Responsibilities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2.2</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Program Operation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2.3</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Program Features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2.4</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Design and Printing of Statements and Other Materials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2.5</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Underwriting</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2.6</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Installment Credit Agreement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1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Program Application Procedures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3.1</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General</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3.2</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Application Features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3.3</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Instructions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71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Customer Services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4.1</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Staffing</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4.2</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Online Services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4.3</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Customer Disputes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7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5.  Marketing and Program Development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5.1</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General</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5.2</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Marketing Materials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5.3</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Affirm Promotions to Approved Customers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5.4</w:t>
            </w:r>
          </w:p>
        </w:tc>
        <w:tc>
          <w:tcPr>
            <w:tcW w:w="67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Phase 2 Opportunities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9280"/>
          </w:cols>
          <w:pgMar w:left="1280" w:top="1418" w:right="133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5.5</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Program Initiative Plans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w:t>
            </w:r>
          </w:p>
        </w:tc>
        <w:tc>
          <w:tcPr>
            <w:tcW w:w="73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Administration of Program</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6.1</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Steering Committee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6.2</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Intentionally Omitted.</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6.3</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6.4</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Amazon Responsibilities with respect to the Program</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6.5</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Affirm Responsibilities with respect to the Program</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6.6</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Subcontractors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6.7</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Program Personnel</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6.8</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Expenses and Risks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6.9</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Training</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6.1</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Eligible Products and Loan Settlement Procedures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3"/>
              </w:rPr>
              <w:t>6.11</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Cancellations and Returns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3"/>
              </w:rPr>
              <w:t>6.12</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Sale, Pledge, Assignment, Securitization of Program Credit</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3"/>
              </w:rPr>
              <w:t>6.13</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Excusable Delays and Force Majeure Events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3"/>
              </w:rPr>
              <w:t>6.14</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Disaster Recovery</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w:t>
            </w:r>
          </w:p>
        </w:tc>
        <w:tc>
          <w:tcPr>
            <w:tcW w:w="73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Financial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7.1</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Amazon-Affirm Financial Arrangements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7.2</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Set-Off Rights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7.3</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Financial Obligations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w:t>
            </w:r>
          </w:p>
        </w:tc>
        <w:tc>
          <w:tcPr>
            <w:tcW w:w="73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Intentionally Omitted.</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9.  Data Usage and Security</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9.1</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Program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9.2</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Use and Disclosure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9.3</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Privacy Policy</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9.4</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Data Security</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97"/>
        </w:trPr>
        <w:tc>
          <w:tcPr>
            <w:tcW w:w="6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9.5</w:t>
            </w:r>
          </w:p>
        </w:tc>
        <w:tc>
          <w:tcPr>
            <w:tcW w:w="6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Software Security Reviews and Audits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ectPr>
          <w:pgSz w:w="11900" w:h="16838" w:orient="portrait"/>
          <w:cols w:equalWidth="0" w:num="1">
            <w:col w:w="9300"/>
          </w:cols>
          <w:pgMar w:left="1260" w:top="1003" w:right="1339" w:bottom="1440" w:gutter="0" w:footer="0" w:header="0"/>
        </w:sectPr>
      </w:pPr>
    </w:p>
    <w:bookmarkStart w:id="198" w:name="page199"/>
    <w:bookmarkEnd w:id="1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9.6</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Injunctive Relief</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 General Confidentiality Obligations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10.1</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Confidentiality Obligation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10.2</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Disclosure to Personnel</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10.3</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Exceptions to Confidentiality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10.4</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of Breach</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10.5</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Return of Confidential Information and Other Data</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10.6</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Ownership</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10.7</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Injunctive Relief</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10.8</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Independent Development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10.9</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External Communications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 Representations and Warranties;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11.1</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By Affirm</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11.2</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By Amazon Parties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 Trademarks and Other Intellectual Property Rights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12.1</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Use of Affirm’s Trademarks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12.2</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Use of Amazon’s Trademarks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12.3</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Trademark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12.4</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Intellectual Property Rights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9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13. Reports and Audits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13.1</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Reports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13.2</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Audit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13.3</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Relevant Requirements Recordkeeping</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14. Indemnification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14.1</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Affirm of Amazon</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14.2</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Amazon of Affirm</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3"/>
              </w:rPr>
              <w:t>14.3</w:t>
            </w:r>
          </w:p>
        </w:tc>
        <w:tc>
          <w:tcPr>
            <w:tcW w:w="6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Condition of Claims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ectPr>
          <w:pgSz w:w="11900" w:h="16838" w:orient="portrait"/>
          <w:cols w:equalWidth="0" w:num="1">
            <w:col w:w="9300"/>
          </w:cols>
          <w:pgMar w:left="1260" w:top="1003" w:right="133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15. Limitation of 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16. Term and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16.1</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16.2</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Wind-up and Conversion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16.3</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Amazon Termination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16.4</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Affirm Termination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16.5</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Adverse Change in Applicable Law</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16.6</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 of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97"/>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17. Post-Termination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17.1</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Settlement of Pending Transactions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17.2</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Customer Service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18. 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18.1</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Taxes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18.2</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Intentionally Omitted</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18.3</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Assignment; Change of Control</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18.4</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18.5</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Relationship of Parties; No Joint Venture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18.6</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Third Party Beneficiaries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18.7</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Implied 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18.8</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Remedies Cumulative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18.9</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18.1</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2"/>
              </w:rPr>
              <w:t>18.11</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 and Forum</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97"/>
        </w:trPr>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2"/>
              </w:rPr>
              <w:t>18.12</w:t>
            </w:r>
          </w:p>
        </w:tc>
        <w:tc>
          <w:tcPr>
            <w:tcW w:w="61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Entire Agreement; Amendments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9400"/>
          </w:cols>
          <w:pgMar w:left="1160" w:top="1003" w:right="1339" w:bottom="1440" w:gutter="0" w:footer="0" w:header="0"/>
        </w:sectPr>
      </w:pPr>
    </w:p>
    <w:bookmarkStart w:id="200" w:name="page201"/>
    <w:bookmarkEnd w:id="200"/>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 Form of Covered Affiliate Counterpart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2.1 Technical Support Standards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2.3(A)(1) Program Credit Features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2.3(A)(2) Amazon Pay Program Credit Features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2.5(B) Program Performance Targets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3.1 Application Process – Selected Features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 Performance Standards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4.2 Account Access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5.3 Marketing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5.4 Phase 2 Opportunities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6.1 Initial Steering Committee Members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6.3 Reserved Matters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6.7 Program Personnel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6.10(F) Remittance File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7.1 Program Financial Arrangements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7.3 Financial Obligations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12.1 Affirm Trademarks.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12.1 Amazon Trademarks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13.1 Reports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Installment Credit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Information Security Requirements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Prohibited Businesses Policy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Affirm Merchant Terms of Service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2">
            <w:col w:w="8280" w:space="720"/>
            <w:col w:w="519"/>
          </w:cols>
          <w:pgMar w:left="940" w:top="1440" w:right="1440"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2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Installment Financing Services AGREEMENT</w:t>
      </w:r>
    </w:p>
    <w:p>
      <w:pPr>
        <w:spacing w:after="0" w:line="129" w:lineRule="exact"/>
        <w:rPr>
          <w:sz w:val="20"/>
          <w:szCs w:val="20"/>
          <w:color w:val="auto"/>
        </w:rPr>
      </w:pPr>
    </w:p>
    <w:p>
      <w:pPr>
        <w:jc w:val="both"/>
        <w:ind w:right="199" w:firstLine="648"/>
        <w:spacing w:after="0" w:line="248" w:lineRule="auto"/>
        <w:rPr>
          <w:sz w:val="20"/>
          <w:szCs w:val="20"/>
          <w:color w:val="auto"/>
        </w:rPr>
      </w:pPr>
      <w:r>
        <w:rPr>
          <w:rFonts w:ascii="Times New Roman" w:cs="Times New Roman" w:eastAsia="Times New Roman" w:hAnsi="Times New Roman"/>
          <w:sz w:val="22"/>
          <w:szCs w:val="22"/>
          <w:color w:val="auto"/>
        </w:rPr>
        <w:t>This Second Amended and Restated Installment Financing Services Agreement (together with all exhibits and schedules,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executed as of November 6, 2025 and to be effective as of February 1,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entered into by and among (a) AFFIRM, INC., a financial services technology company incorporated in Delaware (“</w:t>
      </w:r>
      <w:r>
        <w:rPr>
          <w:rFonts w:ascii="Times New Roman" w:cs="Times New Roman" w:eastAsia="Times New Roman" w:hAnsi="Times New Roman"/>
          <w:sz w:val="22"/>
          <w:szCs w:val="22"/>
          <w:b w:val="1"/>
          <w:bCs w:val="1"/>
          <w:color w:val="auto"/>
        </w:rPr>
        <w:t>Affirm</w:t>
      </w:r>
      <w:r>
        <w:rPr>
          <w:rFonts w:ascii="Times New Roman" w:cs="Times New Roman" w:eastAsia="Times New Roman" w:hAnsi="Times New Roman"/>
          <w:sz w:val="22"/>
          <w:szCs w:val="22"/>
          <w:color w:val="auto"/>
        </w:rPr>
        <w:t>”) and (b) AMAZON.COM SERVICES LLC, a Delaware limited liability company (“</w:t>
      </w:r>
      <w:r>
        <w:rPr>
          <w:rFonts w:ascii="Times New Roman" w:cs="Times New Roman" w:eastAsia="Times New Roman" w:hAnsi="Times New Roman"/>
          <w:sz w:val="22"/>
          <w:szCs w:val="22"/>
          <w:b w:val="1"/>
          <w:bCs w:val="1"/>
          <w:color w:val="auto"/>
        </w:rPr>
        <w:t>Amazon Services</w:t>
      </w:r>
      <w:r>
        <w:rPr>
          <w:rFonts w:ascii="Times New Roman" w:cs="Times New Roman" w:eastAsia="Times New Roman" w:hAnsi="Times New Roman"/>
          <w:sz w:val="22"/>
          <w:szCs w:val="22"/>
          <w:color w:val="auto"/>
        </w:rPr>
        <w:t>”), AMAZON PAYMENTS, INC., a Delaware corporation (“</w:t>
      </w:r>
      <w:r>
        <w:rPr>
          <w:rFonts w:ascii="Times New Roman" w:cs="Times New Roman" w:eastAsia="Times New Roman" w:hAnsi="Times New Roman"/>
          <w:sz w:val="22"/>
          <w:szCs w:val="22"/>
          <w:b w:val="1"/>
          <w:bCs w:val="1"/>
          <w:color w:val="auto"/>
        </w:rPr>
        <w:t>Amazon Payments</w:t>
      </w:r>
      <w:r>
        <w:rPr>
          <w:rFonts w:ascii="Times New Roman" w:cs="Times New Roman" w:eastAsia="Times New Roman" w:hAnsi="Times New Roman"/>
          <w:sz w:val="22"/>
          <w:szCs w:val="22"/>
          <w:color w:val="auto"/>
        </w:rPr>
        <w:t>”), and each Covered Amazon Affiliate (as hereinafter defined) (each a “</w:t>
      </w:r>
      <w:r>
        <w:rPr>
          <w:rFonts w:ascii="Times New Roman" w:cs="Times New Roman" w:eastAsia="Times New Roman" w:hAnsi="Times New Roman"/>
          <w:sz w:val="22"/>
          <w:szCs w:val="22"/>
          <w:b w:val="1"/>
          <w:bCs w:val="1"/>
          <w:color w:val="auto"/>
        </w:rPr>
        <w:t>Covered Amazon Affiliate</w:t>
      </w:r>
      <w:r>
        <w:rPr>
          <w:rFonts w:ascii="Times New Roman" w:cs="Times New Roman" w:eastAsia="Times New Roman" w:hAnsi="Times New Roman"/>
          <w:sz w:val="22"/>
          <w:szCs w:val="22"/>
          <w:color w:val="auto"/>
        </w:rPr>
        <w:t>”, and together with Amazon Services, Amazon Payments and Affirm,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Amazon Services, Amazon Payments and a Covered Amazon Affiliate may also be referred to herein individually as “</w:t>
      </w:r>
      <w:r>
        <w:rPr>
          <w:rFonts w:ascii="Times New Roman" w:cs="Times New Roman" w:eastAsia="Times New Roman" w:hAnsi="Times New Roman"/>
          <w:sz w:val="22"/>
          <w:szCs w:val="22"/>
          <w:b w:val="1"/>
          <w:bCs w:val="1"/>
          <w:color w:val="auto"/>
        </w:rPr>
        <w:t>Amazon</w:t>
      </w:r>
      <w:r>
        <w:rPr>
          <w:rFonts w:ascii="Times New Roman" w:cs="Times New Roman" w:eastAsia="Times New Roman" w:hAnsi="Times New Roman"/>
          <w:sz w:val="22"/>
          <w:szCs w:val="22"/>
          <w:color w:val="auto"/>
        </w:rPr>
        <w:t>”. This Agreement amends and restates in its entirety the Amended and Restated Installment Financing Services Agreement, dated as of November 10, 2021, by and between Amazon and Affirm (as amended from time to time) (“</w:t>
      </w:r>
      <w:r>
        <w:rPr>
          <w:rFonts w:ascii="Times New Roman" w:cs="Times New Roman" w:eastAsia="Times New Roman" w:hAnsi="Times New Roman"/>
          <w:sz w:val="22"/>
          <w:szCs w:val="22"/>
          <w:b w:val="1"/>
          <w:bCs w:val="1"/>
          <w:color w:val="auto"/>
        </w:rPr>
        <w:t>Existing Agreement</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RECITALS</w:t>
      </w:r>
    </w:p>
    <w:p>
      <w:pPr>
        <w:spacing w:after="0" w:line="29" w:lineRule="exact"/>
        <w:rPr>
          <w:sz w:val="20"/>
          <w:szCs w:val="20"/>
          <w:color w:val="auto"/>
        </w:rPr>
      </w:pPr>
    </w:p>
    <w:p>
      <w:pPr>
        <w:ind w:right="859"/>
        <w:spacing w:after="0" w:line="285" w:lineRule="auto"/>
        <w:tabs>
          <w:tab w:leader="none" w:pos="41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Amazon operates a business that has a leading brand name associated with online shopping and other products and services.</w:t>
      </w:r>
    </w:p>
    <w:p>
      <w:pPr>
        <w:spacing w:after="0" w:line="169" w:lineRule="exact"/>
        <w:rPr>
          <w:rFonts w:ascii="Times New Roman" w:cs="Times New Roman" w:eastAsia="Times New Roman" w:hAnsi="Times New Roman"/>
          <w:sz w:val="22"/>
          <w:szCs w:val="22"/>
          <w:color w:val="auto"/>
        </w:rPr>
      </w:pPr>
    </w:p>
    <w:p>
      <w:pPr>
        <w:ind w:right="199"/>
        <w:spacing w:after="0" w:line="271" w:lineRule="auto"/>
        <w:tabs>
          <w:tab w:leader="none" w:pos="40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Affirm operates a “Buy-now-pay-later” business, providing installment loans at the point of sale to finance consumer’s purchases.</w:t>
      </w:r>
    </w:p>
    <w:p>
      <w:pPr>
        <w:spacing w:after="0" w:line="157" w:lineRule="exact"/>
        <w:rPr>
          <w:rFonts w:ascii="Times New Roman" w:cs="Times New Roman" w:eastAsia="Times New Roman" w:hAnsi="Times New Roman"/>
          <w:sz w:val="22"/>
          <w:szCs w:val="22"/>
          <w:color w:val="auto"/>
        </w:rPr>
      </w:pPr>
    </w:p>
    <w:p>
      <w:pPr>
        <w:ind w:right="199"/>
        <w:spacing w:after="0" w:line="271" w:lineRule="auto"/>
        <w:tabs>
          <w:tab w:leader="none" w:pos="40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Amazon and Affirm are parties to the Existing Agreement pursuant to which installment lending is provided to Amazon Customers on the Participating Sites.</w:t>
      </w:r>
    </w:p>
    <w:p>
      <w:pPr>
        <w:spacing w:after="0" w:line="157" w:lineRule="exact"/>
        <w:rPr>
          <w:rFonts w:ascii="Times New Roman" w:cs="Times New Roman" w:eastAsia="Times New Roman" w:hAnsi="Times New Roman"/>
          <w:sz w:val="22"/>
          <w:szCs w:val="22"/>
          <w:color w:val="auto"/>
        </w:rPr>
      </w:pPr>
    </w:p>
    <w:p>
      <w:pPr>
        <w:ind w:right="199"/>
        <w:spacing w:after="0" w:line="271" w:lineRule="auto"/>
        <w:tabs>
          <w:tab w:leader="none" w:pos="58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Amazon and Affirm wish to extend the installment lending program for an additional term pursuant to the terms and conditions set forth in this Agreement.</w:t>
      </w:r>
    </w:p>
    <w:p>
      <w:pPr>
        <w:spacing w:after="0" w:line="184" w:lineRule="exact"/>
        <w:rPr>
          <w:rFonts w:ascii="Times New Roman" w:cs="Times New Roman" w:eastAsia="Times New Roman" w:hAnsi="Times New Roman"/>
          <w:sz w:val="22"/>
          <w:szCs w:val="22"/>
          <w:color w:val="auto"/>
        </w:rPr>
      </w:pPr>
    </w:p>
    <w:p>
      <w:pPr>
        <w:ind w:left="400" w:hanging="400"/>
        <w:spacing w:after="0"/>
        <w:tabs>
          <w:tab w:leader="none" w:pos="4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(i) this Agreement shall not become effective until February 1, 2026,</w:t>
      </w:r>
    </w:p>
    <w:p>
      <w:pPr>
        <w:spacing w:after="0" w:line="29" w:lineRule="exact"/>
        <w:rPr>
          <w:sz w:val="20"/>
          <w:szCs w:val="20"/>
          <w:color w:val="auto"/>
        </w:rPr>
      </w:pPr>
    </w:p>
    <w:p>
      <w:pPr>
        <w:jc w:val="both"/>
        <w:ind w:right="199"/>
        <w:spacing w:after="0" w:line="251" w:lineRule="auto"/>
        <w:tabs>
          <w:tab w:leader="none" w:pos="36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Existing Agreement shall remain in full force and effect until 11:59 PM Pacific Time on January 31, 2026, and (iii) this Agreement shall become effective at 12:00 AM Pacific Time on February 1, 2026.</w:t>
      </w:r>
    </w:p>
    <w:p>
      <w:pPr>
        <w:spacing w:after="0" w:line="1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AGREEMENT</w:t>
      </w:r>
    </w:p>
    <w:p>
      <w:pPr>
        <w:spacing w:after="0" w:line="233" w:lineRule="exact"/>
        <w:rPr>
          <w:sz w:val="20"/>
          <w:szCs w:val="20"/>
          <w:color w:val="auto"/>
        </w:rPr>
      </w:pPr>
    </w:p>
    <w:p>
      <w:pPr>
        <w:jc w:val="both"/>
        <w:ind w:right="199" w:firstLine="648"/>
        <w:spacing w:after="0" w:line="257" w:lineRule="auto"/>
        <w:rPr>
          <w:sz w:val="20"/>
          <w:szCs w:val="20"/>
          <w:color w:val="auto"/>
        </w:rPr>
      </w:pPr>
      <w:r>
        <w:rPr>
          <w:rFonts w:ascii="Times New Roman" w:cs="Times New Roman" w:eastAsia="Times New Roman" w:hAnsi="Times New Roman"/>
          <w:sz w:val="22"/>
          <w:szCs w:val="22"/>
          <w:color w:val="auto"/>
        </w:rPr>
        <w:t>In consideration of the mutual promises and covenants set forth in this Agreement and other good and valuable consideration, the receipt and sufficiency of which are hereby acknowledged by each Party, Affirm and the Amazon Parties agree as follows:</w:t>
      </w:r>
    </w:p>
    <w:p>
      <w:pPr>
        <w:spacing w:after="0" w:line="169" w:lineRule="exact"/>
        <w:rPr>
          <w:sz w:val="20"/>
          <w:szCs w:val="20"/>
          <w:color w:val="auto"/>
        </w:rPr>
      </w:pPr>
    </w:p>
    <w:p>
      <w:pPr>
        <w:ind w:left="1000" w:hanging="351"/>
        <w:spacing w:after="0"/>
        <w:tabs>
          <w:tab w:leader="none" w:pos="100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DEFINITIONS.</w:t>
      </w:r>
    </w:p>
    <w:p>
      <w:pPr>
        <w:spacing w:after="0" w:line="220" w:lineRule="exact"/>
        <w:rPr>
          <w:sz w:val="20"/>
          <w:szCs w:val="20"/>
          <w:color w:val="auto"/>
        </w:rPr>
      </w:pPr>
    </w:p>
    <w:p>
      <w:pPr>
        <w:ind w:left="1260" w:right="699" w:firstLine="648"/>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Unless otherwise defined in this Agreement, capitalized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terms have the meaning set forth in </w:t>
      </w:r>
      <w:r>
        <w:rPr>
          <w:rFonts w:ascii="Times New Roman" w:cs="Times New Roman" w:eastAsia="Times New Roman" w:hAnsi="Times New Roman"/>
          <w:sz w:val="21"/>
          <w:szCs w:val="21"/>
          <w:u w:val="single" w:color="auto"/>
          <w:color w:val="auto"/>
        </w:rPr>
        <w:t>Schedule 1.1</w:t>
      </w:r>
      <w:r>
        <w:rPr>
          <w:rFonts w:ascii="Times New Roman" w:cs="Times New Roman" w:eastAsia="Times New Roman" w:hAnsi="Times New Roman"/>
          <w:sz w:val="21"/>
          <w:szCs w:val="21"/>
          <w:color w:val="auto"/>
        </w:rPr>
        <w:t>.</w:t>
      </w:r>
    </w:p>
    <w:p>
      <w:pPr>
        <w:sectPr>
          <w:pgSz w:w="11900" w:h="16838" w:orient="portrait"/>
          <w:cols w:equalWidth="0" w:num="1">
            <w:col w:w="9159"/>
          </w:cols>
          <w:pgMar w:left="1300" w:top="1440" w:right="1440" w:bottom="1440" w:gutter="0" w:footer="0" w:header="0"/>
        </w:sectPr>
      </w:pPr>
    </w:p>
    <w:p>
      <w:pPr>
        <w:spacing w:after="0" w:line="3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9159"/>
          </w:cols>
          <w:pgMar w:left="1300" w:top="1440" w:right="1440" w:bottom="1440" w:gutter="0" w:footer="0" w:header="0"/>
          <w:type w:val="continuous"/>
        </w:sectPr>
      </w:pPr>
    </w:p>
    <w:bookmarkStart w:id="202" w:name="page203"/>
    <w:bookmarkEnd w:id="202"/>
    <w:p>
      <w:pPr>
        <w:spacing w:after="0" w:line="208" w:lineRule="exact"/>
        <w:rPr>
          <w:sz w:val="20"/>
          <w:szCs w:val="20"/>
          <w:color w:val="auto"/>
        </w:rPr>
      </w:pPr>
    </w:p>
    <w:p>
      <w:pPr>
        <w:ind w:left="1120" w:right="199" w:firstLine="648"/>
        <w:spacing w:after="0" w:line="299"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In this Agreement, except where the context requires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otherwise:</w:t>
      </w:r>
    </w:p>
    <w:p>
      <w:pPr>
        <w:spacing w:after="0" w:line="131" w:lineRule="exact"/>
        <w:rPr>
          <w:sz w:val="20"/>
          <w:szCs w:val="20"/>
          <w:color w:val="auto"/>
        </w:rPr>
      </w:pPr>
    </w:p>
    <w:p>
      <w:pPr>
        <w:ind w:left="2460" w:right="199" w:hanging="654"/>
        <w:spacing w:after="0" w:line="258" w:lineRule="auto"/>
        <w:tabs>
          <w:tab w:leader="none" w:pos="2433"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uses of the words “includes” and “including” mean “includes, without limitation” and “including, without limitation,” as applicable;</w:t>
      </w:r>
    </w:p>
    <w:p>
      <w:pPr>
        <w:spacing w:after="0" w:line="185" w:lineRule="exact"/>
        <w:rPr>
          <w:rFonts w:ascii="Times New Roman" w:cs="Times New Roman" w:eastAsia="Times New Roman" w:hAnsi="Times New Roman"/>
          <w:sz w:val="20"/>
          <w:szCs w:val="20"/>
          <w:b w:val="1"/>
          <w:bCs w:val="1"/>
          <w:color w:val="auto"/>
        </w:rPr>
      </w:pPr>
    </w:p>
    <w:p>
      <w:pPr>
        <w:ind w:left="2460" w:right="199" w:hanging="654"/>
        <w:spacing w:after="0" w:line="257" w:lineRule="auto"/>
        <w:tabs>
          <w:tab w:leader="none" w:pos="2382"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headings and captions contained in this Agreement are for convenience only and will not affect the interpretation or meaning of this Agreement or constitute a limitation of the terms of this Agreement;</w:t>
      </w:r>
    </w:p>
    <w:p>
      <w:pPr>
        <w:spacing w:after="0" w:line="186" w:lineRule="exact"/>
        <w:rPr>
          <w:rFonts w:ascii="Times New Roman" w:cs="Times New Roman" w:eastAsia="Times New Roman" w:hAnsi="Times New Roman"/>
          <w:sz w:val="20"/>
          <w:szCs w:val="20"/>
          <w:b w:val="1"/>
          <w:bCs w:val="1"/>
          <w:color w:val="auto"/>
        </w:rPr>
      </w:pPr>
    </w:p>
    <w:p>
      <w:pPr>
        <w:jc w:val="both"/>
        <w:ind w:left="2460" w:right="199" w:hanging="654"/>
        <w:spacing w:after="0" w:line="257" w:lineRule="auto"/>
        <w:tabs>
          <w:tab w:leader="none" w:pos="2433"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unless otherwise stated, any reference in this Agreement to a Section, Schedule or Exhibit will be deemed to reference the applicable Section, Schedule or Exhibit of this Agreement;</w:t>
      </w:r>
    </w:p>
    <w:p>
      <w:pPr>
        <w:spacing w:after="0" w:line="159" w:lineRule="exact"/>
        <w:rPr>
          <w:rFonts w:ascii="Times New Roman" w:cs="Times New Roman" w:eastAsia="Times New Roman" w:hAnsi="Times New Roman"/>
          <w:sz w:val="20"/>
          <w:szCs w:val="20"/>
          <w:b w:val="1"/>
          <w:bCs w:val="1"/>
          <w:color w:val="auto"/>
        </w:rPr>
      </w:pPr>
    </w:p>
    <w:p>
      <w:pPr>
        <w:ind w:left="2460" w:right="219" w:hanging="654"/>
        <w:spacing w:after="0" w:line="271" w:lineRule="auto"/>
        <w:tabs>
          <w:tab w:leader="none" w:pos="2379"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reference to time is to local time in the Territory, standard or daylight savings as applicable;</w:t>
      </w:r>
    </w:p>
    <w:p>
      <w:pPr>
        <w:spacing w:after="0" w:line="171" w:lineRule="exact"/>
        <w:rPr>
          <w:rFonts w:ascii="Times New Roman" w:cs="Times New Roman" w:eastAsia="Times New Roman" w:hAnsi="Times New Roman"/>
          <w:sz w:val="20"/>
          <w:szCs w:val="20"/>
          <w:b w:val="1"/>
          <w:bCs w:val="1"/>
          <w:color w:val="auto"/>
        </w:rPr>
      </w:pPr>
    </w:p>
    <w:p>
      <w:pPr>
        <w:ind w:left="2460" w:right="199" w:hanging="654"/>
        <w:spacing w:after="0" w:line="257" w:lineRule="auto"/>
        <w:tabs>
          <w:tab w:leader="none" w:pos="2301"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if a day on or by which an obligation must be performed or an event must occur is not a Business Day, the obligation must be performed or the event must occur on or by the next Business Day; and</w:t>
      </w:r>
    </w:p>
    <w:p>
      <w:pPr>
        <w:spacing w:after="0" w:line="172" w:lineRule="exact"/>
        <w:rPr>
          <w:rFonts w:ascii="Times New Roman" w:cs="Times New Roman" w:eastAsia="Times New Roman" w:hAnsi="Times New Roman"/>
          <w:sz w:val="20"/>
          <w:szCs w:val="20"/>
          <w:b w:val="1"/>
          <w:bCs w:val="1"/>
          <w:color w:val="auto"/>
        </w:rPr>
      </w:pPr>
    </w:p>
    <w:p>
      <w:pPr>
        <w:ind w:left="2460" w:right="199" w:hanging="654"/>
        <w:spacing w:after="0" w:line="284" w:lineRule="auto"/>
        <w:tabs>
          <w:tab w:leader="none" w:pos="2262"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unless otherwise stated in this Agreement, the word “agree” means agree in writing.</w:t>
      </w:r>
    </w:p>
    <w:p>
      <w:pPr>
        <w:spacing w:after="0" w:line="140" w:lineRule="exact"/>
        <w:rPr>
          <w:sz w:val="20"/>
          <w:szCs w:val="20"/>
          <w:color w:val="auto"/>
        </w:rPr>
      </w:pPr>
    </w:p>
    <w:p>
      <w:pPr>
        <w:jc w:val="both"/>
        <w:ind w:left="1120" w:right="199"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1"/>
          <w:szCs w:val="21"/>
          <w:b w:val="1"/>
          <w:bCs w:val="1"/>
          <w:color w:val="auto"/>
        </w:rPr>
        <w:t>Covered Amazon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Parties agree that upon the execution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delivery of a Covered Affiliate Counterpart by a Covered Amazon Affiliate and Affirm in connection with adding the Amazon Affiliate Site(s) identified in such Covered Affiliate Counterpart as Participating Site(s) under the Program, such Covered Amazon Affiliate will become a party to this Agreement and all references to “Amazon” in this Agreement will be deemed to reference such Covered Amazon Affiliate as the context requires, in each case solely with respect to its participation in the Program, the offering and issuance of Program Credit on the applicable Amazon Affiliated Site(s), and its actions, inactions and omissions on its own behalf conducted under this Agreement. Upon the addition of a Covered Amazon Affiliate as a party to this Agreement, the Parties may amend </w:t>
      </w:r>
      <w:r>
        <w:rPr>
          <w:rFonts w:ascii="Times New Roman" w:cs="Times New Roman" w:eastAsia="Times New Roman" w:hAnsi="Times New Roman"/>
          <w:sz w:val="21"/>
          <w:szCs w:val="21"/>
          <w:u w:val="single" w:color="auto"/>
          <w:color w:val="auto"/>
        </w:rPr>
        <w:t>Schedule 12.2</w:t>
      </w:r>
      <w:r>
        <w:rPr>
          <w:rFonts w:ascii="Times New Roman" w:cs="Times New Roman" w:eastAsia="Times New Roman" w:hAnsi="Times New Roman"/>
          <w:sz w:val="21"/>
          <w:szCs w:val="21"/>
          <w:color w:val="auto"/>
        </w:rPr>
        <w:t xml:space="preserve"> in order to add any trademarks owned by such Covered Amazon Affiliate as a Trademark hereunder. Each Covered Amazon Affiliate may terminate its participation in this Agreement without any termination penalty or fee upon at least thirty (30) days’ prior written notice to Affirm. If any Covered Amazon Affiliate terminates its participation in this Agreement, the license granted in Section 12.2 for that Covered Amazon Affiliate shall be revoked and the Parties will amend </w:t>
      </w:r>
      <w:r>
        <w:rPr>
          <w:rFonts w:ascii="Times New Roman" w:cs="Times New Roman" w:eastAsia="Times New Roman" w:hAnsi="Times New Roman"/>
          <w:sz w:val="21"/>
          <w:szCs w:val="21"/>
          <w:u w:val="single" w:color="auto"/>
          <w:color w:val="auto"/>
        </w:rPr>
        <w:t>Schedule 12.2</w:t>
      </w:r>
      <w:r>
        <w:rPr>
          <w:rFonts w:ascii="Times New Roman" w:cs="Times New Roman" w:eastAsia="Times New Roman" w:hAnsi="Times New Roman"/>
          <w:sz w:val="21"/>
          <w:szCs w:val="21"/>
          <w:color w:val="auto"/>
        </w:rPr>
        <w:t xml:space="preserve"> to remove any Trademarks owned by such Covered Amazon Affiliate. Termination by a Covered Amazon Affiliate of its participation in this Agreement will not automatically result in termination of this Agreement with any other Amazon Party.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019"/>
          </w:cols>
          <w:pgMar w:left="1440" w:top="1440" w:right="1440" w:bottom="1440" w:gutter="0" w:footer="0" w:header="0"/>
        </w:sectPr>
      </w:pPr>
    </w:p>
    <w:bookmarkStart w:id="203" w:name="page204"/>
    <w:bookmarkEnd w:id="203"/>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1"/>
          <w:szCs w:val="21"/>
          <w:b w:val="1"/>
          <w:bCs w:val="1"/>
          <w:color w:val="auto"/>
        </w:rPr>
        <w:t>Individual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Any reference to “Amazon” or a particular “Amazon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Party” in this Agreement will refer to and only apply to that certain Amazon Party’s participation in the Program, or exercising rights, performing obligations or making representations and warranties under this Agreement. No Amazon Party is liable for the performance or obligations of any other Amazon Party under this Agreement. For the avoidance of doubt, each Covered Affiliate Counterpart shall constitute a separate agreement between Affirm and that Covered Amazon Affiliate, and no expiration, termination or breach of any Covered Affiliate Counterpart shall constitute an expiration, termination or breach, or otherwise affect in any manner, any other Covered Affiliate Counterpart. The parties executing the applicable Covered Affiliate Counterpart shall be solely responsible for all of the liabilities and obligations under this Agreement as they relate to such Covered Affiliate Counterpart.</w:t>
      </w:r>
    </w:p>
    <w:p>
      <w:pPr>
        <w:spacing w:after="0" w:line="171" w:lineRule="exact"/>
        <w:rPr>
          <w:sz w:val="20"/>
          <w:szCs w:val="20"/>
          <w:color w:val="auto"/>
        </w:rPr>
      </w:pPr>
    </w:p>
    <w:p>
      <w:pPr>
        <w:ind w:left="860" w:hanging="351"/>
        <w:spacing w:after="0"/>
        <w:tabs>
          <w:tab w:leader="none" w:pos="86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ISSUANCE OF PROGRAM CREDIT.</w:t>
      </w:r>
    </w:p>
    <w:p>
      <w:pPr>
        <w:spacing w:after="0" w:line="233"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General Program Responsibilities.</w:t>
      </w:r>
    </w:p>
    <w:p>
      <w:pPr>
        <w:spacing w:after="0" w:line="235" w:lineRule="exact"/>
        <w:rPr>
          <w:sz w:val="20"/>
          <w:szCs w:val="20"/>
          <w:color w:val="auto"/>
        </w:rPr>
      </w:pPr>
    </w:p>
    <w:p>
      <w:pPr>
        <w:ind w:left="2460" w:right="199" w:hanging="654"/>
        <w:spacing w:after="0" w:line="263" w:lineRule="auto"/>
        <w:tabs>
          <w:tab w:leader="none" w:pos="2285"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Amazon Parties may market the Program to Amazon Customers on the Participating Sites in accordance with the terms of this Agreement and fulfill their other responsibilities set out in this Agreement.</w:t>
      </w:r>
    </w:p>
    <w:p>
      <w:pPr>
        <w:spacing w:after="0" w:line="167" w:lineRule="exact"/>
        <w:rPr>
          <w:rFonts w:ascii="Times New Roman" w:cs="Times New Roman" w:eastAsia="Times New Roman" w:hAnsi="Times New Roman"/>
          <w:sz w:val="20"/>
          <w:szCs w:val="20"/>
          <w:b w:val="1"/>
          <w:bCs w:val="1"/>
          <w:color w:val="auto"/>
        </w:rPr>
      </w:pPr>
    </w:p>
    <w:p>
      <w:pPr>
        <w:ind w:left="2460" w:right="199" w:hanging="654"/>
        <w:spacing w:after="0" w:line="250" w:lineRule="auto"/>
        <w:tabs>
          <w:tab w:leader="none" w:pos="2355"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will provide access to Program Credit to Eligible Applicants and fulfill its other responsibilities set out in this Agreement, and Affirm’s Affiliate or Bank will issue Program Credit to Approved Customers in accordance with the terms of this Agreement. Any reference to “Affirm” in relation to the provision, issuance, extension, or servicing of credit in this Agreement shall refer to Affirm or Affirm’s Affiliate(s), as applicable. For the avoidance of doubt, Affirm, Inc. is not the creditor for Program Credits originated by Bank or Affirm’s Affiliate, Affirm Loan Services, LLC.</w:t>
      </w:r>
    </w:p>
    <w:p>
      <w:pPr>
        <w:spacing w:after="0" w:line="176"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Program Operation.</w:t>
      </w:r>
    </w:p>
    <w:p>
      <w:pPr>
        <w:spacing w:after="0" w:line="245" w:lineRule="exact"/>
        <w:rPr>
          <w:sz w:val="20"/>
          <w:szCs w:val="20"/>
          <w:color w:val="auto"/>
        </w:rPr>
      </w:pPr>
    </w:p>
    <w:p>
      <w:pPr>
        <w:ind w:left="2460" w:right="199" w:hanging="654"/>
        <w:spacing w:after="0" w:line="263" w:lineRule="auto"/>
        <w:tabs>
          <w:tab w:leader="none" w:pos="2163" w:val="left"/>
        </w:tabs>
        <w:numPr>
          <w:ilvl w:val="0"/>
          <w:numId w:val="1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General Obligations. </w:t>
      </w:r>
      <w:r>
        <w:rPr>
          <w:rFonts w:ascii="Times New Roman" w:cs="Times New Roman" w:eastAsia="Times New Roman" w:hAnsi="Times New Roman"/>
          <w:sz w:val="21"/>
          <w:szCs w:val="21"/>
          <w:color w:val="auto"/>
        </w:rPr>
        <w:t>During the Term, (i) [***] Affirm will provide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Affirm-Hosted Solution, in each case in accordance with this Agreement, and (ii) Affirm or Affirm’s Affiliate(s) will offer, in partnership with Bank, if applicable, Program Credit to Eligible Applicants to finance the purchase of Eligible Products on or through Participating Sites and will issue Program Credit to or facilitate the issuance of Program Credit by Bank to Approved Customers, in each case, in accordance with this Agreement and the Technical Specifications. Not in limitation of Section 1.3 above, Amazon Services and Affirm may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019"/>
          </w:cols>
          <w:pgMar w:left="1440" w:top="1188" w:right="1440" w:bottom="1440" w:gutter="0" w:footer="0" w:header="0"/>
        </w:sectPr>
      </w:pPr>
    </w:p>
    <w:bookmarkStart w:id="204" w:name="page205"/>
    <w:bookmarkEnd w:id="204"/>
    <w:p>
      <w:pPr>
        <w:spacing w:after="0" w:line="212" w:lineRule="exact"/>
        <w:rPr>
          <w:sz w:val="20"/>
          <w:szCs w:val="20"/>
          <w:color w:val="auto"/>
        </w:rPr>
      </w:pPr>
    </w:p>
    <w:p>
      <w:pPr>
        <w:ind w:left="2460" w:right="1159"/>
        <w:spacing w:after="0" w:line="271" w:lineRule="auto"/>
        <w:rPr>
          <w:sz w:val="20"/>
          <w:szCs w:val="20"/>
          <w:color w:val="auto"/>
        </w:rPr>
      </w:pPr>
      <w:r>
        <w:rPr>
          <w:rFonts w:ascii="Times New Roman" w:cs="Times New Roman" w:eastAsia="Times New Roman" w:hAnsi="Times New Roman"/>
          <w:sz w:val="22"/>
          <w:szCs w:val="22"/>
          <w:color w:val="auto"/>
        </w:rPr>
        <w:t>also agree to make the Program Application available on other Participating Sites.</w:t>
      </w:r>
    </w:p>
    <w:p>
      <w:pPr>
        <w:spacing w:after="0" w:line="154"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Program Features.</w:t>
      </w:r>
    </w:p>
    <w:p>
      <w:pPr>
        <w:spacing w:after="0" w:line="245" w:lineRule="exact"/>
        <w:rPr>
          <w:sz w:val="20"/>
          <w:szCs w:val="20"/>
          <w:color w:val="auto"/>
        </w:rPr>
      </w:pPr>
    </w:p>
    <w:p>
      <w:pPr>
        <w:jc w:val="both"/>
        <w:ind w:left="2460" w:right="179" w:hanging="654"/>
        <w:spacing w:after="0" w:line="247" w:lineRule="auto"/>
        <w:tabs>
          <w:tab w:leader="none" w:pos="2447"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Initial Terms and Program Features. </w:t>
      </w:r>
      <w:r>
        <w:rPr>
          <w:rFonts w:ascii="Times New Roman" w:cs="Times New Roman" w:eastAsia="Times New Roman" w:hAnsi="Times New Roman"/>
          <w:sz w:val="22"/>
          <w:szCs w:val="22"/>
          <w:color w:val="auto"/>
        </w:rPr>
        <w:t>The initial Key Credit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Pricing Options, other initial features of Program Credit, and other terms related to the Key Credit Terms and Program Credit are specified in </w:t>
      </w:r>
      <w:r>
        <w:rPr>
          <w:rFonts w:ascii="Times New Roman" w:cs="Times New Roman" w:eastAsia="Times New Roman" w:hAnsi="Times New Roman"/>
          <w:sz w:val="22"/>
          <w:szCs w:val="22"/>
          <w:u w:val="single" w:color="auto"/>
          <w:color w:val="auto"/>
        </w:rPr>
        <w:t>Schedule 2.3(A)(1)</w:t>
      </w:r>
      <w:r>
        <w:rPr>
          <w:rFonts w:ascii="Times New Roman" w:cs="Times New Roman" w:eastAsia="Times New Roman" w:hAnsi="Times New Roman"/>
          <w:sz w:val="22"/>
          <w:szCs w:val="22"/>
          <w:color w:val="auto"/>
        </w:rPr>
        <w:t xml:space="preserve">, or, for Program Credits issued for purchases on Processed Merchant Sites, </w:t>
      </w:r>
      <w:r>
        <w:rPr>
          <w:rFonts w:ascii="Times New Roman" w:cs="Times New Roman" w:eastAsia="Times New Roman" w:hAnsi="Times New Roman"/>
          <w:sz w:val="22"/>
          <w:szCs w:val="22"/>
          <w:u w:val="single" w:color="auto"/>
          <w:color w:val="auto"/>
        </w:rPr>
        <w:t>Schedule 2.3(A)(2)</w:t>
      </w:r>
      <w:r>
        <w:rPr>
          <w:rFonts w:ascii="Times New Roman" w:cs="Times New Roman" w:eastAsia="Times New Roman" w:hAnsi="Times New Roman"/>
          <w:sz w:val="22"/>
          <w:szCs w:val="22"/>
          <w:color w:val="auto"/>
        </w:rPr>
        <w:t xml:space="preserve">. Affirm will enable each Approved Customer to use Program Credit to finance a purchase of a Basket in accordance with the applicable Installment Credit Agreement up to the applicable amount for which such Approved Customer has been approved in connection with such purchase. Affirm, either on its own behalf or on behalf of Bank, and Amazon Services will determine (i) the Key Credit Terms to be offered to Amazon Customers with respect to the Program (as such terms may be amended by agreement between Amazon Services and Affirm from time to time in accordance with Section 2.3(C) and Section 4 of </w:t>
      </w:r>
      <w:r>
        <w:rPr>
          <w:rFonts w:ascii="Times New Roman" w:cs="Times New Roman" w:eastAsia="Times New Roman" w:hAnsi="Times New Roman"/>
          <w:sz w:val="22"/>
          <w:szCs w:val="22"/>
          <w:u w:val="single" w:color="auto"/>
          <w:color w:val="auto"/>
        </w:rPr>
        <w:t>Schedule 2.3(A)(1)</w:t>
      </w:r>
      <w:r>
        <w:rPr>
          <w:rFonts w:ascii="Times New Roman" w:cs="Times New Roman" w:eastAsia="Times New Roman" w:hAnsi="Times New Roman"/>
          <w:sz w:val="22"/>
          <w:szCs w:val="22"/>
          <w:color w:val="auto"/>
        </w:rPr>
        <w:t>) and (ii) the Pricing Options. Amazon Services will determine, in its sole discretion from time to time, the Pricing Options and the Financing Terms that will be offered and marketed to Amazon Customers.</w:t>
      </w:r>
    </w:p>
    <w:p>
      <w:pPr>
        <w:spacing w:after="0" w:line="204" w:lineRule="exact"/>
        <w:rPr>
          <w:rFonts w:ascii="Times New Roman" w:cs="Times New Roman" w:eastAsia="Times New Roman" w:hAnsi="Times New Roman"/>
          <w:sz w:val="20"/>
          <w:szCs w:val="20"/>
          <w:b w:val="1"/>
          <w:bCs w:val="1"/>
          <w:color w:val="auto"/>
        </w:rPr>
      </w:pPr>
    </w:p>
    <w:p>
      <w:pPr>
        <w:ind w:left="2460" w:right="199" w:hanging="654"/>
        <w:spacing w:after="0" w:line="250" w:lineRule="auto"/>
        <w:tabs>
          <w:tab w:leader="none" w:pos="2328"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Program Branding. </w:t>
      </w:r>
      <w:r>
        <w:rPr>
          <w:rFonts w:ascii="Times New Roman" w:cs="Times New Roman" w:eastAsia="Times New Roman" w:hAnsi="Times New Roman"/>
          <w:sz w:val="22"/>
          <w:szCs w:val="22"/>
          <w:color w:val="auto"/>
        </w:rPr>
        <w:t>The Amazon brand will be the primary branding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Program in customer-facing placements that are [***] on the Amazon Site and other Participating Sites. Subject to compliance with Applicable Law and Section 2.4 below, Affirm’s branding and/or brand name will appear in customer-facing materials to the extent necessary to make it clear to applicants and Approved Customers that Affirm, or Bank, as applicable, is the lender in respect of Program Credits.</w:t>
      </w:r>
    </w:p>
    <w:p>
      <w:pPr>
        <w:spacing w:after="0" w:line="180" w:lineRule="exact"/>
        <w:rPr>
          <w:rFonts w:ascii="Times New Roman" w:cs="Times New Roman" w:eastAsia="Times New Roman" w:hAnsi="Times New Roman"/>
          <w:sz w:val="20"/>
          <w:szCs w:val="20"/>
          <w:b w:val="1"/>
          <w:bCs w:val="1"/>
          <w:color w:val="auto"/>
        </w:rPr>
      </w:pPr>
    </w:p>
    <w:p>
      <w:pPr>
        <w:jc w:val="both"/>
        <w:ind w:left="2460" w:right="179" w:hanging="654"/>
        <w:spacing w:after="0" w:line="262" w:lineRule="auto"/>
        <w:tabs>
          <w:tab w:leader="none" w:pos="2541" w:val="left"/>
        </w:tabs>
        <w:numPr>
          <w:ilvl w:val="0"/>
          <w:numId w:val="1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Changes to Terms. </w:t>
      </w:r>
      <w:r>
        <w:rPr>
          <w:rFonts w:ascii="Times New Roman" w:cs="Times New Roman" w:eastAsia="Times New Roman" w:hAnsi="Times New Roman"/>
          <w:sz w:val="21"/>
          <w:szCs w:val="21"/>
          <w:color w:val="auto"/>
        </w:rPr>
        <w:t>Unless otherwise agreed by Amazon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mandated by Applicable Law, Affirm will not make any changes to the Key Credit Terms or charge any fees, pricing or charges to any Approved Customer other than those specified in </w:t>
      </w:r>
      <w:r>
        <w:rPr>
          <w:rFonts w:ascii="Times New Roman" w:cs="Times New Roman" w:eastAsia="Times New Roman" w:hAnsi="Times New Roman"/>
          <w:sz w:val="21"/>
          <w:szCs w:val="21"/>
          <w:u w:val="single" w:color="auto"/>
          <w:color w:val="auto"/>
        </w:rPr>
        <w:t>Schedule 2.3(A)(1)</w:t>
      </w:r>
      <w:r>
        <w:rPr>
          <w:rFonts w:ascii="Times New Roman" w:cs="Times New Roman" w:eastAsia="Times New Roman" w:hAnsi="Times New Roman"/>
          <w:sz w:val="21"/>
          <w:szCs w:val="21"/>
          <w:color w:val="auto"/>
        </w:rPr>
        <w:t xml:space="preserve"> or, for Program Credits issued for purchases on Processed Merchant Sites, </w:t>
      </w:r>
      <w:r>
        <w:rPr>
          <w:rFonts w:ascii="Times New Roman" w:cs="Times New Roman" w:eastAsia="Times New Roman" w:hAnsi="Times New Roman"/>
          <w:sz w:val="21"/>
          <w:szCs w:val="21"/>
          <w:u w:val="single" w:color="auto"/>
          <w:color w:val="auto"/>
        </w:rPr>
        <w:t>Schedule 2.3(A)(2)</w:t>
      </w:r>
      <w:r>
        <w:rPr>
          <w:rFonts w:ascii="Times New Roman" w:cs="Times New Roman" w:eastAsia="Times New Roman" w:hAnsi="Times New Roman"/>
          <w:sz w:val="21"/>
          <w:szCs w:val="21"/>
          <w:color w:val="auto"/>
        </w:rPr>
        <w:t>. Notwithstanding the foregoing, (i) solely with respect to certain Eligible Products in the [***] product category selected by Amazon in its discretion, Amazon may reduce the Minimum Basket Amount for the 24-month Financing Term to an amount not less than [***] by providing prior written notice to Affirm, and (ii) the Parties may mutually agree in writing (email sufficient) to any other change to the Minimum Basket Amount applicable to any Financing Term as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019"/>
          </w:cols>
          <w:pgMar w:left="1440" w:top="1440" w:right="1440" w:bottom="1440" w:gutter="0" w:footer="0" w:header="0"/>
        </w:sectPr>
      </w:pPr>
    </w:p>
    <w:bookmarkStart w:id="205" w:name="page206"/>
    <w:bookmarkEnd w:id="205"/>
    <w:p>
      <w:pPr>
        <w:jc w:val="both"/>
        <w:ind w:left="2460" w:right="179"/>
        <w:spacing w:after="0" w:line="250" w:lineRule="auto"/>
        <w:rPr>
          <w:sz w:val="20"/>
          <w:szCs w:val="20"/>
          <w:color w:val="auto"/>
        </w:rPr>
      </w:pPr>
      <w:r>
        <w:rPr>
          <w:rFonts w:ascii="Times New Roman" w:cs="Times New Roman" w:eastAsia="Times New Roman" w:hAnsi="Times New Roman"/>
          <w:sz w:val="22"/>
          <w:szCs w:val="22"/>
          <w:color w:val="auto"/>
        </w:rPr>
        <w:t xml:space="preserve">specified in </w:t>
      </w:r>
      <w:r>
        <w:rPr>
          <w:rFonts w:ascii="Times New Roman" w:cs="Times New Roman" w:eastAsia="Times New Roman" w:hAnsi="Times New Roman"/>
          <w:sz w:val="22"/>
          <w:szCs w:val="22"/>
          <w:u w:val="single" w:color="auto"/>
          <w:color w:val="auto"/>
        </w:rPr>
        <w:t>Schedule 2.3(A)(1)</w:t>
      </w:r>
      <w:r>
        <w:rPr>
          <w:rFonts w:ascii="Times New Roman" w:cs="Times New Roman" w:eastAsia="Times New Roman" w:hAnsi="Times New Roman"/>
          <w:sz w:val="22"/>
          <w:szCs w:val="22"/>
          <w:color w:val="auto"/>
        </w:rPr>
        <w:t>, it being understood and agreed that to the extent the Parties agree to any reduction to the Minimum Basket Amount applicable to any Financing Term, all other terms applicable to such Financing Term (including the relevant Subsidy rates and APR ranges) will remain in effect unless otherwise agreed by the Parties. Affirm will provide prior written notice to Amazon Services of any changes mandated by Applicable Law.</w:t>
      </w:r>
    </w:p>
    <w:p>
      <w:pPr>
        <w:spacing w:after="0" w:line="176" w:lineRule="exact"/>
        <w:rPr>
          <w:sz w:val="20"/>
          <w:szCs w:val="20"/>
          <w:color w:val="auto"/>
        </w:rPr>
      </w:pPr>
    </w:p>
    <w:p>
      <w:pPr>
        <w:jc w:val="both"/>
        <w:ind w:left="1120" w:right="199"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2.4 </w:t>
      </w:r>
      <w:r>
        <w:rPr>
          <w:rFonts w:ascii="Times New Roman" w:cs="Times New Roman" w:eastAsia="Times New Roman" w:hAnsi="Times New Roman"/>
          <w:sz w:val="21"/>
          <w:szCs w:val="21"/>
          <w:b w:val="1"/>
          <w:bCs w:val="1"/>
          <w:color w:val="auto"/>
        </w:rPr>
        <w:t>Design and Printing of Statements and Other Materials.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Affirm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design Program Credit statements and any other general or regulatory-related mailings or communications sent to declined applicants for Program Credit or if applicable, Prequalification Application, Eligible Applicants, Amazon Customers approved for their Prequalification Application, Approved Customers in the ordinary course of administering the Program (collectively, “</w:t>
      </w:r>
      <w:r>
        <w:rPr>
          <w:rFonts w:ascii="Times New Roman" w:cs="Times New Roman" w:eastAsia="Times New Roman" w:hAnsi="Times New Roman"/>
          <w:sz w:val="21"/>
          <w:szCs w:val="21"/>
          <w:b w:val="1"/>
          <w:bCs w:val="1"/>
          <w:color w:val="auto"/>
        </w:rPr>
        <w:t>Program Credit Materials</w:t>
      </w:r>
      <w:r>
        <w:rPr>
          <w:rFonts w:ascii="Times New Roman" w:cs="Times New Roman" w:eastAsia="Times New Roman" w:hAnsi="Times New Roman"/>
          <w:sz w:val="21"/>
          <w:szCs w:val="21"/>
          <w:color w:val="auto"/>
        </w:rPr>
        <w:t>”), including certain communications related to pre-charge-off delinquency, in each case subject to Applicable Law. With respect to any Program Credit Materials (including any such materials created by a Subcontractor on behalf of Affirm), as between the Parties, Affirm will [***] be responsible for ensuring that such Program Credit Materials are in compliance with Applicable Law [***]. [***]. Affirm, its Affiliate, or Bank, as applicable, will be clearly identified as the lender in respect of Program Credit on all Program Credit Materials. Each Program Credit statement (whether electronic or physical) will bear the trading name specified in Section 2.1(B) or other Affirm Trademark. As between the Parties, Affirm will bear all expenses for the design, production and delivery of the Program Credit Materials (including printing, if applicable).</w:t>
      </w:r>
    </w:p>
    <w:p>
      <w:pPr>
        <w:spacing w:after="0" w:line="200" w:lineRule="exact"/>
        <w:rPr>
          <w:sz w:val="20"/>
          <w:szCs w:val="20"/>
          <w:color w:val="auto"/>
        </w:rPr>
      </w:pPr>
    </w:p>
    <w:p>
      <w:pPr>
        <w:spacing w:after="0" w:line="245"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Underwriting.</w:t>
      </w:r>
    </w:p>
    <w:p>
      <w:pPr>
        <w:spacing w:after="0" w:line="231" w:lineRule="exact"/>
        <w:rPr>
          <w:sz w:val="20"/>
          <w:szCs w:val="20"/>
          <w:color w:val="auto"/>
        </w:rPr>
      </w:pPr>
    </w:p>
    <w:p>
      <w:pPr>
        <w:ind w:left="2460" w:right="199" w:hanging="654"/>
        <w:spacing w:after="0" w:line="248" w:lineRule="auto"/>
        <w:tabs>
          <w:tab w:leader="none" w:pos="2285"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Affirm will, in conjunction with Bank, as applicable,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Application Data from an applicant for Prequalification Approval or Program Credit, as applicable, review and process the Program Application. Upon Affirm’s or Bank’s determination to approve, pend, or decline a Program Application under the Application Process as set forth in Schedule 3.1, and in compliance with Applicable Law, Affirm will relay such determination to Amazon Services. [***] For each application for Program Credits that is approved, Affirm or Bank, as applicable, will issue Program Credit for use by the Approved Customer to finance the purchase of the applicable Basket. [***]</w:t>
      </w:r>
    </w:p>
    <w:p>
      <w:pPr>
        <w:spacing w:after="0" w:line="7" w:lineRule="exact"/>
        <w:rPr>
          <w:rFonts w:ascii="Times New Roman" w:cs="Times New Roman" w:eastAsia="Times New Roman" w:hAnsi="Times New Roman"/>
          <w:sz w:val="20"/>
          <w:szCs w:val="20"/>
          <w:b w:val="1"/>
          <w:bCs w:val="1"/>
          <w:color w:val="auto"/>
        </w:rPr>
      </w:pPr>
    </w:p>
    <w:p>
      <w:pPr>
        <w:ind w:left="2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w:t>
      </w:r>
    </w:p>
    <w:p>
      <w:pPr>
        <w:spacing w:after="0" w:line="203" w:lineRule="exact"/>
        <w:rPr>
          <w:rFonts w:ascii="Times New Roman" w:cs="Times New Roman" w:eastAsia="Times New Roman" w:hAnsi="Times New Roman"/>
          <w:sz w:val="20"/>
          <w:szCs w:val="20"/>
          <w:b w:val="1"/>
          <w:bCs w:val="1"/>
          <w:color w:val="auto"/>
        </w:rPr>
      </w:pPr>
    </w:p>
    <w:p>
      <w:pPr>
        <w:ind w:left="2460" w:right="199" w:hanging="654"/>
        <w:spacing w:after="0" w:line="252" w:lineRule="auto"/>
        <w:tabs>
          <w:tab w:leader="none" w:pos="2341"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Criteria. </w:t>
      </w:r>
      <w:r>
        <w:rPr>
          <w:rFonts w:ascii="Times New Roman" w:cs="Times New Roman" w:eastAsia="Times New Roman" w:hAnsi="Times New Roman"/>
          <w:sz w:val="22"/>
          <w:szCs w:val="22"/>
          <w:color w:val="auto"/>
        </w:rPr>
        <w:t>Applicants will not be declined for any Program Application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whole or in part (1) on any basis inconsistent with Applicable Law, or (2) solely on the basis that the applicant is an existing holder of Program Credit, any Installment Credit Financing Program account with Affirm or Bank, or Other Finance Products issued by Affirm, Bank, or any of their respective Affiliates.</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019"/>
          </w:cols>
          <w:pgMar w:left="1440" w:top="1179" w:right="1440" w:bottom="1440" w:gutter="0" w:footer="0" w:header="0"/>
          <w:type w:val="continuous"/>
        </w:sectPr>
      </w:pPr>
    </w:p>
    <w:bookmarkStart w:id="206" w:name="page207"/>
    <w:bookmarkEnd w:id="206"/>
    <w:p>
      <w:pPr>
        <w:ind w:left="2460" w:right="179" w:hanging="654"/>
        <w:spacing w:after="0" w:line="266" w:lineRule="auto"/>
        <w:tabs>
          <w:tab w:leader="none" w:pos="2298" w:val="left"/>
        </w:tabs>
        <w:numPr>
          <w:ilvl w:val="0"/>
          <w:numId w:val="1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Acknowledgements. </w:t>
      </w:r>
      <w:r>
        <w:rPr>
          <w:rFonts w:ascii="Times New Roman" w:cs="Times New Roman" w:eastAsia="Times New Roman" w:hAnsi="Times New Roman"/>
          <w:sz w:val="21"/>
          <w:szCs w:val="21"/>
          <w:color w:val="auto"/>
        </w:rPr>
        <w:t>Affirm acknowledges that no Amazon Party is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way responsible for credit decisions on Program Applications and Affirm is solely responsible for complying with the requirements of Applicable Law in relation to the issuance of Program Credit. Each Amazon Party acknowledges that the decisions concerning the creditworthiness of any applicant in relation to the issuance of Program Credit will be made at the discretion of Affirm and Bank, as applicable, subject to Section 2.5(C).</w:t>
      </w:r>
    </w:p>
    <w:p>
      <w:pPr>
        <w:spacing w:after="0" w:line="169" w:lineRule="exact"/>
        <w:rPr>
          <w:rFonts w:ascii="Times New Roman" w:cs="Times New Roman" w:eastAsia="Times New Roman" w:hAnsi="Times New Roman"/>
          <w:sz w:val="19"/>
          <w:szCs w:val="19"/>
          <w:b w:val="1"/>
          <w:bCs w:val="1"/>
          <w:color w:val="auto"/>
        </w:rPr>
      </w:pPr>
    </w:p>
    <w:p>
      <w:pPr>
        <w:jc w:val="both"/>
        <w:ind w:left="2460" w:right="199" w:hanging="654"/>
        <w:spacing w:after="0" w:line="254" w:lineRule="auto"/>
        <w:tabs>
          <w:tab w:leader="none" w:pos="2582"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will discuss and share with Amazon Services information (including in regards to its Credit Underwriting Policy) to improve the Program and the [***], unless prohibited from doing so by Applicable Law. For the avoidance of doubt, no Affirm Customer Information, Amazon Transaction Data, Amazon Customer Information will be shared under this Section 2.5(E).</w:t>
      </w:r>
    </w:p>
    <w:p>
      <w:pPr>
        <w:spacing w:after="0" w:line="172" w:lineRule="exact"/>
        <w:rPr>
          <w:sz w:val="20"/>
          <w:szCs w:val="20"/>
          <w:color w:val="auto"/>
        </w:rPr>
      </w:pPr>
    </w:p>
    <w:p>
      <w:pPr>
        <w:jc w:val="both"/>
        <w:ind w:left="1120" w:right="199"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2.6 </w:t>
      </w:r>
      <w:r>
        <w:rPr>
          <w:rFonts w:ascii="Times New Roman" w:cs="Times New Roman" w:eastAsia="Times New Roman" w:hAnsi="Times New Roman"/>
          <w:sz w:val="21"/>
          <w:szCs w:val="21"/>
          <w:b w:val="1"/>
          <w:bCs w:val="1"/>
          <w:color w:val="auto"/>
        </w:rPr>
        <w:t>Installment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All Program Credit extended by Affirm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Bank, as applicable, to Approved Customers pursuant to this Agreement will be governed by the terms of an Installment Credit Agreement (“</w:t>
      </w:r>
      <w:r>
        <w:rPr>
          <w:rFonts w:ascii="Times New Roman" w:cs="Times New Roman" w:eastAsia="Times New Roman" w:hAnsi="Times New Roman"/>
          <w:sz w:val="21"/>
          <w:szCs w:val="21"/>
          <w:b w:val="1"/>
          <w:bCs w:val="1"/>
          <w:color w:val="auto"/>
        </w:rPr>
        <w:t>Installment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to be established by and entered into between each Approved Customer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Affirm, or Bank, as applicable. The forms of Installment Credit Agreement as of the Effective Date are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Affirm will make commercially reasonable efforts to provide [***] to Amazon Services, to the extent notice is not prohibited under Applicable Law or by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each Installment Credit Agreement entered into with an Approved Customer will contain adequate notices regarding the Federal Trade Commission’s Holder in Due Course Rule. Approved Customers will agree to the Installment Credit Agreement electronically at the time of application for Program Credit. Without limiting anything else in this Agreement, no Installment Credit Agreement may (A) include any term or condition that is (1) inconsistent with this Agreement or (2) except with respect to the annual percentage rate and interest rate, more restrictive or less favorable to any Approved Customer compared to the least restrictive or most favorable loan or credit agreements that Affirm uses in connection with other Installment Credit Financing Programs that it operates or (B) create or purport to create a right, obligation or liability, either expressly or by operation of law, on behalf of any Amazon Party.</w:t>
      </w:r>
    </w:p>
    <w:p>
      <w:pPr>
        <w:spacing w:after="0" w:line="200" w:lineRule="exact"/>
        <w:rPr>
          <w:sz w:val="20"/>
          <w:szCs w:val="20"/>
          <w:color w:val="auto"/>
        </w:rPr>
      </w:pPr>
    </w:p>
    <w:p>
      <w:pPr>
        <w:spacing w:after="0" w:line="253" w:lineRule="exact"/>
        <w:rPr>
          <w:sz w:val="20"/>
          <w:szCs w:val="20"/>
          <w:color w:val="auto"/>
        </w:rPr>
      </w:pPr>
    </w:p>
    <w:p>
      <w:pPr>
        <w:ind w:left="860" w:hanging="351"/>
        <w:spacing w:after="0"/>
        <w:tabs>
          <w:tab w:leader="none" w:pos="86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PROGRAM </w:t>
      </w:r>
      <w:r>
        <w:rPr>
          <w:rFonts w:ascii="Times New Roman" w:cs="Times New Roman" w:eastAsia="Times New Roman" w:hAnsi="Times New Roman"/>
          <w:sz w:val="17"/>
          <w:szCs w:val="17"/>
          <w:b w:val="1"/>
          <w:bCs w:val="1"/>
          <w:color w:val="auto"/>
        </w:rPr>
        <w:t>APPLICATION PROCEDURES</w:t>
      </w:r>
    </w:p>
    <w:p>
      <w:pPr>
        <w:spacing w:after="0" w:line="274" w:lineRule="exact"/>
        <w:rPr>
          <w:sz w:val="20"/>
          <w:szCs w:val="20"/>
          <w:color w:val="auto"/>
        </w:rPr>
      </w:pPr>
    </w:p>
    <w:p>
      <w:pPr>
        <w:jc w:val="both"/>
        <w:ind w:left="1120" w:right="199"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Amazon Services and Affirm will implement an online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application procedure for Prequalification Application and Program Credit, as applicable (“</w:t>
      </w:r>
      <w:r>
        <w:rPr>
          <w:rFonts w:ascii="Times New Roman" w:cs="Times New Roman" w:eastAsia="Times New Roman" w:hAnsi="Times New Roman"/>
          <w:sz w:val="21"/>
          <w:szCs w:val="21"/>
          <w:b w:val="1"/>
          <w:bCs w:val="1"/>
          <w:color w:val="auto"/>
        </w:rPr>
        <w:t>Application Process</w:t>
      </w:r>
      <w:r>
        <w:rPr>
          <w:rFonts w:ascii="Times New Roman" w:cs="Times New Roman" w:eastAsia="Times New Roman" w:hAnsi="Times New Roman"/>
          <w:sz w:val="21"/>
          <w:szCs w:val="21"/>
          <w:color w:val="auto"/>
        </w:rPr>
        <w:t xml:space="preserve">”), as more fully described in </w:t>
      </w:r>
      <w:r>
        <w:rPr>
          <w:rFonts w:ascii="Times New Roman" w:cs="Times New Roman" w:eastAsia="Times New Roman" w:hAnsi="Times New Roman"/>
          <w:sz w:val="21"/>
          <w:szCs w:val="21"/>
          <w:u w:val="single" w:color="auto"/>
          <w:color w:val="auto"/>
        </w:rPr>
        <w:t>Schedule 3.1</w:t>
      </w:r>
      <w:r>
        <w:rPr>
          <w:rFonts w:ascii="Times New Roman" w:cs="Times New Roman" w:eastAsia="Times New Roman" w:hAnsi="Times New Roman"/>
          <w:sz w:val="21"/>
          <w:szCs w:val="21"/>
          <w:color w:val="auto"/>
        </w:rPr>
        <w:t xml:space="preserve">. Either Party may propose updates to the contents of the Program Application, which updates will be subject to the other Party’s Prior Approval;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Affirm will have sole discretion over any such updates required by Applicable Law. Amazon Services will have sole discretion regarding the design (i.e., look and feel) of the Program Application, other than any aspect of such design that is specifically required by Applicable Law, which will require Affirm’s Prior Approval. Affirm will create and maintain necessary tools in order to (A) provide</w:t>
      </w:r>
    </w:p>
    <w:p>
      <w:pPr>
        <w:sectPr>
          <w:pgSz w:w="11900" w:h="16838" w:orient="portrait"/>
          <w:cols w:equalWidth="0" w:num="1">
            <w:col w:w="9019"/>
          </w:cols>
          <w:pgMar w:left="1440" w:top="11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019"/>
          </w:cols>
          <w:pgMar w:left="1440" w:top="1161" w:right="1440" w:bottom="1440" w:gutter="0" w:footer="0" w:header="0"/>
          <w:type w:val="continuous"/>
        </w:sectPr>
      </w:pPr>
    </w:p>
    <w:bookmarkStart w:id="207" w:name="page208"/>
    <w:bookmarkEnd w:id="207"/>
    <w:p>
      <w:pPr>
        <w:jc w:val="both"/>
        <w:ind w:left="1120" w:right="199"/>
        <w:spacing w:after="0" w:line="251" w:lineRule="auto"/>
        <w:rPr>
          <w:sz w:val="20"/>
          <w:szCs w:val="20"/>
          <w:color w:val="auto"/>
        </w:rPr>
      </w:pPr>
      <w:r>
        <w:rPr>
          <w:rFonts w:ascii="Times New Roman" w:cs="Times New Roman" w:eastAsia="Times New Roman" w:hAnsi="Times New Roman"/>
          <w:sz w:val="22"/>
          <w:szCs w:val="22"/>
          <w:color w:val="auto"/>
        </w:rPr>
        <w:t>the Affirm Program Application Hosting Services on the Affirm Site; (B) receive Application Data; (C) transmit to Amazon Services the Result Data; (D) provide a methodology for Amazon Services to simulate and display to Amazon Customers the payment details on each Participating Site; and (E) permit Approved Customers to access information pertaining to their Program Credit on the Affirm Site in accordance with Section 4.2(A).</w:t>
      </w:r>
    </w:p>
    <w:p>
      <w:pPr>
        <w:spacing w:after="0" w:line="191"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1"/>
          <w:szCs w:val="21"/>
          <w:b w:val="1"/>
          <w:bCs w:val="1"/>
          <w:color w:val="auto"/>
        </w:rPr>
        <w:t>Application Features.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Without limiting the foregoing, the Application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Process will include (in each case, to Amazon Services’ reasonable satisfaction) (1) with respect to Prequalification Application, (A) a real-time notification for Prequalification Application subject to the applicable Performance Standards set forth in Schedule 4.1,</w:t>
      </w:r>
    </w:p>
    <w:p>
      <w:pPr>
        <w:spacing w:after="0" w:line="1" w:lineRule="exact"/>
        <w:rPr>
          <w:sz w:val="20"/>
          <w:szCs w:val="20"/>
          <w:color w:val="auto"/>
        </w:rPr>
      </w:pPr>
    </w:p>
    <w:p>
      <w:pPr>
        <w:jc w:val="both"/>
        <w:ind w:left="1120" w:right="199" w:firstLine="5"/>
        <w:spacing w:after="0" w:line="246" w:lineRule="auto"/>
        <w:tabs>
          <w:tab w:leader="none" w:pos="146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 access to applying for the Program Credit in an amount not exceeding the Prequalified Amount; (2) with respect to Program Application that relates to applying for Program Credit, (A) a credit decision and real-time notification for Program Applications subject to the Performance Standards set forth in Schedule 4.1; (B) immediate access to approved Program Credit to purchase a Basket on or through any Participating Site; (C) application requirements that are required under Applicable Law; and (D) real-time identification of the applicant to comply with Applicable Law.</w:t>
      </w:r>
    </w:p>
    <w:p>
      <w:pPr>
        <w:spacing w:after="0" w:line="182" w:lineRule="exact"/>
        <w:rPr>
          <w:sz w:val="20"/>
          <w:szCs w:val="20"/>
          <w:color w:val="auto"/>
        </w:rPr>
      </w:pPr>
    </w:p>
    <w:p>
      <w:pPr>
        <w:jc w:val="both"/>
        <w:ind w:left="1120" w:right="19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3.3 </w:t>
      </w:r>
      <w:r>
        <w:rPr>
          <w:rFonts w:ascii="Times New Roman" w:cs="Times New Roman" w:eastAsia="Times New Roman" w:hAnsi="Times New Roman"/>
          <w:sz w:val="21"/>
          <w:szCs w:val="21"/>
          <w:b w:val="1"/>
          <w:bCs w:val="1"/>
          <w:color w:val="auto"/>
        </w:rPr>
        <w:t>Payment Instructions.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Each Approved Customer will pay the proceeds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Program Credit to Affirm and Affirm will pay Amazon Services or Amazon Payments in accordance with the terms of this Agreement. The Program Application, Installment Credit Agreement and Program Credit Materials, as applicable, will clearly state that the Approved Customer’s obligation to repay the Program Credit is to Affirm and not any Amazon Party or Processed Merchant, as the case may be, and that the Approved Customer must direct all repayments to Affirm only.</w:t>
      </w:r>
    </w:p>
    <w:p>
      <w:pPr>
        <w:spacing w:after="0" w:line="200" w:lineRule="exact"/>
        <w:rPr>
          <w:sz w:val="20"/>
          <w:szCs w:val="20"/>
          <w:color w:val="auto"/>
        </w:rPr>
      </w:pPr>
    </w:p>
    <w:p>
      <w:pPr>
        <w:spacing w:after="0" w:line="289" w:lineRule="exact"/>
        <w:rPr>
          <w:sz w:val="20"/>
          <w:szCs w:val="20"/>
          <w:color w:val="auto"/>
        </w:rPr>
      </w:pPr>
    </w:p>
    <w:p>
      <w:pPr>
        <w:ind w:left="860" w:hanging="351"/>
        <w:spacing w:after="0"/>
        <w:tabs>
          <w:tab w:leader="none" w:pos="86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USTOMER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ERVICE</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jc w:val="both"/>
        <w:ind w:left="1120" w:right="199" w:firstLine="648"/>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1"/>
          <w:szCs w:val="21"/>
          <w:b w:val="1"/>
          <w:bCs w:val="1"/>
          <w:color w:val="auto"/>
        </w:rPr>
        <w:t>Staffing.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Affirm will maintain, at its own expense, an adequately trained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staff for servicing of customer inquiries and complaints arising in connection with any Program Credit, Installment Credit Agreements and other aspects of the Program, in accordance with Affirm’s established customer service procedures, Applicable Law and the minimum customer service standards set forth in Section 1 of </w:t>
      </w:r>
      <w:r>
        <w:rPr>
          <w:rFonts w:ascii="Times New Roman" w:cs="Times New Roman" w:eastAsia="Times New Roman" w:hAnsi="Times New Roman"/>
          <w:sz w:val="21"/>
          <w:szCs w:val="21"/>
          <w:u w:val="single" w:color="auto"/>
          <w:color w:val="auto"/>
        </w:rPr>
        <w:t>Schedule 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Customer Service Standards</w:t>
      </w:r>
      <w:r>
        <w:rPr>
          <w:rFonts w:ascii="Times New Roman" w:cs="Times New Roman" w:eastAsia="Times New Roman" w:hAnsi="Times New Roman"/>
          <w:sz w:val="21"/>
          <w:szCs w:val="21"/>
          <w:color w:val="auto"/>
        </w:rPr>
        <w:t>”). Affirm will (i) provide customer service to Approved Customers at levels that are at least as high as the highest customer service levels applied to any of Affirm’s other borrowers and/or customers (excluding any such customer service to other borrowers or customers in respect of whom a third party has provided additional funding or contribution to enhance their customer service) and (ii) manage Amazon Customer Disputes and Processed Merchant Customer Disputes in accordance with Sections 4.3 (A) and (B) below. Amazon Services will answer only basic questions about the Program through its customer service channels, and will otherwise direct Approved Customers or prospective applicants to contact Affirm regarding any and all inquiries concerning Program Credit, the Installment Credit Agreement, or Program Applications. Affirm will also ensure that all customer service centers serving the Program operate under the AFFIRM brand,</w:t>
      </w:r>
    </w:p>
    <w:p>
      <w:pPr>
        <w:sectPr>
          <w:pgSz w:w="11900" w:h="16838" w:orient="portrait"/>
          <w:cols w:equalWidth="0" w:num="1">
            <w:col w:w="9019"/>
          </w:cols>
          <w:pgMar w:left="1440" w:top="94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019"/>
          </w:cols>
          <w:pgMar w:left="1440" w:top="949" w:right="1440" w:bottom="1440" w:gutter="0" w:footer="0" w:header="0"/>
          <w:type w:val="continuous"/>
        </w:sectPr>
      </w:pPr>
    </w:p>
    <w:bookmarkStart w:id="208" w:name="page209"/>
    <w:bookmarkEnd w:id="208"/>
    <w:p>
      <w:pPr>
        <w:jc w:val="both"/>
        <w:ind w:left="1120" w:right="199"/>
        <w:spacing w:after="0" w:line="265" w:lineRule="auto"/>
        <w:rPr>
          <w:sz w:val="20"/>
          <w:szCs w:val="20"/>
          <w:color w:val="auto"/>
        </w:rPr>
      </w:pPr>
      <w:r>
        <w:rPr>
          <w:rFonts w:ascii="Times New Roman" w:cs="Times New Roman" w:eastAsia="Times New Roman" w:hAnsi="Times New Roman"/>
          <w:sz w:val="21"/>
          <w:szCs w:val="21"/>
          <w:color w:val="auto"/>
        </w:rPr>
        <w:t>and that each customer service representative or technical support representative is capable of providing courteous and effective support in English</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In addition, Affirm will provide Approved Customers with online access to information regarding their Program Credit as set forth in Section 4.2 below. Affirm will ensure sufficient levels of staffing and resources to meet the Customer Service Standards at all times during the Term. The Parties agree to the other performance-related terms set forth on </w:t>
      </w:r>
      <w:r>
        <w:rPr>
          <w:rFonts w:ascii="Times New Roman" w:cs="Times New Roman" w:eastAsia="Times New Roman" w:hAnsi="Times New Roman"/>
          <w:sz w:val="21"/>
          <w:szCs w:val="21"/>
          <w:u w:val="single" w:color="auto"/>
          <w:color w:val="auto"/>
        </w:rPr>
        <w:t>Schedule 4.1</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Online Services</w:t>
      </w:r>
    </w:p>
    <w:p>
      <w:pPr>
        <w:spacing w:after="0" w:line="245" w:lineRule="exact"/>
        <w:rPr>
          <w:sz w:val="20"/>
          <w:szCs w:val="20"/>
          <w:color w:val="auto"/>
        </w:rPr>
      </w:pPr>
    </w:p>
    <w:p>
      <w:pPr>
        <w:jc w:val="both"/>
        <w:ind w:left="2460" w:right="179" w:hanging="654"/>
        <w:spacing w:after="0" w:line="249" w:lineRule="auto"/>
        <w:tabs>
          <w:tab w:leader="none" w:pos="2555"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Affirm Site. </w:t>
      </w:r>
      <w:r>
        <w:rPr>
          <w:rFonts w:ascii="Times New Roman" w:cs="Times New Roman" w:eastAsia="Times New Roman" w:hAnsi="Times New Roman"/>
          <w:sz w:val="22"/>
          <w:szCs w:val="22"/>
          <w:color w:val="auto"/>
        </w:rPr>
        <w:t>During the Term, Affirm will permit each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Customer to access information relating to any Program Credits issued to such Approved Customer on the Affirm Site in accordance with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Subject to Affirm’s Prior Approval, during the Term, Amazon Services may place one or more advertisements for Approved Customers designed by Amazon on the Affirm Site (including, unless prohibited by Applicable Law, that portion of the Affirm Site where Approved Customers may log in to view the details regarding their Program Credit(s));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Affirm shall have final approval over any such advertisements, such approval not to be unreasonably withheld, to ensure compliance with Applicable Law.</w:t>
      </w:r>
    </w:p>
    <w:p>
      <w:pPr>
        <w:spacing w:after="0" w:line="190" w:lineRule="exact"/>
        <w:rPr>
          <w:rFonts w:ascii="Times New Roman" w:cs="Times New Roman" w:eastAsia="Times New Roman" w:hAnsi="Times New Roman"/>
          <w:sz w:val="20"/>
          <w:szCs w:val="20"/>
          <w:b w:val="1"/>
          <w:bCs w:val="1"/>
          <w:color w:val="auto"/>
        </w:rPr>
      </w:pPr>
    </w:p>
    <w:p>
      <w:pPr>
        <w:ind w:left="2460" w:right="199" w:hanging="654"/>
        <w:spacing w:after="0" w:line="254" w:lineRule="auto"/>
        <w:tabs>
          <w:tab w:leader="none" w:pos="2328"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Electronic Communications. </w:t>
      </w:r>
      <w:r>
        <w:rPr>
          <w:rFonts w:ascii="Times New Roman" w:cs="Times New Roman" w:eastAsia="Times New Roman" w:hAnsi="Times New Roman"/>
          <w:sz w:val="22"/>
          <w:szCs w:val="22"/>
          <w:color w:val="auto"/>
        </w:rPr>
        <w:t>To the extent that the Parties communicate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Approved Customers through other electronic means, including mobile text messaging and e-mail, Amazon Services and Affirm will agree on the domains and/or other identifiers and accounts used for such communications.</w:t>
      </w:r>
    </w:p>
    <w:p>
      <w:pPr>
        <w:spacing w:after="0" w:line="173"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Customer Disputes</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left="2460" w:right="199" w:hanging="654"/>
        <w:spacing w:after="0" w:line="247" w:lineRule="auto"/>
        <w:tabs>
          <w:tab w:leader="none" w:pos="2352"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Amazon Customer Disputes. </w:t>
      </w:r>
      <w:r>
        <w:rPr>
          <w:rFonts w:ascii="Times New Roman" w:cs="Times New Roman" w:eastAsia="Times New Roman" w:hAnsi="Times New Roman"/>
          <w:sz w:val="22"/>
          <w:szCs w:val="22"/>
          <w:color w:val="auto"/>
        </w:rPr>
        <w:t>With respect to Participating Sites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Processed Merchant Sites, which will be subject to Section 4.3(B)), Affirm will be responsible for intake, review, and adjudication (if applicable) of all disputes, inquiries, or complaints directed to Affirm by an Eligible Applicant or Approved Customer related to a Program Credit, including any disputes concerning non-delivery, late delivery, or delivery of the wrong goods or quantity (each, an “</w:t>
      </w:r>
      <w:r>
        <w:rPr>
          <w:rFonts w:ascii="Times New Roman" w:cs="Times New Roman" w:eastAsia="Times New Roman" w:hAnsi="Times New Roman"/>
          <w:sz w:val="22"/>
          <w:szCs w:val="22"/>
          <w:b w:val="1"/>
          <w:bCs w:val="1"/>
          <w:color w:val="auto"/>
        </w:rPr>
        <w:t>Amazon Customer Dispute</w:t>
      </w:r>
      <w:r>
        <w:rPr>
          <w:rFonts w:ascii="Times New Roman" w:cs="Times New Roman" w:eastAsia="Times New Roman" w:hAnsi="Times New Roman"/>
          <w:sz w:val="22"/>
          <w:szCs w:val="22"/>
          <w:color w:val="auto"/>
        </w:rPr>
        <w:t>”). Affirm will reasonably assist in facilitating resolution of the Amazon Customer Disputes. Affirm will not require an Eligible Applicant or Approved Customer to first contact Amazon or attempt to resolve such disputes with Amazon prior to opening a dispute with Affirm. Notwithstanding the foregoing, all disputes, inquiries, or complaints solely regarding Eligible Products or the Amazon business (and not related to a Program Credit) may be directed to Amazon for Amazon to resolve in accordance with its applicable policies. Affirm and Amazon will work in good faith to resolve each Amazon Customer Dispute in a timely manner. In connection with any Amazon Customer Dispute that Affirm is unable to so</w:t>
      </w:r>
    </w:p>
    <w:p>
      <w:pPr>
        <w:sectPr>
          <w:pgSz w:w="11900" w:h="16838" w:orient="portrait"/>
          <w:cols w:equalWidth="0" w:num="1">
            <w:col w:w="9019"/>
          </w:cols>
          <w:pgMar w:left="1440" w:top="949"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019"/>
          </w:cols>
          <w:pgMar w:left="1440" w:top="949" w:right="1440" w:bottom="1440" w:gutter="0" w:footer="0" w:header="0"/>
          <w:type w:val="continuous"/>
        </w:sectPr>
      </w:pPr>
    </w:p>
    <w:bookmarkStart w:id="209" w:name="page210"/>
    <w:bookmarkEnd w:id="209"/>
    <w:p>
      <w:pPr>
        <w:jc w:val="both"/>
        <w:ind w:left="2460" w:right="199"/>
        <w:spacing w:after="0" w:line="265" w:lineRule="auto"/>
        <w:rPr>
          <w:sz w:val="20"/>
          <w:szCs w:val="20"/>
          <w:color w:val="auto"/>
        </w:rPr>
      </w:pPr>
      <w:r>
        <w:rPr>
          <w:rFonts w:ascii="Times New Roman" w:cs="Times New Roman" w:eastAsia="Times New Roman" w:hAnsi="Times New Roman"/>
          <w:sz w:val="21"/>
          <w:szCs w:val="21"/>
          <w:color w:val="auto"/>
        </w:rPr>
        <w:t>resolve, upon Affirm’s reasonable request so that Affirm may investigate and resolve the dispute, Amazon agrees to provide Affirm with (a) shipping carrier and tracking information, and (b) such other relevant information as the Parties may agree, in each case via an evidence-sharing mechanism that is mutually agreed upon between the Parties.</w:t>
      </w:r>
    </w:p>
    <w:p>
      <w:pPr>
        <w:spacing w:after="0" w:line="175" w:lineRule="exact"/>
        <w:rPr>
          <w:sz w:val="20"/>
          <w:szCs w:val="20"/>
          <w:color w:val="auto"/>
        </w:rPr>
      </w:pPr>
    </w:p>
    <w:p>
      <w:pPr>
        <w:jc w:val="both"/>
        <w:ind w:left="2460" w:right="199" w:hanging="654"/>
        <w:spacing w:after="0" w:line="259" w:lineRule="auto"/>
        <w:tabs>
          <w:tab w:leader="none" w:pos="2463" w:val="left"/>
        </w:tabs>
        <w:numPr>
          <w:ilvl w:val="1"/>
          <w:numId w:val="1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Processed Merchant Customer Disputes. </w:t>
      </w:r>
      <w:r>
        <w:rPr>
          <w:rFonts w:ascii="Times New Roman" w:cs="Times New Roman" w:eastAsia="Times New Roman" w:hAnsi="Times New Roman"/>
          <w:sz w:val="21"/>
          <w:szCs w:val="21"/>
          <w:color w:val="auto"/>
        </w:rPr>
        <w:t>With respect to Processed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Merchant Sites, Affirm will be responsible for intake, review, and adjudication (if applicable) of all Processed Merchant Customer Disputes directed to Affirm related to a Program Credit, including any disputes concerning non-delivery, late delivery, or delivery of the wrong goods or quantity. Affirm will not require an Eligible Applicant or Approved Customer to first contact the Processed Merchant or attempt to resolve such disputes with the Processed Merchant prior to opening a dispute with Affirm. Affirm and Amazon Payments will work in good faith to resolve each Processed Merchant Customer Dispute in a timely manner. Affirm will reasonably assist in facilitating resolution of the Processed Merchant Customer Dispute. Affirm will request evidence related to a Processed Merchant from Amazon Payments, and Amazon Payments will use commercially reasonable efforts to cause the relevant Processed Merchant to provide evidence to Affirm. In the event such evidence is not sufficient for Affirm to resolve a Processed Merchant Customer Dispute, Affirm will notify Amazon Payments and Amazon Payments will (i) use commercially reasonable efforts to contact the Processed Merchant again for additional evidence that Affirm requests; or (ii) enable Affirm to contact the Processed Merchant directly. Solely with respect to a Processed Merchant Customer Dispute, if Affirm resolves a Processed Merchant Customer Dispute in favor of the Processed Merchant, the Processed Merchant will not be liable for any amount of principal or interest related to the disputed transaction, and any funds withheld related to the disputed transaction will be released to Amazon Payments. If Affirm resolves a Processed Merchant Customer Dispute in favor of an Approved Customer, Affirm will retain the disputed amount.</w:t>
      </w:r>
    </w:p>
    <w:p>
      <w:pPr>
        <w:spacing w:after="0" w:line="200" w:lineRule="exact"/>
        <w:rPr>
          <w:rFonts w:ascii="Times New Roman" w:cs="Times New Roman" w:eastAsia="Times New Roman" w:hAnsi="Times New Roman"/>
          <w:sz w:val="19"/>
          <w:szCs w:val="19"/>
          <w:b w:val="1"/>
          <w:bCs w:val="1"/>
          <w:color w:val="auto"/>
        </w:rPr>
      </w:pPr>
    </w:p>
    <w:p>
      <w:pPr>
        <w:spacing w:after="0" w:line="215" w:lineRule="exact"/>
        <w:rPr>
          <w:rFonts w:ascii="Times New Roman" w:cs="Times New Roman" w:eastAsia="Times New Roman" w:hAnsi="Times New Roman"/>
          <w:sz w:val="19"/>
          <w:szCs w:val="19"/>
          <w:b w:val="1"/>
          <w:bCs w:val="1"/>
          <w:color w:val="auto"/>
        </w:rPr>
      </w:pPr>
    </w:p>
    <w:p>
      <w:pPr>
        <w:ind w:left="860" w:hanging="351"/>
        <w:spacing w:after="0"/>
        <w:tabs>
          <w:tab w:leader="none" w:pos="86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7"/>
          <w:szCs w:val="17"/>
          <w:b w:val="1"/>
          <w:bCs w:val="1"/>
          <w:color w:val="auto"/>
        </w:rPr>
        <w:t>ARKETING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ROGRAM</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EVELOPMENT</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45" w:lineRule="exact"/>
        <w:rPr>
          <w:sz w:val="20"/>
          <w:szCs w:val="20"/>
          <w:color w:val="auto"/>
        </w:rPr>
      </w:pPr>
    </w:p>
    <w:p>
      <w:pPr>
        <w:jc w:val="both"/>
        <w:ind w:left="2460" w:right="199" w:hanging="654"/>
        <w:spacing w:after="0" w:line="250" w:lineRule="auto"/>
        <w:tabs>
          <w:tab w:leader="none" w:pos="2514"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Marketing Responsibilities. </w:t>
      </w:r>
      <w:r>
        <w:rPr>
          <w:rFonts w:ascii="Times New Roman" w:cs="Times New Roman" w:eastAsia="Times New Roman" w:hAnsi="Times New Roman"/>
          <w:sz w:val="22"/>
          <w:szCs w:val="22"/>
          <w:color w:val="auto"/>
        </w:rPr>
        <w:t>The Amazon Parties will have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for marketing the Program to Amazon Customers and will design, develop, and promote the Program on the Participating Sites as they may determine from time to time in their sole discretion, and may select the Pricing Options and Financing Terms that will be provided and marketed to Amazon Customers in its sole discretion, subject to Section 5.2. Affirm will</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019"/>
          </w:cols>
          <w:pgMar w:left="1440" w:top="1179" w:right="1440" w:bottom="1440" w:gutter="0" w:footer="0" w:header="0"/>
          <w:type w:val="continuous"/>
        </w:sectPr>
      </w:pPr>
    </w:p>
    <w:bookmarkStart w:id="210" w:name="page211"/>
    <w:bookmarkEnd w:id="210"/>
    <w:p>
      <w:pPr>
        <w:jc w:val="both"/>
        <w:ind w:left="2460" w:right="199"/>
        <w:spacing w:after="0" w:line="253" w:lineRule="auto"/>
        <w:rPr>
          <w:sz w:val="20"/>
          <w:szCs w:val="20"/>
          <w:color w:val="auto"/>
        </w:rPr>
      </w:pPr>
      <w:r>
        <w:rPr>
          <w:rFonts w:ascii="Times New Roman" w:cs="Times New Roman" w:eastAsia="Times New Roman" w:hAnsi="Times New Roman"/>
          <w:sz w:val="22"/>
          <w:szCs w:val="22"/>
          <w:color w:val="auto"/>
        </w:rPr>
        <w:t>market and promote the Program on the Affirm Site and its other marketing channels as agreed by the Parties, subject to Section 5.2. Amazon agrees to comply with Applicable Law in marketing, offering, and presenting Program Credit to Amazon Customers on channels owned or otherwise controlled by Amazon.</w:t>
      </w:r>
    </w:p>
    <w:p>
      <w:pPr>
        <w:spacing w:after="0" w:line="175" w:lineRule="exact"/>
        <w:rPr>
          <w:sz w:val="20"/>
          <w:szCs w:val="20"/>
          <w:color w:val="auto"/>
        </w:rPr>
      </w:pPr>
    </w:p>
    <w:p>
      <w:pPr>
        <w:ind w:left="2460" w:right="199" w:hanging="654"/>
        <w:spacing w:after="0" w:line="248" w:lineRule="auto"/>
        <w:tabs>
          <w:tab w:leader="none" w:pos="2368"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Marketing Plans. </w:t>
      </w:r>
      <w:r>
        <w:rPr>
          <w:rFonts w:ascii="Times New Roman" w:cs="Times New Roman" w:eastAsia="Times New Roman" w:hAnsi="Times New Roman"/>
          <w:sz w:val="22"/>
          <w:szCs w:val="22"/>
          <w:color w:val="auto"/>
        </w:rPr>
        <w:t>Notwithstanding the foregoing, Amazon Services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Affirm will work together to develop and implement a written plan describing marketing, advertising and other promotional activities for the Program, and to make potential applicants for Program Credit aware of and promote the use of the Program (the “</w:t>
      </w:r>
      <w:r>
        <w:rPr>
          <w:rFonts w:ascii="Times New Roman" w:cs="Times New Roman" w:eastAsia="Times New Roman" w:hAnsi="Times New Roman"/>
          <w:sz w:val="22"/>
          <w:szCs w:val="22"/>
          <w:b w:val="1"/>
          <w:bCs w:val="1"/>
          <w:color w:val="auto"/>
        </w:rPr>
        <w:t>Marketing Plan</w:t>
      </w:r>
      <w:r>
        <w:rPr>
          <w:rFonts w:ascii="Times New Roman" w:cs="Times New Roman" w:eastAsia="Times New Roman" w:hAnsi="Times New Roman"/>
          <w:sz w:val="22"/>
          <w:szCs w:val="22"/>
          <w:color w:val="auto"/>
        </w:rPr>
        <w:t>”). The Parties will work together in good faith to develop a Marketing Plan within 60 days of the Effective Date. Once complete, the Parties will use commercially reasonable efforts to execute the Marketing Plan in accordance with its terms. On a quarterly basis, or such other intervals as Amazon Services and Affirm may agree upon, the Parties will meet to evaluate the execution and effectiveness of the Marketing Plan, to consider any modifications to the Marketing Plan and to coordinate on the development and implementation of any other marketing initiatives. The Marketing Plan and any other marketing initiatives under this Agreement may be modified from time to time upon mutual agreement of Amazon Services and Affirm.</w:t>
      </w:r>
    </w:p>
    <w:p>
      <w:pPr>
        <w:spacing w:after="0" w:line="191" w:lineRule="exact"/>
        <w:rPr>
          <w:rFonts w:ascii="Times New Roman" w:cs="Times New Roman" w:eastAsia="Times New Roman" w:hAnsi="Times New Roman"/>
          <w:sz w:val="20"/>
          <w:szCs w:val="20"/>
          <w:b w:val="1"/>
          <w:bCs w:val="1"/>
          <w:color w:val="auto"/>
        </w:rPr>
      </w:pPr>
    </w:p>
    <w:p>
      <w:pPr>
        <w:ind w:left="2880" w:hanging="425"/>
        <w:spacing w:after="0"/>
        <w:tabs>
          <w:tab w:leader="none" w:pos="2880" w:val="left"/>
        </w:tabs>
        <w:numPr>
          <w:ilvl w:val="1"/>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b w:val="1"/>
          <w:bCs w:val="1"/>
          <w:color w:val="auto"/>
        </w:rPr>
      </w:pPr>
    </w:p>
    <w:p>
      <w:pPr>
        <w:ind w:left="3100" w:right="199" w:hanging="646"/>
        <w:spacing w:after="0" w:line="254" w:lineRule="auto"/>
        <w:tabs>
          <w:tab w:leader="none" w:pos="2921" w:val="left"/>
        </w:tabs>
        <w:numPr>
          <w:ilvl w:val="1"/>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Additional Joint Marketing Initiatives</w:t>
      </w:r>
      <w:r>
        <w:rPr>
          <w:rFonts w:ascii="Times New Roman" w:cs="Times New Roman" w:eastAsia="Times New Roman" w:hAnsi="Times New Roman"/>
          <w:sz w:val="22"/>
          <w:szCs w:val="22"/>
          <w:color w:val="auto"/>
        </w:rPr>
        <w:t>. Subject to Section 5.2,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of the Marketing Plan, the parties will each use their commercially reasonable efforts to jointly pursue other marketing activities and, to the extent mutually agreed during the Term, conduct marketing to encourage conversion and adoption of the Program on Participating Sites.</w:t>
      </w:r>
    </w:p>
    <w:p>
      <w:pPr>
        <w:spacing w:after="0" w:line="175" w:lineRule="exact"/>
        <w:rPr>
          <w:rFonts w:ascii="Times New Roman" w:cs="Times New Roman" w:eastAsia="Times New Roman" w:hAnsi="Times New Roman"/>
          <w:sz w:val="20"/>
          <w:szCs w:val="20"/>
          <w:b w:val="1"/>
          <w:bCs w:val="1"/>
          <w:color w:val="auto"/>
        </w:rPr>
      </w:pPr>
    </w:p>
    <w:p>
      <w:pPr>
        <w:ind w:left="2460" w:right="179" w:hanging="654"/>
        <w:spacing w:after="0" w:line="248" w:lineRule="auto"/>
        <w:tabs>
          <w:tab w:leader="none" w:pos="2325"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Processed Merchant Marketing. </w:t>
      </w:r>
      <w:r>
        <w:rPr>
          <w:rFonts w:ascii="Times New Roman" w:cs="Times New Roman" w:eastAsia="Times New Roman" w:hAnsi="Times New Roman"/>
          <w:sz w:val="22"/>
          <w:szCs w:val="22"/>
          <w:color w:val="auto"/>
        </w:rPr>
        <w:t>Affirm will allow Processed Merchants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use Marketing Materials that are pre-approved in writing by Affirm for up-funnel and email marketing purposes. Upon a Processed Merchant’s request, Affirm may approve certain custom marketing content on a case-by-case basis. Upon notice to Amazon Payments by Affirm or an agent authorized to act on behalf of Affirm of a Processed Merchant’s unauthorized use of Marketing Materials or custom marketing content (the “</w:t>
      </w:r>
      <w:r>
        <w:rPr>
          <w:rFonts w:ascii="Times New Roman" w:cs="Times New Roman" w:eastAsia="Times New Roman" w:hAnsi="Times New Roman"/>
          <w:sz w:val="22"/>
          <w:szCs w:val="22"/>
          <w:b w:val="1"/>
          <w:bCs w:val="1"/>
          <w:color w:val="auto"/>
        </w:rPr>
        <w:t>Unauthorized Use Notice</w:t>
      </w:r>
      <w:r>
        <w:rPr>
          <w:rFonts w:ascii="Times New Roman" w:cs="Times New Roman" w:eastAsia="Times New Roman" w:hAnsi="Times New Roman"/>
          <w:sz w:val="22"/>
          <w:szCs w:val="22"/>
          <w:color w:val="auto"/>
        </w:rPr>
        <w:t>”), Amazon Payments will notify the Processed Merchant within two (2) Business Days of Affirm’s Unauthorized Use Notice of such unauthorized use of Marketing Materials or custom marketing content and request remediation within ten (10) days following the Unauthorized Use Notice, or as otherwise agreed upon by Amazon Payments and Affirm. If the Processed Merchant does not remediate such unauthorized use of Marketing Materials or custom marketing content, Affirm or an</w:t>
      </w:r>
    </w:p>
    <w:p>
      <w:pPr>
        <w:sectPr>
          <w:pgSz w:w="11900" w:h="16838" w:orient="portrait"/>
          <w:cols w:equalWidth="0" w:num="1">
            <w:col w:w="9019"/>
          </w:cols>
          <w:pgMar w:left="1440" w:top="116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019"/>
          </w:cols>
          <w:pgMar w:left="1440" w:top="1165" w:right="1440" w:bottom="1440" w:gutter="0" w:footer="0" w:header="0"/>
          <w:type w:val="continuous"/>
        </w:sectPr>
      </w:pPr>
    </w:p>
    <w:bookmarkStart w:id="211" w:name="page212"/>
    <w:bookmarkEnd w:id="211"/>
    <w:p>
      <w:pPr>
        <w:jc w:val="both"/>
        <w:ind w:left="2460" w:right="199"/>
        <w:spacing w:after="0" w:line="250" w:lineRule="auto"/>
        <w:rPr>
          <w:sz w:val="20"/>
          <w:szCs w:val="20"/>
          <w:color w:val="auto"/>
        </w:rPr>
      </w:pPr>
      <w:r>
        <w:rPr>
          <w:rFonts w:ascii="Times New Roman" w:cs="Times New Roman" w:eastAsia="Times New Roman" w:hAnsi="Times New Roman"/>
          <w:sz w:val="22"/>
          <w:szCs w:val="22"/>
          <w:color w:val="auto"/>
        </w:rPr>
        <w:t>agent authorized to act on behalf of Affirm may take further reasonable action to remediate the unauthorized use. If the Processed Merchant does not remediate such unauthorized use of Marketing Materials or custom marketing content, Affirm or an agent authorized to act on behalf of Affirm may take further reasonable action to remediate the unauthorized use, including, but not limited to, suspending or terminating its agreement with the Processed Merchant pursuant to its terms and conditions with such Processed Merchant.</w:t>
      </w:r>
    </w:p>
    <w:p>
      <w:pPr>
        <w:spacing w:after="0" w:line="183"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Marketing Materials.</w:t>
      </w:r>
    </w:p>
    <w:p>
      <w:pPr>
        <w:spacing w:after="0" w:line="245" w:lineRule="exact"/>
        <w:rPr>
          <w:sz w:val="20"/>
          <w:szCs w:val="20"/>
          <w:color w:val="auto"/>
        </w:rPr>
      </w:pPr>
    </w:p>
    <w:p>
      <w:pPr>
        <w:ind w:left="2460" w:right="199" w:hanging="654"/>
        <w:spacing w:after="0" w:line="260" w:lineRule="auto"/>
        <w:tabs>
          <w:tab w:leader="none" w:pos="2285" w:val="left"/>
        </w:tabs>
        <w:numPr>
          <w:ilvl w:val="0"/>
          <w:numId w:val="1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Creation of Marketing Materials. </w:t>
      </w:r>
      <w:r>
        <w:rPr>
          <w:rFonts w:ascii="Times New Roman" w:cs="Times New Roman" w:eastAsia="Times New Roman" w:hAnsi="Times New Roman"/>
          <w:sz w:val="21"/>
          <w:szCs w:val="21"/>
          <w:color w:val="auto"/>
        </w:rPr>
        <w:t>Amazon Services and Affirm will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 develop, conduct and cooperate with the other Party in marketing the Program through its marketing channels. The Amazon Parties will have sole discretion regarding the design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look and feel) of the Marketing Materials (including with respect to any Marketing Materials used on the Affirm Site or Affirm’s other marketing channels to the extent such Marketing Materials include Amazon Trademarks), subject to Affirm’s instructions and approval solely with respect to ensuring that the content, design and placement of the Marketing Materials comply with Applicable Law in accordance with Section 5.2(B). Affirm will timely provide to Amazon Services (1) any Program marketing content and formatting required under Applicable Law and (2) compliance guidelines for Marketing Materials under Applicable Law. The Amazon Parties will include such Affirm-provided content in Marketing Materials as instructed and approved by Affirm in accordance with Section 5.2(B).</w:t>
      </w:r>
    </w:p>
    <w:p>
      <w:pPr>
        <w:spacing w:after="0" w:line="179" w:lineRule="exact"/>
        <w:rPr>
          <w:rFonts w:ascii="Times New Roman" w:cs="Times New Roman" w:eastAsia="Times New Roman" w:hAnsi="Times New Roman"/>
          <w:sz w:val="19"/>
          <w:szCs w:val="19"/>
          <w:b w:val="1"/>
          <w:bCs w:val="1"/>
          <w:color w:val="auto"/>
        </w:rPr>
      </w:pPr>
    </w:p>
    <w:p>
      <w:pPr>
        <w:ind w:left="2460" w:right="199" w:hanging="654"/>
        <w:spacing w:after="0" w:line="262" w:lineRule="auto"/>
        <w:tabs>
          <w:tab w:leader="none" w:pos="2355" w:val="left"/>
        </w:tabs>
        <w:numPr>
          <w:ilvl w:val="0"/>
          <w:numId w:val="1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Approval of Marketing Materials. </w:t>
      </w:r>
      <w:r>
        <w:rPr>
          <w:rFonts w:ascii="Times New Roman" w:cs="Times New Roman" w:eastAsia="Times New Roman" w:hAnsi="Times New Roman"/>
          <w:sz w:val="21"/>
          <w:szCs w:val="21"/>
          <w:color w:val="auto"/>
        </w:rPr>
        <w:t>Each Party’s Program Manager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coordinate and facilitate approval of Marketing Materials. All Marketing Materials will be submitted prior to publication to (1) Amazon Services for its approval of the design of the Marketing Materials and (2) Affirm for its approval, solely to ensure that the Marketing Materials comply with Applicable Law. Affirm will provide its comments or approvals to Marketing Materials (including any revised versions of Marketing Materials) within 5 Business Days of Affirm’s receipt of such Marketing Materials from Amazon Services (or such other time period as may be agreed between the Program Managers for both Parties).</w:t>
      </w:r>
    </w:p>
    <w:p>
      <w:pPr>
        <w:spacing w:after="0" w:line="171" w:lineRule="exact"/>
        <w:rPr>
          <w:rFonts w:ascii="Times New Roman" w:cs="Times New Roman" w:eastAsia="Times New Roman" w:hAnsi="Times New Roman"/>
          <w:sz w:val="19"/>
          <w:szCs w:val="19"/>
          <w:b w:val="1"/>
          <w:bCs w:val="1"/>
          <w:color w:val="auto"/>
        </w:rPr>
      </w:pPr>
    </w:p>
    <w:p>
      <w:pPr>
        <w:ind w:left="2460" w:right="179" w:hanging="654"/>
        <w:spacing w:after="0" w:line="252" w:lineRule="auto"/>
        <w:tabs>
          <w:tab w:leader="none" w:pos="2366"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Withdrawal of Marketing Materials. </w:t>
      </w:r>
      <w:r>
        <w:rPr>
          <w:rFonts w:ascii="Times New Roman" w:cs="Times New Roman" w:eastAsia="Times New Roman" w:hAnsi="Times New Roman"/>
          <w:sz w:val="22"/>
          <w:szCs w:val="22"/>
          <w:color w:val="auto"/>
        </w:rPr>
        <w:t>Affirm may request in writing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Amazon Services that any Amazon Party withdraw or revise Marketing Materials that Affirm determines to be non-compliant with Applicable Law in Affirm’s reasonable judgment, and the applicable Amazon Party will use commercially reasonable efforts to promptly revise or withdraw such Marketing Materials, and in any case within fifteen (15) Business Days after such request.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019"/>
          </w:cols>
          <w:pgMar w:left="1440" w:top="1165" w:right="1440" w:bottom="1440" w:gutter="0" w:footer="0" w:header="0"/>
        </w:sectPr>
      </w:pPr>
    </w:p>
    <w:bookmarkStart w:id="212" w:name="page213"/>
    <w:bookmarkEnd w:id="212"/>
    <w:p>
      <w:pPr>
        <w:ind w:left="2300" w:hanging="494"/>
        <w:spacing w:after="0"/>
        <w:tabs>
          <w:tab w:leader="none" w:pos="2300" w:val="left"/>
        </w:tabs>
        <w:numPr>
          <w:ilvl w:val="0"/>
          <w:numId w:val="1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Subject to the Amazon Parties’ compliance with the foregoing clauses (A),</w:t>
      </w:r>
    </w:p>
    <w:p>
      <w:pPr>
        <w:spacing w:after="0" w:line="39" w:lineRule="exact"/>
        <w:rPr>
          <w:rFonts w:ascii="Times New Roman" w:cs="Times New Roman" w:eastAsia="Times New Roman" w:hAnsi="Times New Roman"/>
          <w:sz w:val="19"/>
          <w:szCs w:val="19"/>
          <w:b w:val="1"/>
          <w:bCs w:val="1"/>
          <w:color w:val="auto"/>
        </w:rPr>
      </w:pPr>
    </w:p>
    <w:p>
      <w:pPr>
        <w:ind w:left="2460" w:right="199" w:hanging="6"/>
        <w:spacing w:after="0" w:line="248" w:lineRule="auto"/>
        <w:tabs>
          <w:tab w:leader="none" w:pos="286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(C), Affirm will be solely responsible for ensuring that all Marketing Materials comply with Applicable Law.</w:t>
      </w:r>
    </w:p>
    <w:p>
      <w:pPr>
        <w:spacing w:after="0" w:line="178" w:lineRule="exact"/>
        <w:rPr>
          <w:sz w:val="20"/>
          <w:szCs w:val="20"/>
          <w:color w:val="auto"/>
        </w:rPr>
      </w:pPr>
    </w:p>
    <w:p>
      <w:pPr>
        <w:jc w:val="both"/>
        <w:ind w:left="1120" w:right="199" w:firstLine="648"/>
        <w:spacing w:after="0" w:line="313"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1"/>
          <w:szCs w:val="21"/>
          <w:b w:val="1"/>
          <w:bCs w:val="1"/>
          <w:color w:val="auto"/>
        </w:rPr>
        <w:t>Affirm Promotions to Approved Customers</w:t>
      </w:r>
      <w:r>
        <w:rPr>
          <w:rFonts w:ascii="Times New Roman" w:cs="Times New Roman" w:eastAsia="Times New Roman" w:hAnsi="Times New Roman"/>
          <w:sz w:val="21"/>
          <w:szCs w:val="21"/>
          <w:color w:val="auto"/>
        </w:rPr>
        <w:t>. The Parties agree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additional marketing terms set forth on </w:t>
      </w:r>
      <w:r>
        <w:rPr>
          <w:rFonts w:ascii="Times New Roman" w:cs="Times New Roman" w:eastAsia="Times New Roman" w:hAnsi="Times New Roman"/>
          <w:sz w:val="21"/>
          <w:szCs w:val="21"/>
          <w:u w:val="single" w:color="auto"/>
          <w:color w:val="auto"/>
        </w:rPr>
        <w:t>Schedule 5.3</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1"/>
          <w:szCs w:val="21"/>
          <w:b w:val="1"/>
          <w:bCs w:val="1"/>
          <w:color w:val="auto"/>
        </w:rPr>
        <w:t>Phase 2 Opportunities.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Parties agree to meet through the Steering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Committee at a time to be agreed to explore developing and offering the Phase 2 Opportunities, and the Parties agree to work together in good faith to implement the Phase 2 Opportunities within the time frames set forth in </w:t>
      </w:r>
      <w:r>
        <w:rPr>
          <w:rFonts w:ascii="Times New Roman" w:cs="Times New Roman" w:eastAsia="Times New Roman" w:hAnsi="Times New Roman"/>
          <w:sz w:val="21"/>
          <w:szCs w:val="21"/>
          <w:u w:val="single" w:color="auto"/>
          <w:color w:val="auto"/>
        </w:rPr>
        <w:t>Schedule 5.4</w:t>
      </w:r>
      <w:r>
        <w:rPr>
          <w:rFonts w:ascii="Times New Roman" w:cs="Times New Roman" w:eastAsia="Times New Roman" w:hAnsi="Times New Roman"/>
          <w:sz w:val="21"/>
          <w:szCs w:val="21"/>
          <w:color w:val="auto"/>
        </w:rPr>
        <w:t>, if any, which time frames may be modified by the Steering Committee. Any agreement among the Parties to offer any Phase 2 Opportunities will be memorialized in writing, containing the terms and conditions governing such Phase 2 Opportunities and the Parties’ respective rights and obligations related thereto, in each case prior to offering such Phase 2 Opportunities to customers. For the avoidance of doubt, neither Party will have any obligations with respect to Phase 2 Opportunities (except to work together in good faith as set forth above) unless and until definitive agreements are signed in accordance with the immediately preceding sentence.</w:t>
      </w:r>
    </w:p>
    <w:p>
      <w:pPr>
        <w:spacing w:after="0" w:line="171"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 xml:space="preserve">Program Initiative Plans. </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88" w:lineRule="exact"/>
        <w:rPr>
          <w:sz w:val="20"/>
          <w:szCs w:val="20"/>
          <w:color w:val="auto"/>
        </w:rPr>
      </w:pPr>
    </w:p>
    <w:p>
      <w:pPr>
        <w:ind w:left="1780" w:right="4619" w:hanging="1271"/>
        <w:spacing w:after="0" w:line="476" w:lineRule="auto"/>
        <w:tabs>
          <w:tab w:leader="none" w:pos="862" w:val="left"/>
        </w:tabs>
        <w:numPr>
          <w:ilvl w:val="0"/>
          <w:numId w:val="1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ADMINISTRATION OF PROGRAM. </w:t>
      </w: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20"/>
          <w:szCs w:val="20"/>
          <w:b w:val="1"/>
          <w:bCs w:val="1"/>
          <w:color w:val="auto"/>
        </w:rPr>
        <w:t>Steering Committee.</w:t>
      </w:r>
    </w:p>
    <w:p>
      <w:pPr>
        <w:jc w:val="both"/>
        <w:ind w:left="2460" w:right="199" w:hanging="654"/>
        <w:spacing w:after="0" w:line="248" w:lineRule="auto"/>
        <w:tabs>
          <w:tab w:leader="none" w:pos="2406" w:val="left"/>
        </w:tabs>
        <w:numPr>
          <w:ilvl w:val="1"/>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Representatives. </w:t>
      </w:r>
      <w:r>
        <w:rPr>
          <w:rFonts w:ascii="Times New Roman" w:cs="Times New Roman" w:eastAsia="Times New Roman" w:hAnsi="Times New Roman"/>
          <w:sz w:val="22"/>
          <w:szCs w:val="22"/>
          <w:color w:val="auto"/>
        </w:rPr>
        <w:t>Each of Amazon Services and Affirm will appoint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least four (4) employees (or employees of its Affiliates) to serve as members of the Steering Committee, including (1) a person authorized by such Party to sponsor the Program relationship for such Party (“</w:t>
      </w:r>
      <w:r>
        <w:rPr>
          <w:rFonts w:ascii="Times New Roman" w:cs="Times New Roman" w:eastAsia="Times New Roman" w:hAnsi="Times New Roman"/>
          <w:sz w:val="22"/>
          <w:szCs w:val="22"/>
          <w:b w:val="1"/>
          <w:bCs w:val="1"/>
          <w:color w:val="auto"/>
        </w:rPr>
        <w:t>Senior Sponsor</w:t>
      </w:r>
      <w:r>
        <w:rPr>
          <w:rFonts w:ascii="Times New Roman" w:cs="Times New Roman" w:eastAsia="Times New Roman" w:hAnsi="Times New Roman"/>
          <w:sz w:val="22"/>
          <w:szCs w:val="22"/>
          <w:color w:val="auto"/>
        </w:rPr>
        <w:t>”), (2) a person authorized by such Party to manage the day-to-day operations of the Program for such Party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 (3) a person authorized by such Party to manage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technical operations of the Program for such Party (“</w:t>
      </w:r>
      <w:r>
        <w:rPr>
          <w:rFonts w:ascii="Times New Roman" w:cs="Times New Roman" w:eastAsia="Times New Roman" w:hAnsi="Times New Roman"/>
          <w:sz w:val="22"/>
          <w:szCs w:val="22"/>
          <w:b w:val="1"/>
          <w:bCs w:val="1"/>
          <w:color w:val="auto"/>
        </w:rPr>
        <w:t>Operations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 and (4) a person authorized by such Party to manage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aspects of the Program for such Party (“</w:t>
      </w:r>
      <w:r>
        <w:rPr>
          <w:rFonts w:ascii="Times New Roman" w:cs="Times New Roman" w:eastAsia="Times New Roman" w:hAnsi="Times New Roman"/>
          <w:sz w:val="22"/>
          <w:szCs w:val="22"/>
          <w:b w:val="1"/>
          <w:bCs w:val="1"/>
          <w:color w:val="auto"/>
        </w:rPr>
        <w:t>Finance Manager</w:t>
      </w:r>
      <w:r>
        <w:rPr>
          <w:rFonts w:ascii="Times New Roman" w:cs="Times New Roman" w:eastAsia="Times New Roman" w:hAnsi="Times New Roman"/>
          <w:sz w:val="22"/>
          <w:szCs w:val="22"/>
          <w:color w:val="auto"/>
        </w:rPr>
        <w:t xml:space="preserve">”). The Parties’ initial representatives to the Steering Committee are identified in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Other than Affirm’s Program Manager, a Party may change one or more of its Steering Committee representatives by giving at least ten (10) days’ prior written notice by email of the change to the other Party. In addition, [***].</w:t>
      </w:r>
    </w:p>
    <w:p>
      <w:pPr>
        <w:spacing w:after="0" w:line="182" w:lineRule="exact"/>
        <w:rPr>
          <w:rFonts w:ascii="Times New Roman" w:cs="Times New Roman" w:eastAsia="Times New Roman" w:hAnsi="Times New Roman"/>
          <w:sz w:val="20"/>
          <w:szCs w:val="20"/>
          <w:b w:val="1"/>
          <w:bCs w:val="1"/>
          <w:color w:val="auto"/>
        </w:rPr>
      </w:pPr>
    </w:p>
    <w:p>
      <w:pPr>
        <w:ind w:left="2340" w:hanging="534"/>
        <w:spacing w:after="0"/>
        <w:tabs>
          <w:tab w:leader="none" w:pos="2340" w:val="left"/>
        </w:tabs>
        <w:numPr>
          <w:ilvl w:val="1"/>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Duties. </w:t>
      </w:r>
      <w:r>
        <w:rPr>
          <w:rFonts w:ascii="Times New Roman" w:cs="Times New Roman" w:eastAsia="Times New Roman" w:hAnsi="Times New Roman"/>
          <w:sz w:val="22"/>
          <w:szCs w:val="22"/>
          <w:color w:val="auto"/>
        </w:rPr>
        <w:t>The Steering Committee will be the forum used by the Parties to</w:t>
      </w:r>
    </w:p>
    <w:p>
      <w:pPr>
        <w:spacing w:after="0" w:line="33" w:lineRule="exact"/>
        <w:rPr>
          <w:rFonts w:ascii="Times New Roman" w:cs="Times New Roman" w:eastAsia="Times New Roman" w:hAnsi="Times New Roman"/>
          <w:sz w:val="20"/>
          <w:szCs w:val="20"/>
          <w:b w:val="1"/>
          <w:bCs w:val="1"/>
          <w:color w:val="auto"/>
        </w:rPr>
      </w:pPr>
    </w:p>
    <w:p>
      <w:pPr>
        <w:jc w:val="both"/>
        <w:ind w:left="2460" w:right="199" w:hanging="6"/>
        <w:spacing w:after="0" w:line="251" w:lineRule="auto"/>
        <w:tabs>
          <w:tab w:leader="none" w:pos="2820"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strategic direction of the Program and align on the priorities of the [***]; (2) review and evaluate the overall performance of the Program, including with respect to any</w:t>
      </w:r>
    </w:p>
    <w:p>
      <w:pPr>
        <w:sectPr>
          <w:pgSz w:w="11900" w:h="16838" w:orient="portrait"/>
          <w:cols w:equalWidth="0" w:num="1">
            <w:col w:w="9019"/>
          </w:cols>
          <w:pgMar w:left="1440" w:top="115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019"/>
          </w:cols>
          <w:pgMar w:left="1440" w:top="1152" w:right="1440" w:bottom="1440" w:gutter="0" w:footer="0" w:header="0"/>
          <w:type w:val="continuous"/>
        </w:sectPr>
      </w:pPr>
    </w:p>
    <w:bookmarkStart w:id="213" w:name="page214"/>
    <w:bookmarkEnd w:id="213"/>
    <w:p>
      <w:pPr>
        <w:jc w:val="both"/>
        <w:ind w:left="2460" w:right="199"/>
        <w:spacing w:after="0" w:line="246" w:lineRule="auto"/>
        <w:rPr>
          <w:sz w:val="20"/>
          <w:szCs w:val="20"/>
          <w:color w:val="auto"/>
        </w:rPr>
      </w:pPr>
      <w:r>
        <w:rPr>
          <w:rFonts w:ascii="Times New Roman" w:cs="Times New Roman" w:eastAsia="Times New Roman" w:hAnsi="Times New Roman"/>
          <w:sz w:val="22"/>
          <w:szCs w:val="22"/>
          <w:color w:val="auto"/>
        </w:rPr>
        <w:t xml:space="preserve">Marketing Plan; (3) resolve strategic issues between the Parties; (4) address issues related to the marketing efforts identified in this Agreement; (5) review Affirm’s presentations regarding [***] as described in Section 4 of </w:t>
      </w:r>
      <w:r>
        <w:rPr>
          <w:rFonts w:ascii="Times New Roman" w:cs="Times New Roman" w:eastAsia="Times New Roman" w:hAnsi="Times New Roman"/>
          <w:sz w:val="22"/>
          <w:szCs w:val="22"/>
          <w:u w:val="single" w:color="auto"/>
          <w:color w:val="auto"/>
        </w:rPr>
        <w:t>Schedule 2.3(A)(1)</w:t>
      </w:r>
      <w:r>
        <w:rPr>
          <w:rFonts w:ascii="Times New Roman" w:cs="Times New Roman" w:eastAsia="Times New Roman" w:hAnsi="Times New Roman"/>
          <w:sz w:val="22"/>
          <w:szCs w:val="22"/>
          <w:color w:val="auto"/>
        </w:rPr>
        <w:t>; (6) review and approve technology-related initiatives and requirements; and (7) discuss all other material concerns relating to this Agreement and the Program. Additionally, the Steering Committee will review on an ongoing basis throughout the Term the overall performance of the Program, including trends with respect to (x) fraudulent activity in connection with Program Applications, (y) Program profitability and loss and (z) the level of credit losses incurred by Affirm in respect of Program Credits, and will serve as the primary mechanism by which the Parties will agree upon, develop and implement any remediation or risk mitigation initiatives as may be required, including temporary adjustments from time to time to the Approval Rate Targets (which may be implemented without formally amending this Agreement, if the Parties so agree).</w:t>
      </w:r>
    </w:p>
    <w:p>
      <w:pPr>
        <w:spacing w:after="0" w:line="208" w:lineRule="exact"/>
        <w:rPr>
          <w:sz w:val="20"/>
          <w:szCs w:val="20"/>
          <w:color w:val="auto"/>
        </w:rPr>
      </w:pPr>
    </w:p>
    <w:p>
      <w:pPr>
        <w:ind w:left="2280" w:hanging="475"/>
        <w:spacing w:after="0"/>
        <w:tabs>
          <w:tab w:leader="none" w:pos="228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Meetings.</w:t>
      </w:r>
    </w:p>
    <w:p>
      <w:pPr>
        <w:spacing w:after="0" w:line="219" w:lineRule="exact"/>
        <w:rPr>
          <w:rFonts w:ascii="Times New Roman" w:cs="Times New Roman" w:eastAsia="Times New Roman" w:hAnsi="Times New Roman"/>
          <w:sz w:val="20"/>
          <w:szCs w:val="20"/>
          <w:b w:val="1"/>
          <w:bCs w:val="1"/>
          <w:color w:val="auto"/>
        </w:rPr>
      </w:pPr>
    </w:p>
    <w:p>
      <w:pPr>
        <w:jc w:val="both"/>
        <w:ind w:left="3100" w:right="199" w:hanging="646"/>
        <w:spacing w:after="0" w:line="249" w:lineRule="auto"/>
        <w:tabs>
          <w:tab w:leader="none" w:pos="3137" w:val="left"/>
        </w:tabs>
        <w:numPr>
          <w:ilvl w:val="1"/>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Frequency</w:t>
      </w:r>
      <w:r>
        <w:rPr>
          <w:rFonts w:ascii="Times New Roman" w:cs="Times New Roman" w:eastAsia="Times New Roman" w:hAnsi="Times New Roman"/>
          <w:sz w:val="22"/>
          <w:szCs w:val="22"/>
          <w:color w:val="auto"/>
        </w:rPr>
        <w:t>. From and after the Effective Date, the Steering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will meet semi-annually (or more frequently as needed by agreement of the Parties) to discuss the Program as described in Section 6.1(B). Meetings will be convened on mutually convenient dates via conference call or virtual meetings unless face-to-face meetings are agreed by the Parties. Any member of the Steering Committee may be represented by a qualified proxy if unavailable to attend in person, by telephone or virtual meeting. Either Party may call a special Steering Committee meeting upon reasonable advance notice to the other Party.</w:t>
      </w:r>
    </w:p>
    <w:p>
      <w:pPr>
        <w:spacing w:after="0" w:line="190" w:lineRule="exact"/>
        <w:rPr>
          <w:rFonts w:ascii="Times New Roman" w:cs="Times New Roman" w:eastAsia="Times New Roman" w:hAnsi="Times New Roman"/>
          <w:sz w:val="20"/>
          <w:szCs w:val="20"/>
          <w:b w:val="1"/>
          <w:bCs w:val="1"/>
          <w:color w:val="auto"/>
        </w:rPr>
      </w:pPr>
    </w:p>
    <w:p>
      <w:pPr>
        <w:jc w:val="both"/>
        <w:ind w:left="3100" w:right="199" w:hanging="646"/>
        <w:spacing w:after="0" w:line="251" w:lineRule="auto"/>
        <w:tabs>
          <w:tab w:leader="none" w:pos="3137" w:val="left"/>
        </w:tabs>
        <w:numPr>
          <w:ilvl w:val="1"/>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Voting and Decision-Making</w:t>
      </w:r>
      <w:r>
        <w:rPr>
          <w:rFonts w:ascii="Times New Roman" w:cs="Times New Roman" w:eastAsia="Times New Roman" w:hAnsi="Times New Roman"/>
          <w:sz w:val="22"/>
          <w:szCs w:val="22"/>
          <w:color w:val="auto"/>
        </w:rPr>
        <w:t>. Each of Affirm and Amazon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will have one vote on the Steering Committee, which may be represented by any member of the Steering Committee appointed by such Party. Any action by the Steering Committee will require the approval of Affirm and Amazon Services, which approval may be evidenced by email. If the Steering Committee is unable to reach a decision on any issue, such issue will be automatically escalated as a Dispute.</w:t>
      </w:r>
    </w:p>
    <w:p>
      <w:pPr>
        <w:spacing w:after="0" w:line="178" w:lineRule="exact"/>
        <w:rPr>
          <w:rFonts w:ascii="Times New Roman" w:cs="Times New Roman" w:eastAsia="Times New Roman" w:hAnsi="Times New Roman"/>
          <w:sz w:val="20"/>
          <w:szCs w:val="20"/>
          <w:b w:val="1"/>
          <w:bCs w:val="1"/>
          <w:color w:val="auto"/>
        </w:rPr>
      </w:pPr>
    </w:p>
    <w:p>
      <w:pPr>
        <w:ind w:left="2460" w:right="199" w:hanging="654"/>
        <w:spacing w:after="0" w:line="251" w:lineRule="auto"/>
        <w:tabs>
          <w:tab w:leader="none" w:pos="2325"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Without limiting Section 6.1(B) or (C), in the event that a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believes that there is a controversy or dispute arising in connection with this Agreement, the Program or the relationship of the Parties that such Party reasonably believes cannot be adequately or efficiently resolved by the Steering Committee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such Party may initiate the resolution process set forth in this Section 6.1(D). Each Party will refer any Dispute: (1) first to its Senior Sponsor for discussion and resolution for a period of</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9019"/>
          </w:cols>
          <w:pgMar w:left="1440" w:top="1179" w:right="1440" w:bottom="1440" w:gutter="0" w:footer="0" w:header="0"/>
          <w:type w:val="continuous"/>
        </w:sectPr>
      </w:pPr>
    </w:p>
    <w:bookmarkStart w:id="214" w:name="page215"/>
    <w:bookmarkEnd w:id="214"/>
    <w:p>
      <w:pPr>
        <w:ind w:left="2460" w:right="179"/>
        <w:spacing w:after="0" w:line="254" w:lineRule="auto"/>
        <w:rPr>
          <w:sz w:val="20"/>
          <w:szCs w:val="20"/>
          <w:color w:val="auto"/>
        </w:rPr>
      </w:pPr>
      <w:r>
        <w:rPr>
          <w:rFonts w:ascii="Times New Roman" w:cs="Times New Roman" w:eastAsia="Times New Roman" w:hAnsi="Times New Roman"/>
          <w:sz w:val="22"/>
          <w:szCs w:val="22"/>
          <w:color w:val="auto"/>
        </w:rPr>
        <w:t>20 calendar days, beginning on the first day on which both Parties’ Senior Sponsors have been informed of the Dispute in writing; and</w:t>
      </w:r>
    </w:p>
    <w:p>
      <w:pPr>
        <w:spacing w:after="0" w:line="2" w:lineRule="exact"/>
        <w:rPr>
          <w:sz w:val="20"/>
          <w:szCs w:val="20"/>
          <w:color w:val="auto"/>
        </w:rPr>
      </w:pPr>
    </w:p>
    <w:p>
      <w:pPr>
        <w:jc w:val="both"/>
        <w:ind w:left="2460" w:right="199" w:hanging="6"/>
        <w:spacing w:after="0" w:line="245" w:lineRule="auto"/>
        <w:tabs>
          <w:tab w:leader="none" w:pos="280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thereafter (if the dispute is not resolved) to one of its vice presidents or equivalent senior executive for discussion and resolution for a period of 20 calendar days, beginning on the last day of the period set forth in clause (1) of this sentence. The relevant representatives will meet either in person or via telephone in good faith to attempt to resolve the Dispute within the time periods set forth in this Section 6.1(D). If a Dispute is not resolved within such time periods: (1) if this Agreement, including any schedule or exhibit, expressly provides that the subject matter of the Dispute is within the sole discretion of a Party, such Party will have the right to make the ultimate decision regarding such subject matter; and (2) otherwise, a Party may bring an action in accordance with Section</w:t>
      </w:r>
    </w:p>
    <w:p>
      <w:pPr>
        <w:spacing w:after="0" w:line="6" w:lineRule="exact"/>
        <w:rPr>
          <w:rFonts w:ascii="Times New Roman" w:cs="Times New Roman" w:eastAsia="Times New Roman" w:hAnsi="Times New Roman"/>
          <w:sz w:val="22"/>
          <w:szCs w:val="22"/>
          <w:color w:val="auto"/>
        </w:rPr>
      </w:pPr>
    </w:p>
    <w:p>
      <w:pPr>
        <w:jc w:val="both"/>
        <w:ind w:left="2460" w:right="199"/>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18.11. Nothing in this Section 6.1(D) will preclude a Party from seeking equitable relief (only) to preserve the status quo pending the outcome of the procedures of this Section 6.1(D) and, to the extent applicable, Section 18.11.</w:t>
      </w:r>
    </w:p>
    <w:p>
      <w:pPr>
        <w:spacing w:after="0" w:line="178"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Intentionally Omitted</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1120" w:right="199" w:firstLine="648"/>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6.3 </w:t>
      </w:r>
      <w:r>
        <w:rPr>
          <w:rFonts w:ascii="Times New Roman" w:cs="Times New Roman" w:eastAsia="Times New Roman" w:hAnsi="Times New Roman"/>
          <w:sz w:val="21"/>
          <w:szCs w:val="21"/>
          <w:b w:val="1"/>
          <w:bCs w:val="1"/>
          <w:color w:val="auto"/>
        </w:rPr>
        <w:t>Reserved Matters.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Without limiting any other provision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that subjects a matter to the discretion of one Party, each Party will have discretion and ultimate decision making authority with respect to the issues designated for that Party on </w:t>
      </w:r>
      <w:r>
        <w:rPr>
          <w:rFonts w:ascii="Times New Roman" w:cs="Times New Roman" w:eastAsia="Times New Roman" w:hAnsi="Times New Roman"/>
          <w:sz w:val="21"/>
          <w:szCs w:val="21"/>
          <w:u w:val="single" w:color="auto"/>
          <w:color w:val="auto"/>
        </w:rPr>
        <w:t>Schedule 6.3</w:t>
      </w:r>
      <w:r>
        <w:rPr>
          <w:rFonts w:ascii="Times New Roman" w:cs="Times New Roman" w:eastAsia="Times New Roman" w:hAnsi="Times New Roman"/>
          <w:sz w:val="21"/>
          <w:szCs w:val="21"/>
          <w:color w:val="auto"/>
        </w:rPr>
        <w:t xml:space="preserve"> unless otherwise agreed by the Parties in writing.</w:t>
      </w:r>
    </w:p>
    <w:p>
      <w:pPr>
        <w:spacing w:after="0" w:line="173" w:lineRule="exact"/>
        <w:rPr>
          <w:sz w:val="20"/>
          <w:szCs w:val="20"/>
          <w:color w:val="auto"/>
        </w:rPr>
      </w:pPr>
    </w:p>
    <w:p>
      <w:pPr>
        <w:ind w:left="1780"/>
        <w:spacing w:after="0"/>
        <w:tabs>
          <w:tab w:leader="none" w:pos="226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 xml:space="preserve">Amazon Responsibilities with respect to the Program. </w:t>
      </w:r>
      <w:r>
        <w:rPr>
          <w:rFonts w:ascii="Times New Roman" w:cs="Times New Roman" w:eastAsia="Times New Roman" w:hAnsi="Times New Roman"/>
          <w:sz w:val="21"/>
          <w:szCs w:val="21"/>
          <w:color w:val="auto"/>
        </w:rPr>
        <w:t>Without limiting</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 xml:space="preserve">Section 6.3 or </w:t>
      </w:r>
      <w:r>
        <w:rPr>
          <w:rFonts w:ascii="Times New Roman" w:cs="Times New Roman" w:eastAsia="Times New Roman" w:hAnsi="Times New Roman"/>
          <w:sz w:val="22"/>
          <w:szCs w:val="22"/>
          <w:u w:val="single" w:color="auto"/>
          <w:color w:val="auto"/>
        </w:rPr>
        <w:t>Schedule 6.3</w:t>
      </w:r>
      <w:r>
        <w:rPr>
          <w:rFonts w:ascii="Times New Roman" w:cs="Times New Roman" w:eastAsia="Times New Roman" w:hAnsi="Times New Roman"/>
          <w:sz w:val="22"/>
          <w:szCs w:val="22"/>
          <w:color w:val="auto"/>
        </w:rPr>
        <w:t>, the Amazon Parties’ responsibilities include:</w:t>
      </w:r>
    </w:p>
    <w:p>
      <w:pPr>
        <w:spacing w:after="0" w:line="5" w:lineRule="exact"/>
        <w:rPr>
          <w:sz w:val="20"/>
          <w:szCs w:val="20"/>
          <w:color w:val="auto"/>
        </w:rPr>
      </w:pPr>
    </w:p>
    <w:p>
      <w:pPr>
        <w:jc w:val="both"/>
        <w:ind w:left="1120" w:right="199" w:firstLine="5"/>
        <w:spacing w:after="0" w:line="251" w:lineRule="auto"/>
        <w:tabs>
          <w:tab w:leader="none" w:pos="148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Program Credit to Amazon Customers seeking to purchase Eligible Products; and (2) providing customer service for Purchased Goods, in each case in accordance with the terms of this Agreement.</w:t>
      </w:r>
    </w:p>
    <w:p>
      <w:pPr>
        <w:spacing w:after="0" w:line="202" w:lineRule="exact"/>
        <w:rPr>
          <w:sz w:val="20"/>
          <w:szCs w:val="20"/>
          <w:color w:val="auto"/>
        </w:rPr>
      </w:pPr>
    </w:p>
    <w:p>
      <w:pPr>
        <w:jc w:val="both"/>
        <w:ind w:left="1120" w:right="199"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6.5 </w:t>
      </w:r>
      <w:r>
        <w:rPr>
          <w:rFonts w:ascii="Times New Roman" w:cs="Times New Roman" w:eastAsia="Times New Roman" w:hAnsi="Times New Roman"/>
          <w:sz w:val="21"/>
          <w:szCs w:val="21"/>
          <w:b w:val="1"/>
          <w:bCs w:val="1"/>
          <w:color w:val="auto"/>
        </w:rPr>
        <w:t>Affirm Responsibilities with respect to the Program.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Without limiting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Section 6.3 or </w:t>
      </w:r>
      <w:r>
        <w:rPr>
          <w:rFonts w:ascii="Times New Roman" w:cs="Times New Roman" w:eastAsia="Times New Roman" w:hAnsi="Times New Roman"/>
          <w:sz w:val="21"/>
          <w:szCs w:val="21"/>
          <w:u w:val="single" w:color="auto"/>
          <w:color w:val="auto"/>
        </w:rPr>
        <w:t>Schedule 6.3</w:t>
      </w:r>
      <w:r>
        <w:rPr>
          <w:rFonts w:ascii="Times New Roman" w:cs="Times New Roman" w:eastAsia="Times New Roman" w:hAnsi="Times New Roman"/>
          <w:sz w:val="21"/>
          <w:szCs w:val="21"/>
          <w:color w:val="auto"/>
        </w:rPr>
        <w:t>, Affirm’s responsibilities include, in conjunction with Bank or a Affirm affiliate, as applicable: (1) establishing and administering credit and underwriting criteria; (2) receiving Application Data from applicants; (3) making credit decisions and providing credit to Approved Customers; (4) establishing and managing Program Credit and any accounts that Approved Customers are required to establish directly with Affirm in connection therewith; (5) facilitating payment of loan proceeds to Amazon Services; (6) tracking payments and providing loan and account management services to Approved Customers; (7) applying the terms of the Installment Credit Agreement and administering payment terms with respect to Program Credit; (8) providing reporting to Amazon Services; (9) providing the Amazon Parties with technical support; (10) providing customer service for Program Applications, Program Credit and Installment Credit Agreements; and (11) overseeing risk management functions with respect to the Program in its sole discretion, in each case in accordance with the Performance Standards and the other terms of this</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019"/>
          </w:cols>
          <w:pgMar w:left="1440" w:top="1179" w:right="1440" w:bottom="1440" w:gutter="0" w:footer="0" w:header="0"/>
          <w:type w:val="continuous"/>
        </w:sectPr>
      </w:pPr>
    </w:p>
    <w:bookmarkStart w:id="215" w:name="page216"/>
    <w:bookmarkEnd w:id="215"/>
    <w:p>
      <w:pPr>
        <w:jc w:val="both"/>
        <w:ind w:left="1120" w:right="199"/>
        <w:spacing w:after="0" w:line="284" w:lineRule="auto"/>
        <w:rPr>
          <w:sz w:val="20"/>
          <w:szCs w:val="20"/>
          <w:color w:val="auto"/>
        </w:rPr>
      </w:pPr>
      <w:r>
        <w:rPr>
          <w:rFonts w:ascii="Times New Roman" w:cs="Times New Roman" w:eastAsia="Times New Roman" w:hAnsi="Times New Roman"/>
          <w:sz w:val="22"/>
          <w:szCs w:val="22"/>
          <w:color w:val="auto"/>
        </w:rPr>
        <w:t>Agreement. Affirm will ensure that all aspects of the Program under its control comply with Applicable Law at all times during the Term.</w:t>
      </w:r>
    </w:p>
    <w:p>
      <w:pPr>
        <w:spacing w:after="0" w:line="140" w:lineRule="exact"/>
        <w:rPr>
          <w:sz w:val="20"/>
          <w:szCs w:val="20"/>
          <w:color w:val="auto"/>
        </w:rPr>
      </w:pPr>
    </w:p>
    <w:p>
      <w:pPr>
        <w:jc w:val="both"/>
        <w:ind w:left="1120" w:right="199"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6.6 </w:t>
      </w:r>
      <w:r>
        <w:rPr>
          <w:rFonts w:ascii="Times New Roman" w:cs="Times New Roman" w:eastAsia="Times New Roman" w:hAnsi="Times New Roman"/>
          <w:sz w:val="21"/>
          <w:szCs w:val="21"/>
          <w:b w:val="1"/>
          <w:bCs w:val="1"/>
          <w:color w:val="auto"/>
        </w:rPr>
        <w:t>Subcontractors</w:t>
      </w:r>
      <w:r>
        <w:rPr>
          <w:rFonts w:ascii="Times New Roman" w:cs="Times New Roman" w:eastAsia="Times New Roman" w:hAnsi="Times New Roman"/>
          <w:sz w:val="21"/>
          <w:szCs w:val="21"/>
          <w:color w:val="auto"/>
        </w:rPr>
        <w:t>. Affirm may sub-contract or otherwise delegate to a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party any of Affirm’s obligations under this Agreement (any third party to whom Affirm has so sub-contracted or otherwise delegated its obligations hereunder, a “</w:t>
      </w:r>
      <w:r>
        <w:rPr>
          <w:rFonts w:ascii="Times New Roman" w:cs="Times New Roman" w:eastAsia="Times New Roman" w:hAnsi="Times New Roman"/>
          <w:sz w:val="21"/>
          <w:szCs w:val="21"/>
          <w:b w:val="1"/>
          <w:bCs w:val="1"/>
          <w:color w:val="auto"/>
        </w:rPr>
        <w:t>Subcontractor</w:t>
      </w:r>
      <w:r>
        <w:rPr>
          <w:rFonts w:ascii="Times New Roman" w:cs="Times New Roman" w:eastAsia="Times New Roman" w:hAnsi="Times New Roman"/>
          <w:sz w:val="21"/>
          <w:szCs w:val="21"/>
          <w:color w:val="auto"/>
        </w:rPr>
        <w:t>”). Affirm will inform each Subcontractor of the confidential nature of the information that it may receive and instruct each Subcontractor to keep such information confidential in accordance with Article 10 (</w:t>
      </w:r>
      <w:r>
        <w:rPr>
          <w:rFonts w:ascii="Times New Roman" w:cs="Times New Roman" w:eastAsia="Times New Roman" w:hAnsi="Times New Roman"/>
          <w:sz w:val="21"/>
          <w:szCs w:val="21"/>
          <w:i w:val="1"/>
          <w:iCs w:val="1"/>
          <w:color w:val="auto"/>
        </w:rPr>
        <w:t>General Confidentiality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Obligations</w:t>
      </w:r>
      <w:r>
        <w:rPr>
          <w:rFonts w:ascii="Times New Roman" w:cs="Times New Roman" w:eastAsia="Times New Roman" w:hAnsi="Times New Roman"/>
          <w:sz w:val="21"/>
          <w:szCs w:val="21"/>
          <w:color w:val="auto"/>
        </w:rPr>
        <w:t>) and to comply with the Amazon Parties’ information security policy set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forth in </w:t>
      </w:r>
      <w:r>
        <w:rPr>
          <w:rFonts w:ascii="Times New Roman" w:cs="Times New Roman" w:eastAsia="Times New Roman" w:hAnsi="Times New Roman"/>
          <w:sz w:val="21"/>
          <w:szCs w:val="21"/>
          <w:u w:val="single" w:color="auto"/>
          <w:color w:val="auto"/>
        </w:rPr>
        <w:t>Exhibit B (“</w:t>
      </w:r>
      <w:r>
        <w:rPr>
          <w:rFonts w:ascii="Times New Roman" w:cs="Times New Roman" w:eastAsia="Times New Roman" w:hAnsi="Times New Roman"/>
          <w:sz w:val="21"/>
          <w:szCs w:val="21"/>
          <w:b w:val="1"/>
          <w:bCs w:val="1"/>
          <w:u w:val="single" w:color="auto"/>
          <w:color w:val="auto"/>
        </w:rPr>
        <w:t>Information Security Policy</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As between the Parties, Affirm (i) will be solely responsible for the acts and/or omissions of any Subcontractor in its performance of Affirm’s obligations under this Agreement as if such acts and/or omissions were Affirm’s acts and/or omissions and (ii) undertakes that any subcontracting or delegation to any Subcontractor of any of Affirm’s obligations hereunder will be performed in accordance with Applicable Law. Affirm will promptly notify Amazon if it becomes aware that any Subcontractor has materially breached any term of this Agreement, including the Amazon Parties’ Information Security Policy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in which case Amazon may request that Affirm resume the performance of all activities previously delegated to such Subcontractor and immediately terminate its use of such Subcontractor in connection with the performance of Affirm’s obligations under this Agreement. Additionally, Amazon may from time to time request that Affirm’s use of any Subcontractor be reviewed by the Steering Committee if Amazon has reason to believe that such Subcontractor’s involvement in the Program might result in harm to Amazon or its customers.</w:t>
      </w:r>
    </w:p>
    <w:p>
      <w:pPr>
        <w:spacing w:after="0" w:line="200" w:lineRule="exact"/>
        <w:rPr>
          <w:sz w:val="20"/>
          <w:szCs w:val="20"/>
          <w:color w:val="auto"/>
        </w:rPr>
      </w:pPr>
    </w:p>
    <w:p>
      <w:pPr>
        <w:spacing w:after="0" w:line="254"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6.7</w:t>
      </w:r>
      <w:r>
        <w:rPr>
          <w:sz w:val="20"/>
          <w:szCs w:val="20"/>
          <w:color w:val="auto"/>
        </w:rPr>
        <w:tab/>
      </w:r>
      <w:r>
        <w:rPr>
          <w:rFonts w:ascii="Times New Roman" w:cs="Times New Roman" w:eastAsia="Times New Roman" w:hAnsi="Times New Roman"/>
          <w:sz w:val="21"/>
          <w:szCs w:val="21"/>
          <w:b w:val="1"/>
          <w:bCs w:val="1"/>
          <w:color w:val="auto"/>
        </w:rPr>
        <w:t>Program Personnel</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2460" w:right="199" w:hanging="654"/>
        <w:spacing w:after="0" w:line="262" w:lineRule="auto"/>
        <w:tabs>
          <w:tab w:leader="none" w:pos="2285" w:val="left"/>
        </w:tabs>
        <w:numPr>
          <w:ilvl w:val="0"/>
          <w:numId w:val="1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Affirm Program Team. </w:t>
      </w:r>
      <w:r>
        <w:rPr>
          <w:rFonts w:ascii="Times New Roman" w:cs="Times New Roman" w:eastAsia="Times New Roman" w:hAnsi="Times New Roman"/>
          <w:sz w:val="21"/>
          <w:szCs w:val="21"/>
          <w:color w:val="auto"/>
        </w:rPr>
        <w:t>Without limiting any other Affirm obligation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this Agreement to provide Personnel in support of the Program, Affirm will appoint [***] a Program Manager [***]. In addition, Affirm will provide sufficient technical support and resources to design, develop and implement the Program in a timely manner as contemplated by this Agreement. Prior to Affirm’s appointment of a Program Manager, and subject to Applicable Law, Amazon Services will have the option to meet with the candidate, and may approve the candidate or elect to meet with a different candidate for such role, in each case in Amazon Services’ reasonable discretion. At any time during the Term, Amazon Services may reasonably request to replace Affirm’s Program Manager, and Affirm will propose a new candidate for such role.</w:t>
      </w:r>
    </w:p>
    <w:p>
      <w:pPr>
        <w:spacing w:after="0" w:line="171" w:lineRule="exact"/>
        <w:rPr>
          <w:rFonts w:ascii="Times New Roman" w:cs="Times New Roman" w:eastAsia="Times New Roman" w:hAnsi="Times New Roman"/>
          <w:sz w:val="19"/>
          <w:szCs w:val="19"/>
          <w:b w:val="1"/>
          <w:bCs w:val="1"/>
          <w:color w:val="auto"/>
        </w:rPr>
      </w:pPr>
    </w:p>
    <w:p>
      <w:pPr>
        <w:ind w:left="2460" w:right="199" w:hanging="654"/>
        <w:spacing w:after="0" w:line="254" w:lineRule="auto"/>
        <w:tabs>
          <w:tab w:leader="none" w:pos="2341"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Amazon Program Team. </w:t>
      </w:r>
      <w:r>
        <w:rPr>
          <w:rFonts w:ascii="Times New Roman" w:cs="Times New Roman" w:eastAsia="Times New Roman" w:hAnsi="Times New Roman"/>
          <w:sz w:val="22"/>
          <w:szCs w:val="22"/>
          <w:color w:val="auto"/>
        </w:rPr>
        <w:t>Without limiting any obligation of an Amazon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under this Agreement to provide Personnel in support of the Program, each Amazon Party will determine the job responsibilities of its employees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Amazon Services shall designate its own “Program Manager”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9019"/>
          </w:cols>
          <w:pgMar w:left="1440" w:top="949" w:right="1440" w:bottom="1440" w:gutter="0" w:footer="0" w:header="0"/>
        </w:sectPr>
      </w:pPr>
    </w:p>
    <w:bookmarkStart w:id="216" w:name="page217"/>
    <w:bookmarkEnd w:id="216"/>
    <w:p>
      <w:pPr>
        <w:jc w:val="both"/>
        <w:ind w:left="2460" w:right="199"/>
        <w:spacing w:after="0" w:line="252" w:lineRule="auto"/>
        <w:rPr>
          <w:sz w:val="20"/>
          <w:szCs w:val="20"/>
          <w:color w:val="auto"/>
        </w:rPr>
      </w:pPr>
      <w:r>
        <w:rPr>
          <w:rFonts w:ascii="Times New Roman" w:cs="Times New Roman" w:eastAsia="Times New Roman" w:hAnsi="Times New Roman"/>
          <w:sz w:val="22"/>
          <w:szCs w:val="22"/>
          <w:color w:val="auto"/>
        </w:rPr>
        <w:t>as the primary point of contact for day-to-day management and oversight of the Program. Amazon will fund and staff at least one full-time employee or its equivalent, who will support the Program during the Term.</w:t>
      </w:r>
    </w:p>
    <w:p>
      <w:pPr>
        <w:spacing w:after="0" w:line="175"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21"/>
          <w:szCs w:val="21"/>
          <w:b w:val="1"/>
          <w:bCs w:val="1"/>
          <w:color w:val="auto"/>
        </w:rPr>
        <w:t>Expenses and Risks.</w:t>
      </w:r>
    </w:p>
    <w:p>
      <w:pPr>
        <w:spacing w:after="0" w:line="245" w:lineRule="exact"/>
        <w:rPr>
          <w:sz w:val="20"/>
          <w:szCs w:val="20"/>
          <w:color w:val="auto"/>
        </w:rPr>
      </w:pPr>
    </w:p>
    <w:p>
      <w:pPr>
        <w:jc w:val="both"/>
        <w:ind w:left="2460" w:right="199" w:hanging="654"/>
        <w:spacing w:after="0" w:line="254" w:lineRule="auto"/>
        <w:tabs>
          <w:tab w:leader="none" w:pos="246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General Obligations</w:t>
      </w:r>
      <w:r>
        <w:rPr>
          <w:rFonts w:ascii="Times New Roman" w:cs="Times New Roman" w:eastAsia="Times New Roman" w:hAnsi="Times New Roman"/>
          <w:sz w:val="22"/>
          <w:szCs w:val="22"/>
          <w:color w:val="auto"/>
        </w:rPr>
        <w:t>. Except as otherwise expressly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each Party will be responsible for its own costs and expenses to launch and manage the Program, and Affirm will be responsible for all costs and expenses relating to the administration, processing and management of Program Credit.</w:t>
      </w:r>
    </w:p>
    <w:p>
      <w:pPr>
        <w:spacing w:after="0" w:line="173" w:lineRule="exact"/>
        <w:rPr>
          <w:rFonts w:ascii="Times New Roman" w:cs="Times New Roman" w:eastAsia="Times New Roman" w:hAnsi="Times New Roman"/>
          <w:sz w:val="20"/>
          <w:szCs w:val="20"/>
          <w:b w:val="1"/>
          <w:bCs w:val="1"/>
          <w:color w:val="auto"/>
        </w:rPr>
      </w:pPr>
    </w:p>
    <w:p>
      <w:pPr>
        <w:ind w:left="2460" w:right="199" w:hanging="654"/>
        <w:spacing w:after="0" w:line="252" w:lineRule="auto"/>
        <w:tabs>
          <w:tab w:leader="none" w:pos="2274"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Selected Specific Risk Obligation</w:t>
      </w:r>
      <w:r>
        <w:rPr>
          <w:rFonts w:ascii="Times New Roman" w:cs="Times New Roman" w:eastAsia="Times New Roman" w:hAnsi="Times New Roman"/>
          <w:sz w:val="22"/>
          <w:szCs w:val="22"/>
          <w:color w:val="auto"/>
        </w:rPr>
        <w:t>. Without limiting any other provision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Affirm will pay all expenses of: (1) hosting (to the extent such hosting is done on Affirm’s site), receiving and reviewing applications, including the expenses of screening each applicant’s credit history through a credit screening service in accordance with industry best practices in the Territory;</w:t>
      </w:r>
    </w:p>
    <w:p>
      <w:pPr>
        <w:jc w:val="both"/>
        <w:ind w:left="2460" w:right="199" w:hanging="6"/>
        <w:spacing w:after="0" w:line="245" w:lineRule="auto"/>
        <w:tabs>
          <w:tab w:leader="none" w:pos="2823"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 of Affirm’s materials, policies, procedures, or other documents (including Program Credit Materials) or disclosures related to the Program; and (3) managing credit operations, including any other third-party professional services related to the Program engaged by Affirm.</w:t>
      </w:r>
    </w:p>
    <w:p>
      <w:pPr>
        <w:spacing w:after="0" w:line="4" w:lineRule="exact"/>
        <w:rPr>
          <w:rFonts w:ascii="Times New Roman" w:cs="Times New Roman" w:eastAsia="Times New Roman" w:hAnsi="Times New Roman"/>
          <w:sz w:val="22"/>
          <w:szCs w:val="22"/>
          <w:color w:val="auto"/>
        </w:rPr>
      </w:pPr>
    </w:p>
    <w:p>
      <w:pPr>
        <w:ind w:left="2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left="2460" w:right="199"/>
        <w:spacing w:after="0" w:line="258" w:lineRule="auto"/>
        <w:rPr>
          <w:sz w:val="20"/>
          <w:szCs w:val="20"/>
          <w:color w:val="auto"/>
        </w:rPr>
      </w:pPr>
      <w:r>
        <w:rPr>
          <w:rFonts w:ascii="Times New Roman" w:cs="Times New Roman" w:eastAsia="Times New Roman" w:hAnsi="Times New Roman"/>
          <w:sz w:val="22"/>
          <w:szCs w:val="22"/>
          <w:b w:val="1"/>
          <w:bCs w:val="1"/>
          <w:color w:val="auto"/>
        </w:rPr>
        <w:t>Risk Management</w:t>
      </w:r>
      <w:r>
        <w:rPr>
          <w:rFonts w:ascii="Times New Roman" w:cs="Times New Roman" w:eastAsia="Times New Roman" w:hAnsi="Times New Roman"/>
          <w:sz w:val="22"/>
          <w:szCs w:val="22"/>
          <w:color w:val="auto"/>
        </w:rPr>
        <w:t>. Affirm or Bank, as applicable, will retain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decision-making authority with respect to its lending, risk and collections policies and have sole responsibility to ensure that such policies comply with Applicable Law in all material respects. [***].</w:t>
      </w:r>
    </w:p>
    <w:p>
      <w:pPr>
        <w:spacing w:after="0" w:line="168" w:lineRule="exact"/>
        <w:rPr>
          <w:sz w:val="20"/>
          <w:szCs w:val="20"/>
          <w:color w:val="auto"/>
        </w:rPr>
      </w:pPr>
    </w:p>
    <w:p>
      <w:pPr>
        <w:jc w:val="both"/>
        <w:ind w:left="2460" w:right="199" w:hanging="654"/>
        <w:spacing w:after="0" w:line="248" w:lineRule="auto"/>
        <w:tabs>
          <w:tab w:leader="none" w:pos="2393"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Processed Merchant Risk. </w:t>
      </w:r>
      <w:r>
        <w:rPr>
          <w:rFonts w:ascii="Times New Roman" w:cs="Times New Roman" w:eastAsia="Times New Roman" w:hAnsi="Times New Roman"/>
          <w:sz w:val="22"/>
          <w:szCs w:val="22"/>
          <w:color w:val="auto"/>
        </w:rPr>
        <w:t>Notwithstanding Section 6.8(C),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Affirm losses due to fraud related to transactions through the Amazon Pay Widget will be subject to Affirm’s standard fraudulent transaction processes and loss allocation with Processed Merchants. The Processed Merchant will be liable for any loss, and such loss will be considered a Processed Merchant Loss, resulting from such transaction if (i) Affirm, or an authorized agent acting on Affirm’s behalf, notifies Amazon Payments that a transaction is fraudulent or likely fraudulent before a Purchased Good has shipped, and (ii) the Processed Merchant subsequently ships or provides the applicable Purchased Good despite such information. If Affirm notifies Amazon Payments that a transaction is fraudulent after the applicable Purchased Good has shipped, but before the applicable Purchased Good is delivered or otherwise made available to an Approved Customer, Amazon Payments will promptly but no later than three (3) hours from such notice (the “</w:t>
      </w:r>
      <w:r>
        <w:rPr>
          <w:rFonts w:ascii="Times New Roman" w:cs="Times New Roman" w:eastAsia="Times New Roman" w:hAnsi="Times New Roman"/>
          <w:sz w:val="22"/>
          <w:szCs w:val="22"/>
          <w:b w:val="1"/>
          <w:bCs w:val="1"/>
          <w:color w:val="auto"/>
        </w:rPr>
        <w:t>Stop Shipment Notice Period</w:t>
      </w:r>
      <w:r>
        <w:rPr>
          <w:rFonts w:ascii="Times New Roman" w:cs="Times New Roman" w:eastAsia="Times New Roman" w:hAnsi="Times New Roman"/>
          <w:sz w:val="22"/>
          <w:szCs w:val="22"/>
          <w:color w:val="auto"/>
        </w:rPr>
        <w:t>”) instruct the Processed Merchant to recall the shipment, or, as</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9019"/>
          </w:cols>
          <w:pgMar w:left="1440" w:top="1179" w:right="1440" w:bottom="1440" w:gutter="0" w:footer="0" w:header="0"/>
          <w:type w:val="continuous"/>
        </w:sectPr>
      </w:pPr>
    </w:p>
    <w:bookmarkStart w:id="217" w:name="page218"/>
    <w:bookmarkEnd w:id="217"/>
    <w:p>
      <w:pPr>
        <w:jc w:val="both"/>
        <w:ind w:left="2460" w:right="199"/>
        <w:spacing w:after="0" w:line="247" w:lineRule="auto"/>
        <w:rPr>
          <w:sz w:val="20"/>
          <w:szCs w:val="20"/>
          <w:color w:val="auto"/>
        </w:rPr>
      </w:pPr>
      <w:r>
        <w:rPr>
          <w:rFonts w:ascii="Times New Roman" w:cs="Times New Roman" w:eastAsia="Times New Roman" w:hAnsi="Times New Roman"/>
          <w:sz w:val="22"/>
          <w:szCs w:val="22"/>
          <w:color w:val="auto"/>
        </w:rPr>
        <w:t>applicable for services or electronically delivered Purchased Goods, cancel the provision of the applicable Purchased Goods. If Amazon Payments fails to notify the Processed Merchant during the Stop Shipment Notice Period, Amazon Payments will be liable for any loss resulting from fraud relating to such transaction. Affirm and Amazon Payments will work in good faith to develop a technology-enabled solution for fraud notifications in accordance with this Section 6.8(E). In addition, Affirm will have the right to suspend or terminate its agreement with any Processed Merchant for the reasons stated in its terms and conditions with each Processed Merchant. Amazon Payments is liable for all Processed Merchant Losses. “</w:t>
      </w:r>
      <w:r>
        <w:rPr>
          <w:rFonts w:ascii="Times New Roman" w:cs="Times New Roman" w:eastAsia="Times New Roman" w:hAnsi="Times New Roman"/>
          <w:sz w:val="22"/>
          <w:szCs w:val="22"/>
          <w:b w:val="1"/>
          <w:bCs w:val="1"/>
          <w:color w:val="auto"/>
        </w:rPr>
        <w:t>Processed Merchant Losses</w:t>
      </w:r>
      <w:r>
        <w:rPr>
          <w:rFonts w:ascii="Times New Roman" w:cs="Times New Roman" w:eastAsia="Times New Roman" w:hAnsi="Times New Roman"/>
          <w:sz w:val="22"/>
          <w:szCs w:val="22"/>
          <w:color w:val="auto"/>
        </w:rPr>
        <w:t>” means any amounts or losses resulting from Processed Merchant (i) fraud or bankruptcy; (ii) failing to fulfill an Approved Customer order; or (iii) failing to fulfill its refund or payment obligations set forth in the applicable agreement with Affirm or Amazon Payments for the purpose of providing installment financing services to Processed Merchant customers.</w:t>
      </w:r>
    </w:p>
    <w:p>
      <w:pPr>
        <w:spacing w:after="0" w:line="187" w:lineRule="exact"/>
        <w:rPr>
          <w:sz w:val="20"/>
          <w:szCs w:val="20"/>
          <w:color w:val="auto"/>
        </w:rPr>
      </w:pPr>
    </w:p>
    <w:p>
      <w:pPr>
        <w:jc w:val="both"/>
        <w:ind w:left="1120" w:right="199" w:firstLine="648"/>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6.9 </w:t>
      </w:r>
      <w:r>
        <w:rPr>
          <w:rFonts w:ascii="Times New Roman" w:cs="Times New Roman" w:eastAsia="Times New Roman" w:hAnsi="Times New Roman"/>
          <w:sz w:val="21"/>
          <w:szCs w:val="21"/>
          <w:b w:val="1"/>
          <w:bCs w:val="1"/>
          <w:color w:val="auto"/>
        </w:rPr>
        <w:t>Training.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Affirm will provide any necessary training, at Affirm’s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expense, to all Amazon employees that Amazon Services may reasonably request on the implementation of the Program and any other topics agreed by the Parties or imposed by Applicable Law. Affirm will produce and distribute any necessary training materials at its own expense.</w:t>
      </w:r>
    </w:p>
    <w:p>
      <w:pPr>
        <w:spacing w:after="0" w:line="159"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6.10</w:t>
      </w:r>
      <w:r>
        <w:rPr>
          <w:sz w:val="20"/>
          <w:szCs w:val="20"/>
          <w:color w:val="auto"/>
        </w:rPr>
        <w:tab/>
      </w:r>
      <w:r>
        <w:rPr>
          <w:rFonts w:ascii="Times New Roman" w:cs="Times New Roman" w:eastAsia="Times New Roman" w:hAnsi="Times New Roman"/>
          <w:sz w:val="21"/>
          <w:szCs w:val="21"/>
          <w:b w:val="1"/>
          <w:bCs w:val="1"/>
          <w:color w:val="auto"/>
        </w:rPr>
        <w:t>Eligible Products and Loan Settlement Procedures.</w:t>
      </w:r>
    </w:p>
    <w:p>
      <w:pPr>
        <w:spacing w:after="0" w:line="245" w:lineRule="exact"/>
        <w:rPr>
          <w:sz w:val="20"/>
          <w:szCs w:val="20"/>
          <w:color w:val="auto"/>
        </w:rPr>
      </w:pPr>
    </w:p>
    <w:p>
      <w:pPr>
        <w:ind w:left="2460" w:right="479" w:hanging="654"/>
        <w:spacing w:after="0" w:line="287" w:lineRule="auto"/>
        <w:tabs>
          <w:tab w:leader="none" w:pos="2285"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Eligible Products</w:t>
      </w:r>
      <w:r>
        <w:rPr>
          <w:rFonts w:ascii="Times New Roman" w:cs="Times New Roman" w:eastAsia="Times New Roman" w:hAnsi="Times New Roman"/>
          <w:sz w:val="22"/>
          <w:szCs w:val="22"/>
          <w:color w:val="auto"/>
        </w:rPr>
        <w:t>. Program Credit will only be offered for a Basket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contains only Eligible Products under a single order number.</w:t>
      </w:r>
    </w:p>
    <w:p>
      <w:pPr>
        <w:spacing w:after="0" w:line="137" w:lineRule="exact"/>
        <w:rPr>
          <w:rFonts w:ascii="Times New Roman" w:cs="Times New Roman" w:eastAsia="Times New Roman" w:hAnsi="Times New Roman"/>
          <w:sz w:val="20"/>
          <w:szCs w:val="20"/>
          <w:b w:val="1"/>
          <w:bCs w:val="1"/>
          <w:color w:val="auto"/>
        </w:rPr>
      </w:pPr>
    </w:p>
    <w:p>
      <w:pPr>
        <w:ind w:left="2260" w:hanging="455"/>
        <w:spacing w:after="0"/>
        <w:tabs>
          <w:tab w:leader="none" w:pos="226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b w:val="1"/>
          <w:bCs w:val="1"/>
          <w:color w:val="auto"/>
        </w:rPr>
      </w:pPr>
    </w:p>
    <w:p>
      <w:pPr>
        <w:ind w:left="2280" w:hanging="475"/>
        <w:spacing w:after="0"/>
        <w:tabs>
          <w:tab w:leader="none" w:pos="228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b w:val="1"/>
          <w:bCs w:val="1"/>
          <w:color w:val="auto"/>
        </w:rPr>
      </w:pPr>
    </w:p>
    <w:p>
      <w:pPr>
        <w:jc w:val="both"/>
        <w:ind w:left="2460" w:right="179" w:hanging="654"/>
        <w:spacing w:after="0" w:line="249" w:lineRule="auto"/>
        <w:tabs>
          <w:tab w:leader="none" w:pos="2393"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Delivery of Purchased Goods. </w:t>
      </w:r>
      <w:r>
        <w:rPr>
          <w:rFonts w:ascii="Times New Roman" w:cs="Times New Roman" w:eastAsia="Times New Roman" w:hAnsi="Times New Roman"/>
          <w:sz w:val="22"/>
          <w:szCs w:val="22"/>
          <w:color w:val="auto"/>
        </w:rPr>
        <w:t>In the case of any purchase made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Participating Site other than a Processed Merchant Site, (1) the applicable Amazon Party or its Affiliate will ship Eligible Products purchased by an Approved Customer in a Basket and financed in whole or in part with Program Credit (“</w:t>
      </w:r>
      <w:r>
        <w:rPr>
          <w:rFonts w:ascii="Times New Roman" w:cs="Times New Roman" w:eastAsia="Times New Roman" w:hAnsi="Times New Roman"/>
          <w:sz w:val="22"/>
          <w:szCs w:val="22"/>
          <w:b w:val="1"/>
          <w:bCs w:val="1"/>
          <w:color w:val="auto"/>
        </w:rPr>
        <w:t>Purchased Goods</w:t>
      </w:r>
      <w:r>
        <w:rPr>
          <w:rFonts w:ascii="Times New Roman" w:cs="Times New Roman" w:eastAsia="Times New Roman" w:hAnsi="Times New Roman"/>
          <w:sz w:val="22"/>
          <w:szCs w:val="22"/>
          <w:color w:val="auto"/>
        </w:rPr>
        <w:t>”) to the address selected by the Approved Customer for delivery and (2) on or after the shipment of the last Purchased Good in such Basket, the Program Credit under the Installment Credit Agreement between Affirm and the Approved Customer will be issued by Affirm. In the case of any purchase made on a Processed Merchant Site, the Program Credit under the Installment Credit Agreement between Affirm and the Approved Customer will be issued by Affirm [***].</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9019"/>
          </w:cols>
          <w:pgMar w:left="1440" w:top="1179" w:right="1440" w:bottom="1440" w:gutter="0" w:footer="0" w:header="0"/>
        </w:sectPr>
      </w:pPr>
    </w:p>
    <w:bookmarkStart w:id="218" w:name="page219"/>
    <w:bookmarkEnd w:id="218"/>
    <w:p>
      <w:pPr>
        <w:ind w:left="2460" w:right="199" w:hanging="654"/>
        <w:spacing w:after="0" w:line="258" w:lineRule="auto"/>
        <w:tabs>
          <w:tab w:leader="none" w:pos="2314" w:val="left"/>
        </w:tabs>
        <w:numPr>
          <w:ilvl w:val="0"/>
          <w:numId w:val="1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Settlement of Program Credit Proceeds</w:t>
      </w:r>
      <w:r>
        <w:rPr>
          <w:rFonts w:ascii="Times New Roman" w:cs="Times New Roman" w:eastAsia="Times New Roman" w:hAnsi="Times New Roman"/>
          <w:sz w:val="21"/>
          <w:szCs w:val="21"/>
          <w:color w:val="auto"/>
        </w:rPr>
        <w:t>. (1) In the case of any purchase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on a Participating Site other than a Processed Merchant Site, upon Affirm’s receipt of confirmation from Amazon that the last Purchased Good in a Basket has shipped, or (2) in the case of any purchase made on a Processed Merchant Site, [***], Affirm will initiate payment to Amazon Services or Amazon Payments, as the case may be, [***], of an amount equal to the entire loan proceeds under the Installment Credit Agreement approved for that Basket, which amount will equal the sum of the Basket Amount due from Affirm to Amazon, less any (i) Subsidy (as applicable) with respect to that Installment Credit Agreement, (ii) in the case of payments made to Amazon Payments, Affirm MDR, (iii) Processed Merchant Losses, and (iv) the Buy Rate Amount (the “</w:t>
      </w:r>
      <w:r>
        <w:rPr>
          <w:rFonts w:ascii="Times New Roman" w:cs="Times New Roman" w:eastAsia="Times New Roman" w:hAnsi="Times New Roman"/>
          <w:sz w:val="21"/>
          <w:szCs w:val="21"/>
          <w:b w:val="1"/>
          <w:bCs w:val="1"/>
          <w:color w:val="auto"/>
        </w:rPr>
        <w:t>Settled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Loan Proceeds</w:t>
      </w:r>
      <w:r>
        <w:rPr>
          <w:rFonts w:ascii="Times New Roman" w:cs="Times New Roman" w:eastAsia="Times New Roman" w:hAnsi="Times New Roman"/>
          <w:sz w:val="21"/>
          <w:szCs w:val="21"/>
          <w:color w:val="auto"/>
        </w:rPr>
        <w:t>”). Thirty days following the end of each month during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 Affirm will also pay to Amazon Payments the aggregate amount of Rev Share in respect of Program Credits relating to all transactions processed through the Amazon Pay Widget on Processed Merchant Sites during the immediately preceding month in accordance with Section 4.7 of Schedule 2.3(A)(2) less any Rev Share previously paid to Amazon Payments that corresponds to Full Order Cancellations, Partial Order Cancellations, Warranty Partial Order Cancellations or Amazon Concessions processed during such month. Notwithstanding the foregoing, solely with respect to purchases made on a Participating Site other than a Processed Merchant Site, if any item in a Basket has not shipped (a “</w:t>
      </w:r>
      <w:r>
        <w:rPr>
          <w:rFonts w:ascii="Times New Roman" w:cs="Times New Roman" w:eastAsia="Times New Roman" w:hAnsi="Times New Roman"/>
          <w:sz w:val="21"/>
          <w:szCs w:val="21"/>
          <w:b w:val="1"/>
          <w:bCs w:val="1"/>
          <w:color w:val="auto"/>
        </w:rPr>
        <w:t>Delayed Item</w:t>
      </w:r>
      <w:r>
        <w:rPr>
          <w:rFonts w:ascii="Times New Roman" w:cs="Times New Roman" w:eastAsia="Times New Roman" w:hAnsi="Times New Roman"/>
          <w:sz w:val="21"/>
          <w:szCs w:val="21"/>
          <w:color w:val="auto"/>
        </w:rPr>
        <w:t>”) by the Settlement Cutoff Date then (x) Affirm will, in conjunction with Bank, as applicable, reduce the principal amount of the corresponding Program Credit as if the applicable Approved Customer had initiated a Partial Order Cancellation with respect to such Delayed Item in accordance with Section 6.11(C), and (y) by the first Business Day to occur after the Settlement Cutoff Date, Affirm will initiate payment to Amazon Services of an amount equal to the loan proceeds under the Installment Credit Agreement approved for that Basket (for the avoidance of doubt, after giving effect to the principal reduction described in the immediately preceding clause (x)). The “</w:t>
      </w:r>
      <w:r>
        <w:rPr>
          <w:rFonts w:ascii="Times New Roman" w:cs="Times New Roman" w:eastAsia="Times New Roman" w:hAnsi="Times New Roman"/>
          <w:sz w:val="21"/>
          <w:szCs w:val="21"/>
          <w:b w:val="1"/>
          <w:bCs w:val="1"/>
          <w:color w:val="auto"/>
        </w:rPr>
        <w:t>Settlement Cutoff Date</w:t>
      </w:r>
      <w:r>
        <w:rPr>
          <w:rFonts w:ascii="Times New Roman" w:cs="Times New Roman" w:eastAsia="Times New Roman" w:hAnsi="Times New Roman"/>
          <w:sz w:val="21"/>
          <w:szCs w:val="21"/>
          <w:color w:val="auto"/>
        </w:rPr>
        <w:t>” means the date that is one hundred twenty (120) days (if Affirm receives one-time, prior Bank approval), or otherwise sixty (60) days, after the entire loan proceeds under the Installment Credit Agreement were approved for a Basket. The Parties will mutually agree upon communications to Approved Customers relating to a Partial Order Cancellation for a Delayed Item. Affirm may not otherwise reduce or set off against the Settled Loan Proceeds, except for (i) any Subsidy due to Affirm with respect to that Installment Credit Agreement as set forth in Schedule 2.3(A)(1) or Schedule 2.3(A)(2), as applicable, (ii) refunds arising from Full Order Cancellations, Partial Order Cancellations, Warranty Partial Order Cancellations or Amazon Concessions, in each case communicated</w:t>
      </w:r>
    </w:p>
    <w:p>
      <w:pPr>
        <w:sectPr>
          <w:pgSz w:w="11900" w:h="16838" w:orient="portrait"/>
          <w:cols w:equalWidth="0" w:num="1">
            <w:col w:w="9019"/>
          </w:cols>
          <w:pgMar w:left="1440" w:top="11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9019"/>
          </w:cols>
          <w:pgMar w:left="1440" w:top="1175" w:right="1440" w:bottom="1440" w:gutter="0" w:footer="0" w:header="0"/>
          <w:type w:val="continuous"/>
        </w:sectPr>
      </w:pPr>
    </w:p>
    <w:bookmarkStart w:id="219" w:name="page220"/>
    <w:bookmarkEnd w:id="219"/>
    <w:p>
      <w:pPr>
        <w:jc w:val="both"/>
        <w:ind w:left="2460" w:right="199"/>
        <w:spacing w:after="0" w:line="258" w:lineRule="auto"/>
        <w:rPr>
          <w:sz w:val="20"/>
          <w:szCs w:val="20"/>
          <w:color w:val="auto"/>
        </w:rPr>
      </w:pPr>
      <w:r>
        <w:rPr>
          <w:rFonts w:ascii="Times New Roman" w:cs="Times New Roman" w:eastAsia="Times New Roman" w:hAnsi="Times New Roman"/>
          <w:sz w:val="21"/>
          <w:szCs w:val="21"/>
          <w:color w:val="auto"/>
        </w:rPr>
        <w:t>to Affirm by Amazon as set forth in Section 6.11; or (iii) Processed Merchant Losses. Affirm will transmit Settled Loan Proceeds to one or more accounts of Amazon Services or its Affiliates specified by Amazon Services. An Approved Customer’s initial, one-time partial payment of the applicable purchase price (i.e., down payments) that is collected by Affirm on behalf of Amazon (in connection with a transaction made on a Participating Site other than a Processed Merchant Site) or a Processed Merchant (in connection with a transaction made on a Processed Merchant Site) under this Agreement (each a “</w:t>
      </w:r>
      <w:r>
        <w:rPr>
          <w:rFonts w:ascii="Times New Roman" w:cs="Times New Roman" w:eastAsia="Times New Roman" w:hAnsi="Times New Roman"/>
          <w:sz w:val="21"/>
          <w:szCs w:val="21"/>
          <w:b w:val="1"/>
          <w:bCs w:val="1"/>
          <w:color w:val="auto"/>
        </w:rPr>
        <w:t>Partial Payment</w:t>
      </w:r>
      <w:r>
        <w:rPr>
          <w:rFonts w:ascii="Times New Roman" w:cs="Times New Roman" w:eastAsia="Times New Roman" w:hAnsi="Times New Roman"/>
          <w:sz w:val="21"/>
          <w:szCs w:val="21"/>
          <w:color w:val="auto"/>
        </w:rPr>
        <w:t>”) will be considered the same as a payment made directly to Amazon (in connection with a transaction made on a Participating Site other than a Processed Merchant Site) or the applicable Processed Merchant (in connection with a transaction made on the applicable Processed Merchant Site). To the extent a Partial Payment is required and as applicable, Amazon appoints Affirm Loan Services, LLC and/or Affirm Payments, LLC as its payment collection agent solely for the purpose of accepting such Partial Payment from Approved Customers on behalf of Amazon. Each payment by an Approved Customer to Affirm Loan Services, LLC and/or Affirm Payments, LLC will be considered the same as a payment made directly as applicable to Amazon or the applicable Processed Merchant. Amazon understands that subject to Section 6.8(C), Affirm Loan Services, LLC’s and/or Affirm Payments, LLC’s obligation to transmit a Partial Payment to Amazon is subject to and conditional upon successful receipt of the associated Partial Payment from Customer. Notwithstanding anything to the contrary in the Agreement, Affirm Loan Services LLC and Affirm Payments, LLC will be third-party beneficiaries under the Agreement to the extent necessary to agree to and uphold the foregoing appointment. Affirm Loan Services LLC’s and Affirm Payments LLC’s rights under this Section transfer to any successor of Affirm Loan Services LLC or Affirm Payments LLC, as applicable. For the avoidance of doubt, with respect to Program Credits originated by Bank, Bank will disburse the Settled Loan Proceeds to Amazon; and with respect to Program Credits originated by Affirm’s Affiliate, Affirm Loan Services, LLC, such Affirm Affiliate will disburse the Settled Loan Proceeds to Amazon. With respect to Program Credits relating to transactions processed through the Amazon Pay Widget on Processed Merchant Sites, Settled Loan Proceeds will be disbursed to Amazon Payments. With respect to Program Credits relating to transactions processed through Participating Sites that do not include Processed Merchant Sites, Settled Loan Proceeds will be disbursed to Amazon Services or the applicable Covered Affiliate.</w:t>
      </w:r>
    </w:p>
    <w:p>
      <w:pPr>
        <w:spacing w:after="0" w:line="200" w:lineRule="exact"/>
        <w:rPr>
          <w:sz w:val="20"/>
          <w:szCs w:val="20"/>
          <w:color w:val="auto"/>
        </w:rPr>
      </w:pPr>
    </w:p>
    <w:p>
      <w:pPr>
        <w:spacing w:after="0" w:line="253" w:lineRule="exact"/>
        <w:rPr>
          <w:sz w:val="20"/>
          <w:szCs w:val="20"/>
          <w:color w:val="auto"/>
        </w:rPr>
      </w:pPr>
    </w:p>
    <w:p>
      <w:pPr>
        <w:jc w:val="both"/>
        <w:ind w:left="2460" w:right="199" w:hanging="654"/>
        <w:spacing w:after="0" w:line="259" w:lineRule="auto"/>
        <w:tabs>
          <w:tab w:leader="none" w:pos="2546"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Remittance File</w:t>
      </w:r>
      <w:r>
        <w:rPr>
          <w:rFonts w:ascii="Times New Roman" w:cs="Times New Roman" w:eastAsia="Times New Roman" w:hAnsi="Times New Roman"/>
          <w:sz w:val="22"/>
          <w:szCs w:val="22"/>
          <w:color w:val="auto"/>
        </w:rPr>
        <w:t>. Affirm will make available to Amazon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information with respect to the aggregate amount of Settled Loan Proceeds owed to Amazon Services for each calendar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9019"/>
          </w:cols>
          <w:pgMar w:left="1440" w:top="1179" w:right="1440" w:bottom="1440" w:gutter="0" w:footer="0" w:header="0"/>
        </w:sectPr>
      </w:pPr>
    </w:p>
    <w:bookmarkStart w:id="220" w:name="page221"/>
    <w:bookmarkEnd w:id="220"/>
    <w:p>
      <w:pPr>
        <w:jc w:val="both"/>
        <w:ind w:left="2460" w:right="199"/>
        <w:spacing w:after="0" w:line="247" w:lineRule="auto"/>
        <w:rPr>
          <w:sz w:val="20"/>
          <w:szCs w:val="20"/>
          <w:color w:val="auto"/>
        </w:rPr>
      </w:pPr>
      <w:r>
        <w:rPr>
          <w:rFonts w:ascii="Times New Roman" w:cs="Times New Roman" w:eastAsia="Times New Roman" w:hAnsi="Times New Roman"/>
          <w:sz w:val="22"/>
          <w:szCs w:val="22"/>
          <w:color w:val="auto"/>
        </w:rPr>
        <w:t>day (the “</w:t>
      </w:r>
      <w:r>
        <w:rPr>
          <w:rFonts w:ascii="Times New Roman" w:cs="Times New Roman" w:eastAsia="Times New Roman" w:hAnsi="Times New Roman"/>
          <w:sz w:val="22"/>
          <w:szCs w:val="22"/>
          <w:b w:val="1"/>
          <w:bCs w:val="1"/>
          <w:color w:val="auto"/>
        </w:rPr>
        <w:t>Aggregate Daily Settlement Amount</w:t>
      </w:r>
      <w:r>
        <w:rPr>
          <w:rFonts w:ascii="Times New Roman" w:cs="Times New Roman" w:eastAsia="Times New Roman" w:hAnsi="Times New Roman"/>
          <w:sz w:val="22"/>
          <w:szCs w:val="22"/>
          <w:color w:val="auto"/>
        </w:rPr>
        <w:t>”) in the Remittance File to enable Amazon Services to reconcile the amount due to Amazon Services for Purchased Goods for that calendar day against the Settled Loan Proceeds Affirm has paid to Amazon Services for that calendar day. The settlement information will include both aggregate and individual transaction information (the “</w:t>
      </w:r>
      <w:r>
        <w:rPr>
          <w:rFonts w:ascii="Times New Roman" w:cs="Times New Roman" w:eastAsia="Times New Roman" w:hAnsi="Times New Roman"/>
          <w:sz w:val="22"/>
          <w:szCs w:val="22"/>
          <w:b w:val="1"/>
          <w:bCs w:val="1"/>
          <w:color w:val="auto"/>
        </w:rPr>
        <w:t>Settlement Information</w:t>
      </w:r>
      <w:r>
        <w:rPr>
          <w:rFonts w:ascii="Times New Roman" w:cs="Times New Roman" w:eastAsia="Times New Roman" w:hAnsi="Times New Roman"/>
          <w:sz w:val="22"/>
          <w:szCs w:val="22"/>
          <w:color w:val="auto"/>
        </w:rPr>
        <w:t>”) necessary to enable Amazon Services to reconcile the amount due to Amazon Services, debits to that amount attributable to Full Order Cancellations, Partial Order Cancellations, Warranty Partial Order Cancellations, Installment Credit Agreements cancellations and Amazon Concessions, each in accordance with Section 6.11, and such additional information described in the Technical Specifications or as the Parties agree is reasonably required for Amazon Services to identify and reconcile the Aggregate Daily Settlement Amount. The Remittance File will be created each Business Day detailing the remittance of Aggregate Daily Settlement Amounts for the Business Day and for any previous calendar days that had not been included in the last Remittance File (such period, the “</w:t>
      </w:r>
      <w:r>
        <w:rPr>
          <w:rFonts w:ascii="Times New Roman" w:cs="Times New Roman" w:eastAsia="Times New Roman" w:hAnsi="Times New Roman"/>
          <w:sz w:val="22"/>
          <w:szCs w:val="22"/>
          <w:b w:val="1"/>
          <w:bCs w:val="1"/>
          <w:color w:val="auto"/>
        </w:rPr>
        <w:t>Remittance File Period</w:t>
      </w:r>
      <w:r>
        <w:rPr>
          <w:rFonts w:ascii="Times New Roman" w:cs="Times New Roman" w:eastAsia="Times New Roman" w:hAnsi="Times New Roman"/>
          <w:sz w:val="22"/>
          <w:szCs w:val="22"/>
          <w:color w:val="auto"/>
        </w:rPr>
        <w:t>”), except in the event that the report is empty because there were no Settled Loan Proceeds for such Remittance File Period or in the event that the sum of Aggregate Daily Settlement Amounts for such Remittance File Period is zero or negative; it being understood that on the next following Business Day when the sum of Aggregate Daily Settlement Amounts for such Remittance File Period is positive, Affirm will make available the Settlement Information for each calendar day (by calendar day) that has occurred since, and that was not included in, any previous Remittance File that was made available to Amazon Services.</w:t>
      </w:r>
    </w:p>
    <w:p>
      <w:pPr>
        <w:spacing w:after="0" w:line="179" w:lineRule="exact"/>
        <w:rPr>
          <w:sz w:val="20"/>
          <w:szCs w:val="20"/>
          <w:color w:val="auto"/>
        </w:rPr>
      </w:pPr>
    </w:p>
    <w:p>
      <w:pPr>
        <w:jc w:val="both"/>
        <w:ind w:left="2460" w:right="199" w:hanging="654"/>
        <w:spacing w:after="0" w:line="260" w:lineRule="auto"/>
        <w:tabs>
          <w:tab w:leader="none" w:pos="2444" w:val="left"/>
        </w:tabs>
        <w:numPr>
          <w:ilvl w:val="0"/>
          <w:numId w:val="1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Inability to Reconcile</w:t>
      </w:r>
      <w:r>
        <w:rPr>
          <w:rFonts w:ascii="Times New Roman" w:cs="Times New Roman" w:eastAsia="Times New Roman" w:hAnsi="Times New Roman"/>
          <w:sz w:val="21"/>
          <w:szCs w:val="21"/>
          <w:color w:val="auto"/>
        </w:rPr>
        <w:t>. If Amazon Services is unable to reconcile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Aggregate Daily Settlement Amount to its satisfaction, Amazon Services will notify Affirm within sixty (60) days following the date on which Amazon Services received the relevant Remittance File from Affirm. Affirm will have (i) ten (10) Business Days from receipt of Amazon Services’ notice to provide the information necessary for Amazon Services to complete the reconciliation in a subsequent Remittance File, and (ii) forty five (45) days from receipt of Amazon Services’ notice to develop a solution that will ensure Amazon Services’ ability to successfully reconcile Aggregate Daily Settlement Amounts in the future;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Affirm reasonably determines that any solution to be developed in accordance with the preceding clause (ii) requires custom engineering or product work that will take longer than forty five</w:t>
      </w:r>
    </w:p>
    <w:p>
      <w:pPr>
        <w:spacing w:after="0" w:line="2" w:lineRule="exact"/>
        <w:rPr>
          <w:rFonts w:ascii="Times New Roman" w:cs="Times New Roman" w:eastAsia="Times New Roman" w:hAnsi="Times New Roman"/>
          <w:sz w:val="19"/>
          <w:szCs w:val="19"/>
          <w:b w:val="1"/>
          <w:bCs w:val="1"/>
          <w:color w:val="auto"/>
        </w:rPr>
      </w:pPr>
    </w:p>
    <w:p>
      <w:pPr>
        <w:jc w:val="both"/>
        <w:ind w:left="2460" w:right="199" w:hanging="6"/>
        <w:spacing w:after="0" w:line="244" w:lineRule="auto"/>
        <w:tabs>
          <w:tab w:leader="none" w:pos="2904"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receipt of Amazon Services’ notice to implement, then the Parties will mutually agree upon a reasonable amount of time to complete the solution. Notwithstanding the foregoing, the Parties agree that during any period (x) beginning on the date on which Affirm receives a notice from Amazon</w:t>
      </w:r>
    </w:p>
    <w:p>
      <w:pPr>
        <w:sectPr>
          <w:pgSz w:w="11900" w:h="16838" w:orient="portrait"/>
          <w:cols w:equalWidth="0" w:num="1">
            <w:col w:w="9019"/>
          </w:cols>
          <w:pgMar w:left="1440" w:top="1175"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9019"/>
          </w:cols>
          <w:pgMar w:left="1440" w:top="1175" w:right="1440" w:bottom="1440" w:gutter="0" w:footer="0" w:header="0"/>
          <w:type w:val="continuous"/>
        </w:sectPr>
      </w:pPr>
    </w:p>
    <w:bookmarkStart w:id="221" w:name="page222"/>
    <w:bookmarkEnd w:id="221"/>
    <w:p>
      <w:pPr>
        <w:jc w:val="both"/>
        <w:ind w:left="2460" w:right="199"/>
        <w:spacing w:after="0" w:line="251" w:lineRule="auto"/>
        <w:rPr>
          <w:sz w:val="20"/>
          <w:szCs w:val="20"/>
          <w:color w:val="auto"/>
        </w:rPr>
      </w:pPr>
      <w:r>
        <w:rPr>
          <w:rFonts w:ascii="Times New Roman" w:cs="Times New Roman" w:eastAsia="Times New Roman" w:hAnsi="Times New Roman"/>
          <w:sz w:val="22"/>
          <w:szCs w:val="22"/>
          <w:color w:val="auto"/>
        </w:rPr>
        <w:t>Services of its inability to reconcile the Aggregate Daily Settlement Amount and (y) ending on the date on which a solution to ensure Amazon Services’ ability to again successfully reconcile Aggregate Daily Settlement Amounts has been implemented, Affirm will continue to pay the Aggregate Daily Settlement Amounts requested by Amazon Services in accordance with Section 6.10(E).</w:t>
      </w:r>
    </w:p>
    <w:p>
      <w:pPr>
        <w:spacing w:after="0" w:line="177" w:lineRule="exact"/>
        <w:rPr>
          <w:sz w:val="20"/>
          <w:szCs w:val="20"/>
          <w:color w:val="auto"/>
        </w:rPr>
      </w:pPr>
    </w:p>
    <w:p>
      <w:pPr>
        <w:ind w:left="2460" w:right="199" w:hanging="654"/>
        <w:spacing w:after="0" w:line="249" w:lineRule="auto"/>
        <w:tabs>
          <w:tab w:leader="none" w:pos="2377"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Missing, Corrupt or Incomplete Remittance File</w:t>
      </w:r>
      <w:r>
        <w:rPr>
          <w:rFonts w:ascii="Times New Roman" w:cs="Times New Roman" w:eastAsia="Times New Roman" w:hAnsi="Times New Roman"/>
          <w:sz w:val="22"/>
          <w:szCs w:val="22"/>
          <w:color w:val="auto"/>
        </w:rPr>
        <w:t>. If Amazon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does not receive a Remittance File on a Business Day or receives a Remittance File that it determines is corrupt or incomplete, Amazon Services will notify Affirm within one (1) Business Day following the date that Amazon Services receives such Remittance File, and Affirm will have (i) two (2) Business Days from receipt of Amazon Services’ notice to Affirm to provide a replacement Remittance File for Amazon Services to complete the reconciliation and (ii) thirty (30) days to develop a solution that will ensure Amazon Services’ ability to successfully reconcile Aggregate Daily Settlement Amounts in the future.</w:t>
      </w:r>
    </w:p>
    <w:p>
      <w:pPr>
        <w:spacing w:after="0" w:line="177"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6.11 </w:t>
      </w:r>
      <w:r>
        <w:rPr>
          <w:rFonts w:ascii="Times New Roman" w:cs="Times New Roman" w:eastAsia="Times New Roman" w:hAnsi="Times New Roman"/>
          <w:sz w:val="21"/>
          <w:szCs w:val="21"/>
          <w:b w:val="1"/>
          <w:bCs w:val="1"/>
          <w:color w:val="auto"/>
        </w:rPr>
        <w:t>Cancellations and Returns.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Amazon Services will notify Affirm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Full Order Cancellations, Partial Order Cancellations, Warranty Partial Order Cancellations and Amazon Concessions in accordance with the Technical Specifications. Amazon Services and its Affiliates will process claims by Approved Customers for timely delivery and condition of goods in connection with Purchased Goods sold and fulfilled by third party sellers operating on the Amazon Site in accordance with the Return Policies (e.g., the Amazon “A-to-Z Guarantee”), and Amazon Services and its Affiliates will not unfairly discriminate against users of Program Credit compared to Amazon Customers using other payment methods with respect to such claims.</w:t>
      </w:r>
    </w:p>
    <w:p>
      <w:pPr>
        <w:spacing w:after="0" w:line="165" w:lineRule="exact"/>
        <w:rPr>
          <w:sz w:val="20"/>
          <w:szCs w:val="20"/>
          <w:color w:val="auto"/>
        </w:rPr>
      </w:pPr>
    </w:p>
    <w:p>
      <w:pPr>
        <w:ind w:left="2280" w:hanging="475"/>
        <w:spacing w:after="0"/>
        <w:tabs>
          <w:tab w:leader="none" w:pos="2280"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b w:val="1"/>
          <w:bCs w:val="1"/>
          <w:color w:val="auto"/>
        </w:rPr>
      </w:pPr>
    </w:p>
    <w:p>
      <w:pPr>
        <w:ind w:left="2460" w:right="199" w:hanging="654"/>
        <w:spacing w:after="0" w:line="261" w:lineRule="auto"/>
        <w:tabs>
          <w:tab w:leader="none" w:pos="2368" w:val="left"/>
        </w:tabs>
        <w:numPr>
          <w:ilvl w:val="0"/>
          <w:numId w:val="1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Full Order Cancellations</w:t>
      </w:r>
      <w:r>
        <w:rPr>
          <w:rFonts w:ascii="Times New Roman" w:cs="Times New Roman" w:eastAsia="Times New Roman" w:hAnsi="Times New Roman"/>
          <w:sz w:val="21"/>
          <w:szCs w:val="21"/>
          <w:color w:val="auto"/>
        </w:rPr>
        <w:t>. For cancellations or returns of all Purchased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Goods in a Basket (a “</w:t>
      </w:r>
      <w:r>
        <w:rPr>
          <w:rFonts w:ascii="Times New Roman" w:cs="Times New Roman" w:eastAsia="Times New Roman" w:hAnsi="Times New Roman"/>
          <w:sz w:val="21"/>
          <w:szCs w:val="21"/>
          <w:b w:val="1"/>
          <w:bCs w:val="1"/>
          <w:color w:val="auto"/>
        </w:rPr>
        <w:t>Full Order Cancellation</w:t>
      </w:r>
      <w:r>
        <w:rPr>
          <w:rFonts w:ascii="Times New Roman" w:cs="Times New Roman" w:eastAsia="Times New Roman" w:hAnsi="Times New Roman"/>
          <w:sz w:val="21"/>
          <w:szCs w:val="21"/>
          <w:color w:val="auto"/>
        </w:rPr>
        <w:t>”), an Approved Customer must (i) exercise his or her right to cancel all Purchased Goods in a Basket prior to such items being shipped, (ii) return all Purchased Goods in such Basket to Amazon or the applicable Processed Merchant, as the case may be, in accordance with the Return Policies or such Processed Merchant’s return policies, or (iii) in the case of any purchase made on a Participating Site other than a Processed Merchant Site, if some but not all of the goods in such Basket have shipped, exercise his or her right to cancel the remaining Purchased Goods in such Basket and return all Purchased Goods in such Basket that have shipped to Amazon Services or its Affiliate in accordance with the Return Policies. Amazon Services will notify Affirm of Full Order Cancellations by the Approved Customer on the date of such cancellation or receipt of all such Purchased Goods, as the case may be (the “</w:t>
      </w:r>
      <w:r>
        <w:rPr>
          <w:rFonts w:ascii="Times New Roman" w:cs="Times New Roman" w:eastAsia="Times New Roman" w:hAnsi="Times New Roman"/>
          <w:sz w:val="21"/>
          <w:szCs w:val="21"/>
          <w:b w:val="1"/>
          <w:bCs w:val="1"/>
          <w:color w:val="auto"/>
        </w:rPr>
        <w:t>Full Order Cancellation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in accordance with the Technical</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9019"/>
          </w:cols>
          <w:pgMar w:left="1440" w:top="1179" w:right="1440" w:bottom="1440" w:gutter="0" w:footer="0" w:header="0"/>
          <w:type w:val="continuous"/>
        </w:sectPr>
      </w:pPr>
    </w:p>
    <w:bookmarkStart w:id="222" w:name="page223"/>
    <w:bookmarkEnd w:id="222"/>
    <w:p>
      <w:pPr>
        <w:jc w:val="both"/>
        <w:ind w:left="2460" w:right="199"/>
        <w:spacing w:after="0" w:line="260" w:lineRule="auto"/>
        <w:rPr>
          <w:sz w:val="20"/>
          <w:szCs w:val="20"/>
          <w:color w:val="auto"/>
        </w:rPr>
      </w:pPr>
      <w:r>
        <w:rPr>
          <w:rFonts w:ascii="Times New Roman" w:cs="Times New Roman" w:eastAsia="Times New Roman" w:hAnsi="Times New Roman"/>
          <w:sz w:val="21"/>
          <w:szCs w:val="21"/>
          <w:color w:val="auto"/>
        </w:rPr>
        <w:t>Specifications. Upon the receipt of notification from Amazon Services in accordance with the Technical Specifications, Affirm will, in conjunction with Bank, as applicable, (x) reduce the principal amount of the relevant Program Credit of the Approved Customer to zero, (y) reduce or set off the amount of any proceeds it paid to Amazon Services under the cancelled Program Credit (including, for the avoidance of doubt, any amounts originally paid by the Approved Customer to Affirm or Bank, as applicable, as a Partial Payment) in connection with a Full Order Cancellation from the next-occurring payment to Amazon Services of Aggregate Daily Settlement Proceeds and (z) if applicable, credit the amount of any Subsidy paid by Amazon in respect of the cancelled Program Credit to the next-occurring payment to Amazon Services of Aggregate Daily Settlement Proceeds. No interest will be payable by the Approved Customer under the Installment Credit Agreement with respect to any Purchased Goods under a Full Order Cancellation so long as the Full Order Cancellation Date occurs within one year from the shipment of the last item of the relevant Purchased Goods, and any amounts paid by the Approved Customer will be promptly refunded.</w:t>
      </w:r>
    </w:p>
    <w:p>
      <w:pPr>
        <w:spacing w:after="0" w:line="201" w:lineRule="exact"/>
        <w:rPr>
          <w:sz w:val="20"/>
          <w:szCs w:val="20"/>
          <w:color w:val="auto"/>
        </w:rPr>
      </w:pPr>
    </w:p>
    <w:p>
      <w:pPr>
        <w:ind w:left="2460" w:right="179" w:hanging="654"/>
        <w:spacing w:after="0" w:line="247" w:lineRule="auto"/>
        <w:tabs>
          <w:tab w:leader="none" w:pos="2325"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Partial Order Cancellations</w:t>
      </w:r>
      <w:r>
        <w:rPr>
          <w:rFonts w:ascii="Times New Roman" w:cs="Times New Roman" w:eastAsia="Times New Roman" w:hAnsi="Times New Roman"/>
          <w:sz w:val="22"/>
          <w:szCs w:val="22"/>
          <w:color w:val="auto"/>
        </w:rPr>
        <w:t>. For cancellations or returns of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not all) Purchased Goods in a Basket (a “</w:t>
      </w:r>
      <w:r>
        <w:rPr>
          <w:rFonts w:ascii="Times New Roman" w:cs="Times New Roman" w:eastAsia="Times New Roman" w:hAnsi="Times New Roman"/>
          <w:sz w:val="22"/>
          <w:szCs w:val="22"/>
          <w:b w:val="1"/>
          <w:bCs w:val="1"/>
          <w:color w:val="auto"/>
        </w:rPr>
        <w:t>Partial Order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an Approved Customer must exercise his or her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cancel one or more Purchased Goods in a Basket prior to such items being shipped or return such Purchased Goods to Amazon or the applicable Processed Merchant, as the case may be, in accordance with the Return Policies or such Processed Merchant’s return policies. Amazon Services will notify Affirm of Partial Order Cancellations by the Approved Customer on the date of such partial cancellation or receipt of such Purchased Goods, as the case may be (the “</w:t>
      </w:r>
      <w:r>
        <w:rPr>
          <w:rFonts w:ascii="Times New Roman" w:cs="Times New Roman" w:eastAsia="Times New Roman" w:hAnsi="Times New Roman"/>
          <w:sz w:val="22"/>
          <w:szCs w:val="22"/>
          <w:b w:val="1"/>
          <w:bCs w:val="1"/>
          <w:color w:val="auto"/>
        </w:rPr>
        <w:t>Partial Order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Cancellation Date</w:t>
      </w:r>
      <w:r>
        <w:rPr>
          <w:rFonts w:ascii="Times New Roman" w:cs="Times New Roman" w:eastAsia="Times New Roman" w:hAnsi="Times New Roman"/>
          <w:sz w:val="22"/>
          <w:szCs w:val="22"/>
          <w:color w:val="auto"/>
        </w:rPr>
        <w:t>”) in accordance with the Technical Specifications.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receipt of notification from Amazon Services in accordance with the Technical Specifications, Affirm will, in conjunction with Bank, as applicable, (w) apply the amount of proceeds corresponding to the Partial Order Cancellation as a Partial Early Repayment, (x) reduce the principal amount of the relevant Program Credit of the Approved Customer by such amount (and promptly refund the Approved Customer any excess amounts if such principal amount is reduced to zero), (y) reduce or set off the amount of proceeds from the next occurring payment to Amazon Services of Aggregate Daily Settlement Proceeds and (z) if applicable, credit the amount of any Subsidy paid by Amazon in respect of the reduced portion of Program Credit to the next-occurring payment to Amazon Services of Aggregate Daily Settlement Proceeds. No interest will be payable by the Approved Customer under the Installment Credit Agreement with respect to any Purchased Goods under a Partial Order Cancellation so long as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9019"/>
          </w:cols>
          <w:pgMar w:left="1440" w:top="1165" w:right="1440" w:bottom="1440" w:gutter="0" w:footer="0" w:header="0"/>
        </w:sectPr>
      </w:pPr>
    </w:p>
    <w:bookmarkStart w:id="223" w:name="page224"/>
    <w:bookmarkEnd w:id="223"/>
    <w:p>
      <w:pPr>
        <w:jc w:val="both"/>
        <w:ind w:left="2460" w:right="179"/>
        <w:spacing w:after="0" w:line="263" w:lineRule="auto"/>
        <w:rPr>
          <w:sz w:val="20"/>
          <w:szCs w:val="20"/>
          <w:color w:val="auto"/>
        </w:rPr>
      </w:pPr>
      <w:r>
        <w:rPr>
          <w:rFonts w:ascii="Times New Roman" w:cs="Times New Roman" w:eastAsia="Times New Roman" w:hAnsi="Times New Roman"/>
          <w:sz w:val="22"/>
          <w:szCs w:val="22"/>
          <w:color w:val="auto"/>
        </w:rPr>
        <w:t>the Partial Order Cancellation Date occurs within one year from the shipment of the last item of the relevant Purchased Goods, and any amounts paid by the Approved Customer will be promptly refunded.</w:t>
      </w:r>
    </w:p>
    <w:p>
      <w:pPr>
        <w:spacing w:after="0" w:line="163" w:lineRule="exact"/>
        <w:rPr>
          <w:sz w:val="20"/>
          <w:szCs w:val="20"/>
          <w:color w:val="auto"/>
        </w:rPr>
      </w:pPr>
    </w:p>
    <w:p>
      <w:pPr>
        <w:jc w:val="both"/>
        <w:ind w:left="2460" w:right="199" w:hanging="654"/>
        <w:spacing w:after="0" w:line="247" w:lineRule="auto"/>
        <w:tabs>
          <w:tab w:leader="none" w:pos="2474"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Warranty Partial Order Cancellations</w:t>
      </w:r>
      <w:r>
        <w:rPr>
          <w:rFonts w:ascii="Times New Roman" w:cs="Times New Roman" w:eastAsia="Times New Roman" w:hAnsi="Times New Roman"/>
          <w:sz w:val="22"/>
          <w:szCs w:val="22"/>
          <w:color w:val="auto"/>
        </w:rPr>
        <w:t>. For returns of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Purchased Goods in a Basket due to a warranty claim (a “</w:t>
      </w:r>
      <w:r>
        <w:rPr>
          <w:rFonts w:ascii="Times New Roman" w:cs="Times New Roman" w:eastAsia="Times New Roman" w:hAnsi="Times New Roman"/>
          <w:sz w:val="22"/>
          <w:szCs w:val="22"/>
          <w:b w:val="1"/>
          <w:bCs w:val="1"/>
          <w:color w:val="auto"/>
        </w:rPr>
        <w:t>Warranty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Partial Order Cancellation</w:t>
      </w:r>
      <w:r>
        <w:rPr>
          <w:rFonts w:ascii="Times New Roman" w:cs="Times New Roman" w:eastAsia="Times New Roman" w:hAnsi="Times New Roman"/>
          <w:sz w:val="22"/>
          <w:szCs w:val="22"/>
          <w:color w:val="auto"/>
        </w:rPr>
        <w:t>”), an Approved Customer must exercise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her right to return such Purchased Goods during the applicable warranty period as provided by the manufacturer. If Amazon Services or the applicable Processed Merchant, as the case may be, is unable to provide the same replacement item or a similar replacement item that is valued at an amount that is equal or greater than such Purchased Goods to replace such Purchased Goods, Amazon Services will notify Affirm of Warranty Partial Order Cancellations by the Approved Customer on the date of (1) receipt by Amazon Services of such returned Purchased Goods, in the case of any purchase made on a Participating Site other than a Processed Merchant Site, or (2) receipt by Amazon Payments of a notification from the applicable Processed Merchant that a refund should be processed, in the case of any purchase made on a Processed Merchant Site, in each case in accordance with the Technical Specifications. Upon the receipt of notification from Amazon Services in accordance with the Technical Specifications, Affirm will, in conjunction with Bank, as applicable, (w) apply the amount of proceeds corresponding to the Warranty Partial Order Cancellation as a Partial Early Repayment, (x) reduce the principal amount of the relevant Program Credit of the Approved Customer by such amount (and promptly refund the Approved Customer any excess amounts if such principal amount is reduced to zero), (y) reduce or set off such amount from the next occurring payment to Amazon of Aggregate Daily Settlement Proceeds and (z) if applicable, credit the amount of any Subsidy paid by Amazon in respect of the reduced portion of Program Credit to the next-occurring payment to Amazon Services of Aggregate Daily Settlement Proceeds. No interest will be payable by the Approved Customer under the Installment Credit Agreement with respect to any Purchased Goods under a Warranty Order Cancellation so long as the Warranty Order Cancellation Date occurs within one year from the shipment of the last item of the relevant Purchased Goods, and any amounts paid by the Approved Customer will be promptly refunded.</w:t>
      </w:r>
    </w:p>
    <w:p>
      <w:pPr>
        <w:spacing w:after="0" w:line="179" w:lineRule="exact"/>
        <w:rPr>
          <w:rFonts w:ascii="Times New Roman" w:cs="Times New Roman" w:eastAsia="Times New Roman" w:hAnsi="Times New Roman"/>
          <w:sz w:val="20"/>
          <w:szCs w:val="20"/>
          <w:b w:val="1"/>
          <w:bCs w:val="1"/>
          <w:color w:val="auto"/>
        </w:rPr>
      </w:pPr>
    </w:p>
    <w:p>
      <w:pPr>
        <w:ind w:left="2460" w:right="199" w:hanging="654"/>
        <w:spacing w:after="0" w:line="252" w:lineRule="auto"/>
        <w:tabs>
          <w:tab w:leader="none" w:pos="2341"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Partial Order Adjustment for Amazon Concessions</w:t>
      </w:r>
      <w:r>
        <w:rPr>
          <w:rFonts w:ascii="Times New Roman" w:cs="Times New Roman" w:eastAsia="Times New Roman" w:hAnsi="Times New Roman"/>
          <w:sz w:val="22"/>
          <w:szCs w:val="22"/>
          <w:color w:val="auto"/>
        </w:rPr>
        <w:t>. Amazon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its Affiliate may issue Amazon Concessions in connection with Purchased Goods to Approved Customers in their discretion. Upon the receipt of notification from Amazon Services in accordance with the Technical Specifications that Amazon has issued any Amazon Concession, Affirm will, in conjunction with</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9019"/>
          </w:cols>
          <w:pgMar w:left="1440" w:top="949" w:right="1440" w:bottom="1440" w:gutter="0" w:footer="0" w:header="0"/>
        </w:sectPr>
      </w:pPr>
    </w:p>
    <w:bookmarkStart w:id="224" w:name="page225"/>
    <w:bookmarkEnd w:id="224"/>
    <w:p>
      <w:pPr>
        <w:jc w:val="both"/>
        <w:ind w:left="2460" w:right="199"/>
        <w:spacing w:after="0" w:line="246" w:lineRule="auto"/>
        <w:rPr>
          <w:sz w:val="20"/>
          <w:szCs w:val="20"/>
          <w:color w:val="auto"/>
        </w:rPr>
      </w:pPr>
      <w:r>
        <w:rPr>
          <w:rFonts w:ascii="Times New Roman" w:cs="Times New Roman" w:eastAsia="Times New Roman" w:hAnsi="Times New Roman"/>
          <w:sz w:val="22"/>
          <w:szCs w:val="22"/>
          <w:color w:val="auto"/>
        </w:rPr>
        <w:t>Bank, as applicable, (w) apply the amount of proceeds corresponding to the Amazon Concession as a Partial Early Repayment, (x) reduce the principal amount of the relevant Program Credit of the Approved Customer by such amount (and promptly refund the Approved Customer any excess amounts if such principal amount is reduced to zero), (y) reduce or set off such amount from the next occurring payment to Amazon Services of Aggregate Daily Settlement Proceeds and (z) if applicable, credit the amount of any Subsidy paid by Amazon in respect of the reduced portion of Program Credit to the next-occurring payment to Amazon Services of Aggregate Daily Settlement Proceeds. No interest will be payable by the Approved Customer under the Installment Credit Agreement with respect to any Purchased Goods under the Partial Order Adjustment for Amazon Concessions so long as the Amazon Concession is issued within one year from the shipment of the last item of the relevant Purchased Goods. Any amounts paid by the Approved Customer will be promptly refunded.</w:t>
      </w:r>
    </w:p>
    <w:p>
      <w:pPr>
        <w:spacing w:after="0" w:line="239" w:lineRule="exact"/>
        <w:rPr>
          <w:sz w:val="20"/>
          <w:szCs w:val="20"/>
          <w:color w:val="auto"/>
        </w:rPr>
      </w:pPr>
    </w:p>
    <w:p>
      <w:pPr>
        <w:ind w:left="2460" w:right="179" w:hanging="654"/>
        <w:spacing w:after="0" w:line="249" w:lineRule="auto"/>
        <w:tabs>
          <w:tab w:leader="none" w:pos="2262"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In respect of each of the foregoing Sections 6.11(B)-6.11(E), within 45 days after the end of the Term, Amazon Services will pay Affirm a single payment in an amount equal to the aggregate amount of proceeds due to Affirm in connection with any Full Order Cancellation, Partial Order Cancellation, Warranty Partial Order Cancellation or Amazon Concession that had not been set off in accordance with Sections 6.11(B)-6.11(E), as applicable. Affirm will bear the full cost for Program Credit set-up, risk of loss and the cost of funds for any Full Order Cancellation, Partial Order Cancellation, Warranty Partial Order Cancellation and Amazon Concessions, as applicable.</w:t>
      </w:r>
    </w:p>
    <w:p>
      <w:pPr>
        <w:spacing w:after="0" w:line="179" w:lineRule="exact"/>
        <w:rPr>
          <w:sz w:val="20"/>
          <w:szCs w:val="20"/>
          <w:color w:val="auto"/>
        </w:rPr>
      </w:pPr>
    </w:p>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6.12 </w:t>
      </w:r>
      <w:r>
        <w:rPr>
          <w:rFonts w:ascii="Times New Roman" w:cs="Times New Roman" w:eastAsia="Times New Roman" w:hAnsi="Times New Roman"/>
          <w:sz w:val="21"/>
          <w:szCs w:val="21"/>
          <w:b w:val="1"/>
          <w:bCs w:val="1"/>
          <w:color w:val="auto"/>
        </w:rPr>
        <w:t>Sale, Pledge, Assignment, Securitization of Program Credit</w:t>
      </w:r>
      <w:r>
        <w:rPr>
          <w:rFonts w:ascii="Times New Roman" w:cs="Times New Roman" w:eastAsia="Times New Roman" w:hAnsi="Times New Roman"/>
          <w:sz w:val="21"/>
          <w:szCs w:val="21"/>
          <w:color w:val="auto"/>
        </w:rPr>
        <w:t>.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to Applicable Law, Affirm and its Affiliates may sell, pledge, assign or securitize the Program Credits or any part thereof at any time during the Term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action will adversely affect or limit any of the rights of the Amazon Parties or obligations of Affirm under this Agreement. In the event that Affirm sells, pledges, assigns or securitizes any Program Credit as contemplated by this Section 6.12, no Trademark of any Amazon Party or their Affiliates will be used in any sale, pledge, assignment or securitization documents without Amazon Services’ Prior Approval;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sentence shall in no way prohibit Affirm from designating the Amazon Parties as the merchant for any applicable Program Credits in the normal course of documenting such sale, pledge, assignment or securitization.</w:t>
      </w:r>
    </w:p>
    <w:p>
      <w:pPr>
        <w:spacing w:after="0" w:line="165" w:lineRule="exact"/>
        <w:rPr>
          <w:sz w:val="20"/>
          <w:szCs w:val="20"/>
          <w:color w:val="auto"/>
        </w:rPr>
      </w:pPr>
    </w:p>
    <w:p>
      <w:pPr>
        <w:jc w:val="both"/>
        <w:ind w:left="1120" w:right="199" w:firstLine="648"/>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6.13 </w:t>
      </w:r>
      <w:r>
        <w:rPr>
          <w:rFonts w:ascii="Times New Roman" w:cs="Times New Roman" w:eastAsia="Times New Roman" w:hAnsi="Times New Roman"/>
          <w:sz w:val="21"/>
          <w:szCs w:val="21"/>
          <w:b w:val="1"/>
          <w:bCs w:val="1"/>
          <w:color w:val="auto"/>
        </w:rPr>
        <w:t>Excusable Delays and Force Majeure Events</w:t>
      </w:r>
      <w:r>
        <w:rPr>
          <w:rFonts w:ascii="Times New Roman" w:cs="Times New Roman" w:eastAsia="Times New Roman" w:hAnsi="Times New Roman"/>
          <w:sz w:val="21"/>
          <w:szCs w:val="21"/>
          <w:color w:val="auto"/>
        </w:rPr>
        <w:t>. Any delay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Agreement will be excused to the extent approved in writing by the Parties. Any delay in the performance by a Party of its obligations (other than obligation of payment of amounts due, including any Aggregate Daily Settlement Amounts, unless banking systems are generally unavailable) under this Agreement will be excused when the delay in performance is due to any external,</w:t>
      </w:r>
    </w:p>
    <w:p>
      <w:pPr>
        <w:sectPr>
          <w:pgSz w:w="11900" w:h="16838" w:orient="portrait"/>
          <w:cols w:equalWidth="0" w:num="1">
            <w:col w:w="9019"/>
          </w:cols>
          <w:pgMar w:left="1440" w:top="1179"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9019"/>
          </w:cols>
          <w:pgMar w:left="1440" w:top="1179" w:right="1440" w:bottom="1440" w:gutter="0" w:footer="0" w:header="0"/>
          <w:type w:val="continuous"/>
        </w:sectPr>
      </w:pPr>
    </w:p>
    <w:bookmarkStart w:id="225" w:name="page226"/>
    <w:bookmarkEnd w:id="225"/>
    <w:p>
      <w:pPr>
        <w:jc w:val="both"/>
        <w:ind w:left="1120" w:right="199"/>
        <w:spacing w:after="0" w:line="248" w:lineRule="auto"/>
        <w:rPr>
          <w:sz w:val="20"/>
          <w:szCs w:val="20"/>
          <w:color w:val="auto"/>
        </w:rPr>
      </w:pPr>
      <w:r>
        <w:rPr>
          <w:rFonts w:ascii="Times New Roman" w:cs="Times New Roman" w:eastAsia="Times New Roman" w:hAnsi="Times New Roman"/>
          <w:sz w:val="22"/>
          <w:szCs w:val="22"/>
          <w:color w:val="auto"/>
        </w:rPr>
        <w:t>unforeseeable cause or event of any nature whatsoever beyond the reasonable control of such Party (a “</w:t>
      </w:r>
      <w:r>
        <w:rPr>
          <w:rFonts w:ascii="Times New Roman" w:cs="Times New Roman" w:eastAsia="Times New Roman" w:hAnsi="Times New Roman"/>
          <w:sz w:val="22"/>
          <w:szCs w:val="22"/>
          <w:b w:val="1"/>
          <w:bCs w:val="1"/>
          <w:color w:val="auto"/>
        </w:rPr>
        <w:t>Force Majeure Event</w:t>
      </w:r>
      <w:r>
        <w:rPr>
          <w:rFonts w:ascii="Times New Roman" w:cs="Times New Roman" w:eastAsia="Times New Roman" w:hAnsi="Times New Roman"/>
          <w:sz w:val="22"/>
          <w:szCs w:val="22"/>
          <w:color w:val="auto"/>
        </w:rPr>
        <w:t xml:space="preserve">”), including any act of God; any fire, flood or weather condition; any pandemic; any earthquake; any act of a public enemy, war, terrorism, insurrection, riot, explosion or strike;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written notice of a Force Majeure Event must be given by such Party to the other Party within 30 days after the start of the Force Majeure Event. For the avoidance of doubt, any reasonably foreseeable change to Applicable Law that results in increased compliance burden for Affirm will not constitute a Force Majeure Event. No Force Majeure Event will negate Affirm’s obligation to meet Performance Standards if the failure could have been prevented through the use of a disaster recovery and business continuity plan or a Redundant Facility or other reasonable precautions for a Force Majeure Event.</w:t>
      </w:r>
    </w:p>
    <w:p>
      <w:pPr>
        <w:spacing w:after="0" w:line="198" w:lineRule="exact"/>
        <w:rPr>
          <w:sz w:val="20"/>
          <w:szCs w:val="20"/>
          <w:color w:val="auto"/>
        </w:rPr>
      </w:pPr>
    </w:p>
    <w:p>
      <w:pPr>
        <w:jc w:val="both"/>
        <w:ind w:left="1120" w:right="199" w:firstLine="648"/>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6.14 </w:t>
      </w:r>
      <w:r>
        <w:rPr>
          <w:rFonts w:ascii="Times New Roman" w:cs="Times New Roman" w:eastAsia="Times New Roman" w:hAnsi="Times New Roman"/>
          <w:sz w:val="21"/>
          <w:szCs w:val="21"/>
          <w:b w:val="1"/>
          <w:bCs w:val="1"/>
          <w:color w:val="auto"/>
        </w:rPr>
        <w:t>Disaster Recovery</w:t>
      </w:r>
      <w:r>
        <w:rPr>
          <w:rFonts w:ascii="Times New Roman" w:cs="Times New Roman" w:eastAsia="Times New Roman" w:hAnsi="Times New Roman"/>
          <w:sz w:val="21"/>
          <w:szCs w:val="21"/>
          <w:color w:val="auto"/>
        </w:rPr>
        <w:t>. Affirm agrees that it will conduct regular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periodic data back-ups of all systems and files. During the Term, Affirm will maintain a disaster recovery and business continuity plan that includes data back-ups and such facilities, computer equipment and software, power-back up, telecommunications, Personnel and other resources as are necessary to provide back-up and fail over functionality of Affirm’s data facilities and systems (including the Affirm Systems) (the “</w:t>
      </w:r>
      <w:r>
        <w:rPr>
          <w:rFonts w:ascii="Times New Roman" w:cs="Times New Roman" w:eastAsia="Times New Roman" w:hAnsi="Times New Roman"/>
          <w:sz w:val="21"/>
          <w:szCs w:val="21"/>
          <w:b w:val="1"/>
          <w:bCs w:val="1"/>
          <w:color w:val="auto"/>
        </w:rPr>
        <w:t>Redundant Facility</w:t>
      </w:r>
      <w:r>
        <w:rPr>
          <w:rFonts w:ascii="Times New Roman" w:cs="Times New Roman" w:eastAsia="Times New Roman" w:hAnsi="Times New Roman"/>
          <w:sz w:val="21"/>
          <w:szCs w:val="21"/>
          <w:color w:val="auto"/>
        </w:rPr>
        <w:t>”) to support all of Affirm’s obligations with respect to the Program in the event that such facilities experience a significant interruption or impairment of operation. Each Redundant Facility will be located in a facility physically and geographically separate from Affirm’s primary facility. Affirm will conduct an annual audit of its disaster recovery plan and its Redundant Facility [***]. As used in this Section 6.14, the term “fail over” means that, if any event (including a Force Majeure Event) impairs the operation of Affirm’s primary facility, the applicable functions will be transferred to the Redundant Facility without significant interruption,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60" w:hanging="351"/>
        <w:spacing w:after="0"/>
        <w:tabs>
          <w:tab w:leader="none" w:pos="86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7"/>
          <w:szCs w:val="17"/>
          <w:b w:val="1"/>
          <w:bCs w:val="1"/>
          <w:color w:val="auto"/>
        </w:rPr>
        <w:t>INANCIAL</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ERMS</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1"/>
          <w:szCs w:val="21"/>
          <w:b w:val="1"/>
          <w:bCs w:val="1"/>
          <w:color w:val="auto"/>
        </w:rPr>
        <w:t>Amazon-Affirm Financial Arrangements</w:t>
      </w:r>
      <w:r>
        <w:rPr>
          <w:rFonts w:ascii="Times New Roman" w:cs="Times New Roman" w:eastAsia="Times New Roman" w:hAnsi="Times New Roman"/>
          <w:sz w:val="21"/>
          <w:szCs w:val="21"/>
          <w:color w:val="auto"/>
        </w:rPr>
        <w:t>. Financial arrangements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pricing as between the Amazon Parties and Affirm will be governed by the terms set forth on (i) </w:t>
      </w:r>
      <w:r>
        <w:rPr>
          <w:rFonts w:ascii="Times New Roman" w:cs="Times New Roman" w:eastAsia="Times New Roman" w:hAnsi="Times New Roman"/>
          <w:sz w:val="21"/>
          <w:szCs w:val="21"/>
          <w:u w:val="single" w:color="auto"/>
          <w:color w:val="auto"/>
        </w:rPr>
        <w:t>Schedule 2.3(A)(1)</w:t>
      </w:r>
      <w:r>
        <w:rPr>
          <w:rFonts w:ascii="Times New Roman" w:cs="Times New Roman" w:eastAsia="Times New Roman" w:hAnsi="Times New Roman"/>
          <w:sz w:val="21"/>
          <w:szCs w:val="21"/>
          <w:color w:val="auto"/>
        </w:rPr>
        <w:t xml:space="preserve"> or, for Program Credits issued for purchases on Processed Merchant Sites, </w:t>
      </w:r>
      <w:r>
        <w:rPr>
          <w:rFonts w:ascii="Times New Roman" w:cs="Times New Roman" w:eastAsia="Times New Roman" w:hAnsi="Times New Roman"/>
          <w:sz w:val="21"/>
          <w:szCs w:val="21"/>
          <w:u w:val="single" w:color="auto"/>
          <w:color w:val="auto"/>
        </w:rPr>
        <w:t>Schedule 2.3(A)(2)</w:t>
      </w:r>
      <w:r>
        <w:rPr>
          <w:rFonts w:ascii="Times New Roman" w:cs="Times New Roman" w:eastAsia="Times New Roman" w:hAnsi="Times New Roman"/>
          <w:sz w:val="21"/>
          <w:szCs w:val="21"/>
          <w:color w:val="auto"/>
        </w:rPr>
        <w:t xml:space="preserve"> (in each case with respect to the Pricing Options), and (ii) </w:t>
      </w:r>
      <w:r>
        <w:rPr>
          <w:rFonts w:ascii="Times New Roman" w:cs="Times New Roman" w:eastAsia="Times New Roman" w:hAnsi="Times New Roman"/>
          <w:sz w:val="21"/>
          <w:szCs w:val="21"/>
          <w:u w:val="single" w:color="auto"/>
          <w:color w:val="auto"/>
        </w:rPr>
        <w:t>Schedule 7.1</w:t>
      </w:r>
      <w:r>
        <w:rPr>
          <w:rFonts w:ascii="Times New Roman" w:cs="Times New Roman" w:eastAsia="Times New Roman" w:hAnsi="Times New Roman"/>
          <w:sz w:val="21"/>
          <w:szCs w:val="21"/>
          <w:color w:val="auto"/>
        </w:rPr>
        <w:t>. Amounts owed by Affirm to an Amazon Party hereunder will be payable to a single account designated by Amazon Services, and the applicable Amazon Party may allocate all or any portion of such amounts to itself or its Affiliates in its sole discretion.</w:t>
      </w:r>
    </w:p>
    <w:p>
      <w:pPr>
        <w:spacing w:after="0" w:line="200" w:lineRule="exact"/>
        <w:rPr>
          <w:sz w:val="20"/>
          <w:szCs w:val="20"/>
          <w:color w:val="auto"/>
        </w:rPr>
      </w:pPr>
    </w:p>
    <w:p>
      <w:pPr>
        <w:spacing w:after="0" w:line="233"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ind w:left="1120" w:right="1199" w:firstLine="648"/>
        <w:spacing w:after="0" w:line="299"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1"/>
          <w:szCs w:val="21"/>
          <w:b w:val="1"/>
          <w:bCs w:val="1"/>
          <w:color w:val="auto"/>
        </w:rPr>
        <w:t>Financial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Affirm’s financial obligations will be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forth in </w:t>
      </w:r>
      <w:r>
        <w:rPr>
          <w:rFonts w:ascii="Times New Roman" w:cs="Times New Roman" w:eastAsia="Times New Roman" w:hAnsi="Times New Roman"/>
          <w:sz w:val="21"/>
          <w:szCs w:val="21"/>
          <w:u w:val="single" w:color="auto"/>
          <w:color w:val="auto"/>
        </w:rPr>
        <w:t>Schedule 7.3</w:t>
      </w:r>
      <w:r>
        <w:rPr>
          <w:rFonts w:ascii="Times New Roman" w:cs="Times New Roman" w:eastAsia="Times New Roman" w:hAnsi="Times New Roman"/>
          <w:sz w:val="21"/>
          <w:szCs w:val="21"/>
          <w:color w:val="auto"/>
        </w:rPr>
        <w:t>.</w:t>
      </w:r>
    </w:p>
    <w:p>
      <w:pPr>
        <w:spacing w:after="0" w:line="127" w:lineRule="exact"/>
        <w:rPr>
          <w:sz w:val="20"/>
          <w:szCs w:val="20"/>
          <w:color w:val="auto"/>
        </w:rPr>
      </w:pPr>
    </w:p>
    <w:p>
      <w:pPr>
        <w:ind w:left="860" w:hanging="351"/>
        <w:spacing w:after="0"/>
        <w:tabs>
          <w:tab w:leader="none" w:pos="86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NTENTIONALLY OMITTED</w:t>
      </w:r>
      <w:r>
        <w:rPr>
          <w:rFonts w:ascii="Times New Roman" w:cs="Times New Roman" w:eastAsia="Times New Roman" w:hAnsi="Times New Roman"/>
          <w:sz w:val="22"/>
          <w:szCs w:val="22"/>
          <w:b w:val="1"/>
          <w:bCs w:val="1"/>
          <w:color w:val="auto"/>
        </w:rPr>
        <w:t>.</w:t>
      </w:r>
    </w:p>
    <w:p>
      <w:pPr>
        <w:spacing w:after="0" w:line="273" w:lineRule="exact"/>
        <w:rPr>
          <w:rFonts w:ascii="Times New Roman" w:cs="Times New Roman" w:eastAsia="Times New Roman" w:hAnsi="Times New Roman"/>
          <w:sz w:val="20"/>
          <w:szCs w:val="20"/>
          <w:b w:val="1"/>
          <w:bCs w:val="1"/>
          <w:color w:val="auto"/>
        </w:rPr>
      </w:pPr>
    </w:p>
    <w:p>
      <w:pPr>
        <w:ind w:left="860" w:hanging="351"/>
        <w:spacing w:after="0"/>
        <w:tabs>
          <w:tab w:leader="none" w:pos="86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DATA USAGE AND SECURITY.</w:t>
      </w:r>
    </w:p>
    <w:p>
      <w:pPr>
        <w:sectPr>
          <w:pgSz w:w="11900" w:h="16838" w:orient="portrait"/>
          <w:cols w:equalWidth="0" w:num="1">
            <w:col w:w="9019"/>
          </w:cols>
          <w:pgMar w:left="1440" w:top="1165"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9019"/>
          </w:cols>
          <w:pgMar w:left="1440" w:top="1165" w:right="1440" w:bottom="1440" w:gutter="0" w:footer="0" w:header="0"/>
          <w:type w:val="continuous"/>
        </w:sectPr>
      </w:pPr>
    </w:p>
    <w:bookmarkStart w:id="226" w:name="page227"/>
    <w:bookmarkEnd w:id="226"/>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Program Information.</w:t>
      </w:r>
    </w:p>
    <w:p>
      <w:pPr>
        <w:spacing w:after="0" w:line="245" w:lineRule="exact"/>
        <w:rPr>
          <w:sz w:val="20"/>
          <w:szCs w:val="20"/>
          <w:color w:val="auto"/>
        </w:rPr>
      </w:pPr>
    </w:p>
    <w:p>
      <w:pPr>
        <w:ind w:left="2460" w:right="199" w:hanging="654"/>
        <w:spacing w:after="0" w:line="259" w:lineRule="auto"/>
        <w:tabs>
          <w:tab w:leader="none" w:pos="2352" w:val="left"/>
        </w:tabs>
        <w:numPr>
          <w:ilvl w:val="0"/>
          <w:numId w:val="1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Shared Information</w:t>
      </w:r>
      <w:r>
        <w:rPr>
          <w:rFonts w:ascii="Times New Roman" w:cs="Times New Roman" w:eastAsia="Times New Roman" w:hAnsi="Times New Roman"/>
          <w:sz w:val="21"/>
          <w:szCs w:val="21"/>
          <w:color w:val="auto"/>
        </w:rPr>
        <w:t>. Each of the Amazon Parties, on the one hand,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Affirm, on the other hand, will have a separate control and ownership interest in the copy of the Shared Information that it maintains and such copy will constitute the Confidential Information of such Party or Parties. Nothing in this Agreement will limit the Amazon Parties’ and Affirm’s separate control and ownership interest in any Shared Information. The confidentiality of Shared Information, Amazon Customer Information, Amazon Transaction Data and Additional Amazon Data will be maintained by the Parties in accordance with the terms of this Agreement and each Party’s use of the Shared Information, Amazon Customer Information, Amazon Transaction Data and Additional Amazon Data will be subject to the use and disclosure restrictions set forth in this Agreement. Without limiting the foregoing, notwithstanding the separate controlling interest in the Shared Information, no Party will disclose any Shared Information, except as expressly permitted by this Agreement; provided that if Section 10.3 applies, neither the Amazon Parties nor Affirm may disclose any information pursuant to Section 10.3(A)–(D) that is identified with or provides a means of identifying such information with the other Party or Parties, as the case may be, or their respective Affiliates. To the extent any Shared Information is comprised of Non-Public Personal Information, as defined by the Gramm-Leach-Bliley Act (“</w:t>
      </w:r>
      <w:r>
        <w:rPr>
          <w:rFonts w:ascii="Times New Roman" w:cs="Times New Roman" w:eastAsia="Times New Roman" w:hAnsi="Times New Roman"/>
          <w:sz w:val="21"/>
          <w:szCs w:val="21"/>
          <w:b w:val="1"/>
          <w:bCs w:val="1"/>
          <w:color w:val="auto"/>
        </w:rPr>
        <w:t>GLBA</w:t>
      </w:r>
      <w:r>
        <w:rPr>
          <w:rFonts w:ascii="Times New Roman" w:cs="Times New Roman" w:eastAsia="Times New Roman" w:hAnsi="Times New Roman"/>
          <w:sz w:val="21"/>
          <w:szCs w:val="21"/>
          <w:color w:val="auto"/>
        </w:rPr>
        <w:t>”), 15 U.S.C. § 6809(4), the Parties agree to use such Shared Information solely in accordance with Applicable Law.</w:t>
      </w:r>
    </w:p>
    <w:p>
      <w:pPr>
        <w:spacing w:after="0" w:line="189" w:lineRule="exact"/>
        <w:rPr>
          <w:rFonts w:ascii="Times New Roman" w:cs="Times New Roman" w:eastAsia="Times New Roman" w:hAnsi="Times New Roman"/>
          <w:sz w:val="19"/>
          <w:szCs w:val="19"/>
          <w:b w:val="1"/>
          <w:bCs w:val="1"/>
          <w:color w:val="auto"/>
        </w:rPr>
      </w:pPr>
    </w:p>
    <w:p>
      <w:pPr>
        <w:ind w:left="2460" w:right="199" w:hanging="654"/>
        <w:spacing w:after="0" w:line="260" w:lineRule="auto"/>
        <w:tabs>
          <w:tab w:leader="none" w:pos="2301" w:val="left"/>
        </w:tabs>
        <w:numPr>
          <w:ilvl w:val="0"/>
          <w:numId w:val="1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Confidentiality and Ownership. </w:t>
      </w:r>
      <w:r>
        <w:rPr>
          <w:rFonts w:ascii="Times New Roman" w:cs="Times New Roman" w:eastAsia="Times New Roman" w:hAnsi="Times New Roman"/>
          <w:sz w:val="21"/>
          <w:szCs w:val="21"/>
          <w:color w:val="auto"/>
        </w:rPr>
        <w:t>All Affirm Customer Information that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Shared Information will be the proprietary and Confidential Information of Affirm. Nothing in this Agreement will limit any Amazon Party’s separate ownership of: (1) any information that it collects or processes on or through a Participating Site related to an Eligible Applicant or Approved Customer; (2) any information such Amazon Party may receive or develop from sources other than the Program that may overlap with the Application Data or Affirm Customer Information; or (3) names, addresses and other information which relates to persons who happen to be Eligible Applicants or Approved Customers where such data has been independently developed or acquired by such Amazon Party separate and apart from the Program (collectively, “</w:t>
      </w:r>
      <w:r>
        <w:rPr>
          <w:rFonts w:ascii="Times New Roman" w:cs="Times New Roman" w:eastAsia="Times New Roman" w:hAnsi="Times New Roman"/>
          <w:sz w:val="21"/>
          <w:szCs w:val="21"/>
          <w:b w:val="1"/>
          <w:bCs w:val="1"/>
          <w:color w:val="auto"/>
        </w:rPr>
        <w:t>Amazon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Developed Information</w:t>
      </w:r>
      <w:r>
        <w:rPr>
          <w:rFonts w:ascii="Times New Roman" w:cs="Times New Roman" w:eastAsia="Times New Roman" w:hAnsi="Times New Roman"/>
          <w:sz w:val="21"/>
          <w:szCs w:val="21"/>
          <w:color w:val="auto"/>
        </w:rPr>
        <w:t>”). Amazon Transaction Data, Amazon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Customer Information and Amazon Developed Information will be the proprietary and Confidential Information of the Amazon Parties.</w:t>
      </w:r>
    </w:p>
    <w:p>
      <w:pPr>
        <w:spacing w:after="0" w:line="180"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Use and Disclosure.</w:t>
      </w:r>
    </w:p>
    <w:p>
      <w:pPr>
        <w:spacing w:after="0" w:line="245" w:lineRule="exact"/>
        <w:rPr>
          <w:sz w:val="20"/>
          <w:szCs w:val="20"/>
          <w:color w:val="auto"/>
        </w:rPr>
      </w:pPr>
    </w:p>
    <w:p>
      <w:pPr>
        <w:ind w:left="2280" w:hanging="475"/>
        <w:spacing w:after="0"/>
        <w:tabs>
          <w:tab w:leader="none" w:pos="228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Affirm Use.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9019"/>
          </w:cols>
          <w:pgMar w:left="1440" w:top="1161" w:right="1440" w:bottom="1440" w:gutter="0" w:footer="0" w:header="0"/>
        </w:sectPr>
      </w:pPr>
    </w:p>
    <w:bookmarkStart w:id="227" w:name="page228"/>
    <w:bookmarkEnd w:id="227"/>
    <w:p>
      <w:pPr>
        <w:ind w:left="2460" w:right="199" w:hanging="654"/>
        <w:spacing w:after="0" w:line="247" w:lineRule="auto"/>
        <w:tabs>
          <w:tab w:leader="none" w:pos="2281"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During the Term and except as otherwise stated in this Agreement, Affirm and its Affiliates may only use [***]: (A) as necessary to provide services related to the Program as contemplated by this Agreement, (B) as necessary to carry out its obligations or exercise its rights under this Agreement, (C) as required by Applicable Law, (D) for analytical, modeling, research, or risk management (which, for the avoidance of doubt, includes ID verification and fraud prevention efforts) or audit purposes to the extent permitted by Applicable Law, and (E) in the case of Affirm Customer Information, to facilitate any Approved Customer’s ability to obtain subsequent credit or financing from or through Affirm, including in connection with any other Installment Credit Financing Program operated by Affirm. In the event any Amazon Customer Information is provided from time to time by any Amazon Party in its sole discretion to Affirm for any Specified Purpose designated by such Amazon Party, Affirm will not use such Amazon Customer Information for any other purpose and will, unless otherwise required by Applicable Law, delete the applicable Amazon Customer Information promptly after Affirm has used such Amazon Customer Information for such Specified Purposes, and in any event no later than the earliest of (i) the end of the Term, (ii) one year following receipt (or, for the Specified Purposes relating to customer service and Approved Customer claims, the end of the Financing Term for the relevant Program Credit) and (iii) the date that such Amazon Customer Information is required to be deleted under Applicable Law. Except as expressly permitted under this Agreement, Affirm and its Affiliates and their Personnel will not directly or indirectly use any [***].</w:t>
      </w:r>
    </w:p>
    <w:p>
      <w:pPr>
        <w:spacing w:after="0" w:line="196" w:lineRule="exact"/>
        <w:rPr>
          <w:rFonts w:ascii="Times New Roman" w:cs="Times New Roman" w:eastAsia="Times New Roman" w:hAnsi="Times New Roman"/>
          <w:sz w:val="20"/>
          <w:szCs w:val="20"/>
          <w:b w:val="1"/>
          <w:bCs w:val="1"/>
          <w:color w:val="auto"/>
        </w:rPr>
      </w:pPr>
    </w:p>
    <w:p>
      <w:pPr>
        <w:ind w:left="2460" w:right="199" w:hanging="654"/>
        <w:spacing w:after="0" w:line="253" w:lineRule="auto"/>
        <w:tabs>
          <w:tab w:leader="none" w:pos="2268"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After the Term, Affirm will not sell, license, rent or disclose any [***], but may use [***] in compliance with its privacy policy and Applicable Law. Notwithstanding the foregoing, in the event there is any [***] retained by Affirm after the Term in accordance with this Agreement and pursuant to Applicable Law, Affirm may not use [***].</w:t>
      </w:r>
    </w:p>
    <w:p>
      <w:pPr>
        <w:spacing w:after="0" w:line="165" w:lineRule="exact"/>
        <w:rPr>
          <w:rFonts w:ascii="Times New Roman" w:cs="Times New Roman" w:eastAsia="Times New Roman" w:hAnsi="Times New Roman"/>
          <w:sz w:val="20"/>
          <w:szCs w:val="20"/>
          <w:b w:val="1"/>
          <w:bCs w:val="1"/>
          <w:color w:val="auto"/>
        </w:rPr>
      </w:pPr>
    </w:p>
    <w:p>
      <w:pPr>
        <w:ind w:left="2460" w:right="199" w:hanging="654"/>
        <w:spacing w:after="0" w:line="242" w:lineRule="auto"/>
        <w:tabs>
          <w:tab w:leader="none" w:pos="2241"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Amazon may provide Additional Amazon Data to Affirm from time to time in Amazon’s sole discretion. In the event Amazon provides any such Additional Amazon Data, Affirm will be permitted to use such Additional Amazon Data solely for the prevention or detection of fraud in connection with the Program (the “</w:t>
      </w:r>
      <w:r>
        <w:rPr>
          <w:rFonts w:ascii="Times New Roman" w:cs="Times New Roman" w:eastAsia="Times New Roman" w:hAnsi="Times New Roman"/>
          <w:sz w:val="22"/>
          <w:szCs w:val="22"/>
          <w:b w:val="1"/>
          <w:bCs w:val="1"/>
          <w:color w:val="auto"/>
        </w:rPr>
        <w:t>Permitted Purpose</w:t>
      </w:r>
      <w:r>
        <w:rPr>
          <w:rFonts w:ascii="Times New Roman" w:cs="Times New Roman" w:eastAsia="Times New Roman" w:hAnsi="Times New Roman"/>
          <w:sz w:val="22"/>
          <w:szCs w:val="22"/>
          <w:color w:val="auto"/>
        </w:rPr>
        <w:t>”) and for no other purpose. For clarity and not in limitation of the foregoing, in no event will Affirm use, or permit any third party to use, any Additional Amazon Data for purposes of, or in connection with, making an eligibility decision or credit underwriting decision, or in any other manner that would cause such Additional Amazon Data to be deemed “eligibility information” (as such term is defined in the Fair Credit Reporting Act, as amended). Affirm agrees that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9019"/>
          </w:cols>
          <w:pgMar w:left="1440" w:top="1165" w:right="1440" w:bottom="1440" w:gutter="0" w:footer="0" w:header="0"/>
        </w:sectPr>
      </w:pPr>
    </w:p>
    <w:bookmarkStart w:id="228" w:name="page229"/>
    <w:bookmarkEnd w:id="228"/>
    <w:p>
      <w:pPr>
        <w:jc w:val="both"/>
        <w:ind w:left="2460" w:right="199" w:hanging="6"/>
        <w:spacing w:after="0" w:line="259" w:lineRule="auto"/>
        <w:tabs>
          <w:tab w:leader="none" w:pos="2815"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only those Personnel of Affirm who are required to access Additional Amazon Data in order to enable Affirm to use such data for the Permitted Purpose will have access to Additional Amazon Data, (B) [***], (C) Affirm will revoke an employee’s access to Additional Amazon Data upon a change in such employee’s role or termination of such employee’s employment by Affirm and (D) notwithstanding the foregoing,[***]. During the Term, Affirm will delete any Additional Amazon Data provided by Amazon promptly after Affirm has used such Additional Amazon Data for the Permitted Purpose, and in any event within twelve (12) months following receipt;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 Affirm may retain any Additional Amazon Data solely to the extent and for the period mandated by Applicable Law, and use such Additional Amazon Data only for the purposes of complying with such Applicable Law. All Additional Amazon Data will constitute Amazon’s Confidential Information. For the avoidance of doubt, the foregoing requirements shall not apply to Affirm Customer Information.</w:t>
      </w:r>
    </w:p>
    <w:p>
      <w:pPr>
        <w:spacing w:after="0" w:line="186" w:lineRule="exact"/>
        <w:rPr>
          <w:rFonts w:ascii="Times New Roman" w:cs="Times New Roman" w:eastAsia="Times New Roman" w:hAnsi="Times New Roman"/>
          <w:sz w:val="21"/>
          <w:szCs w:val="21"/>
          <w:color w:val="auto"/>
        </w:rPr>
      </w:pPr>
    </w:p>
    <w:p>
      <w:pPr>
        <w:ind w:left="2260" w:hanging="455"/>
        <w:spacing w:after="0"/>
        <w:tabs>
          <w:tab w:leader="none" w:pos="226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Amazon Use and Disclosure.</w:t>
      </w:r>
    </w:p>
    <w:p>
      <w:pPr>
        <w:spacing w:after="0" w:line="224" w:lineRule="exact"/>
        <w:rPr>
          <w:sz w:val="20"/>
          <w:szCs w:val="20"/>
          <w:color w:val="auto"/>
        </w:rPr>
      </w:pPr>
    </w:p>
    <w:p>
      <w:pPr>
        <w:ind w:left="2460" w:right="199" w:hanging="654"/>
        <w:spacing w:after="0" w:line="250" w:lineRule="auto"/>
        <w:tabs>
          <w:tab w:leader="none" w:pos="2308"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During the Term, the Amazon Parties and their Affiliates will only use or disclose the Shared Information and the Aggregate Data, and use the Affirm Customer Information, in each case, (A) in furtherance of the Program, including to promote or provide goods and services to potential applicants for Program Credit on the applicable Participating Site and (B) for analytical, modeling, research, risk management, forecasting or reporting purposes, and to take actions on the basis thereof to the extent permitted by Applicable Law.</w:t>
      </w:r>
    </w:p>
    <w:p>
      <w:pPr>
        <w:spacing w:after="0" w:line="182" w:lineRule="exact"/>
        <w:rPr>
          <w:rFonts w:ascii="Times New Roman" w:cs="Times New Roman" w:eastAsia="Times New Roman" w:hAnsi="Times New Roman"/>
          <w:sz w:val="20"/>
          <w:szCs w:val="20"/>
          <w:b w:val="1"/>
          <w:bCs w:val="1"/>
          <w:color w:val="auto"/>
        </w:rPr>
      </w:pPr>
    </w:p>
    <w:p>
      <w:pPr>
        <w:ind w:left="2460" w:right="199" w:hanging="654"/>
        <w:spacing w:after="0" w:line="252" w:lineRule="auto"/>
        <w:tabs>
          <w:tab w:leader="none" w:pos="2308"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After the Term, and other than pursuant to Article 17 (</w:t>
      </w:r>
      <w:r>
        <w:rPr>
          <w:rFonts w:ascii="Times New Roman" w:cs="Times New Roman" w:eastAsia="Times New Roman" w:hAnsi="Times New Roman"/>
          <w:sz w:val="22"/>
          <w:szCs w:val="22"/>
          <w:i w:val="1"/>
          <w:iCs w:val="1"/>
          <w:color w:val="auto"/>
        </w:rPr>
        <w:t>Post-Termination</w:t>
      </w:r>
      <w:r>
        <w:rPr>
          <w:rFonts w:ascii="Times New Roman" w:cs="Times New Roman" w:eastAsia="Times New Roman" w:hAnsi="Times New Roman"/>
          <w:sz w:val="22"/>
          <w:szCs w:val="22"/>
          <w:color w:val="auto"/>
        </w:rPr>
        <w:t>), no Amazon Party will disclose to any third party any Affirm Customer Information. After the Term, the Amazon Parties and their Affiliates will be permitted to retain and use their copy of the Aggregate Data and Shared Information in accordance with Applicable Law, provided that no Amazon Party will disclose, sell or license any of such information to any third party.</w:t>
      </w:r>
    </w:p>
    <w:p>
      <w:pPr>
        <w:spacing w:after="0" w:line="183" w:lineRule="exact"/>
        <w:rPr>
          <w:rFonts w:ascii="Times New Roman" w:cs="Times New Roman" w:eastAsia="Times New Roman" w:hAnsi="Times New Roman"/>
          <w:sz w:val="20"/>
          <w:szCs w:val="20"/>
          <w:b w:val="1"/>
          <w:bCs w:val="1"/>
          <w:color w:val="auto"/>
        </w:rPr>
      </w:pPr>
    </w:p>
    <w:p>
      <w:pPr>
        <w:ind w:left="2460" w:right="199" w:hanging="654"/>
        <w:spacing w:after="0" w:line="248" w:lineRule="auto"/>
        <w:tabs>
          <w:tab w:leader="none" w:pos="2376"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For the avoidance of doubt and notwithstanding anything herein to the contrary, nothing in this Agreement will (A) preclude the Amazon Parties and their Affiliates from capturing and retaining information whenever an Approved Customer accesses or uses a Participating Site, or (B) prevent the Amazon Parties and their Affiliates from using names, addresses and other information with respect to persons who happen to be Approved Customers that have been independently developed or acquired by any Amazon Party separate and apart from the Program, in either case both during and after the Term, (C) limit the Amazon Parties’ and their Affiliates’ separate ownership, usage, retention, and their rights to</w:t>
      </w:r>
    </w:p>
    <w:p>
      <w:pPr>
        <w:sectPr>
          <w:pgSz w:w="11900" w:h="16838" w:orient="portrait"/>
          <w:cols w:equalWidth="0" w:num="1">
            <w:col w:w="9019"/>
          </w:cols>
          <w:pgMar w:left="1440" w:top="96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9019"/>
          </w:cols>
          <w:pgMar w:left="1440" w:top="963" w:right="1440" w:bottom="1440" w:gutter="0" w:footer="0" w:header="0"/>
          <w:type w:val="continuous"/>
        </w:sectPr>
      </w:pPr>
    </w:p>
    <w:bookmarkStart w:id="229" w:name="page230"/>
    <w:bookmarkEnd w:id="229"/>
    <w:p>
      <w:pPr>
        <w:jc w:val="both"/>
        <w:ind w:left="2460" w:right="199"/>
        <w:spacing w:after="0" w:line="247" w:lineRule="auto"/>
        <w:rPr>
          <w:sz w:val="20"/>
          <w:szCs w:val="20"/>
          <w:color w:val="auto"/>
        </w:rPr>
      </w:pPr>
      <w:r>
        <w:rPr>
          <w:rFonts w:ascii="Times New Roman" w:cs="Times New Roman" w:eastAsia="Times New Roman" w:hAnsi="Times New Roman"/>
          <w:sz w:val="22"/>
          <w:szCs w:val="22"/>
          <w:color w:val="auto"/>
        </w:rPr>
        <w:t>use, disclose or sell, any information (other than any information obtained from Affirm) that they collect or process on any Participating Site related to Approved Customers, including Amazon Transaction Data, Amazon Customer Information, Additional Amazon Data and Amazon Developed Information, or (D) restrict the Amazon Parties’ use of information developed by combining any Shared Information with other data or information in their possession from time to time (including Amazon Transaction Data, Amazon Customer Information and Additional Amazon Data), so long as the resulting combined information is not identifiable with Affirm or with the Program.</w:t>
      </w:r>
    </w:p>
    <w:p>
      <w:pPr>
        <w:spacing w:after="0" w:line="187" w:lineRule="exact"/>
        <w:rPr>
          <w:sz w:val="20"/>
          <w:szCs w:val="20"/>
          <w:color w:val="auto"/>
        </w:rPr>
      </w:pPr>
    </w:p>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9.3 </w:t>
      </w:r>
      <w:r>
        <w:rPr>
          <w:rFonts w:ascii="Times New Roman" w:cs="Times New Roman" w:eastAsia="Times New Roman" w:hAnsi="Times New Roman"/>
          <w:sz w:val="21"/>
          <w:szCs w:val="21"/>
          <w:b w:val="1"/>
          <w:bCs w:val="1"/>
          <w:color w:val="auto"/>
        </w:rPr>
        <w:t>Privacy Policy</w:t>
      </w:r>
      <w:r>
        <w:rPr>
          <w:rFonts w:ascii="Times New Roman" w:cs="Times New Roman" w:eastAsia="Times New Roman" w:hAnsi="Times New Roman"/>
          <w:sz w:val="21"/>
          <w:szCs w:val="21"/>
          <w:color w:val="auto"/>
        </w:rPr>
        <w:t>. The collection, retention and use of personally identifying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information by Affirm associated with any applicant or Approved Customer will be governed by Affirm’s privacy policy and Applicable Law. Affirm represents and warrants that the data reporting and sharing requirements under this Agreement are permitted by Affirm’s privacy policy and, as of the Effective Date, Applicable Law. With respect to the use of personally identifying information by any Amazon Party and Affirm as contemplated in this Agreement, the Parties acknowledge that it is each Party’s responsibility to comply with Applicable Law. Unless required by Applicable Law, Approved Customers will not be offered the opportunity to opt-out of any data sharing by Affirm with the Amazon Parties contemplated under this Agreement.</w:t>
      </w:r>
    </w:p>
    <w:p>
      <w:pPr>
        <w:spacing w:after="0" w:line="185" w:lineRule="exact"/>
        <w:rPr>
          <w:sz w:val="20"/>
          <w:szCs w:val="20"/>
          <w:color w:val="auto"/>
        </w:rPr>
      </w:pPr>
    </w:p>
    <w:p>
      <w:pPr>
        <w:ind w:left="1120" w:right="199" w:firstLine="648"/>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9.4 </w:t>
      </w:r>
      <w:r>
        <w:rPr>
          <w:rFonts w:ascii="Times New Roman" w:cs="Times New Roman" w:eastAsia="Times New Roman" w:hAnsi="Times New Roman"/>
          <w:sz w:val="21"/>
          <w:szCs w:val="21"/>
          <w:b w:val="1"/>
          <w:bCs w:val="1"/>
          <w:color w:val="auto"/>
        </w:rPr>
        <w:t>Data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Subject to Applicable Law, Affirm will comply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Amazon Parties’ information security policy as updated from time to time, which current policy is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Subject to Applicable Law, each Party will comply with this Article 9 in connection with information provided by any Amazon Party to Affirm and held on Affirm’s servers or information provided by Affirm to any Amazon Party and held on such Amazon Party’s servers, in each case in connection with the performance of each Party’s obligations under this Agreement</w:t>
      </w:r>
    </w:p>
    <w:p>
      <w:pPr>
        <w:spacing w:after="0" w:line="200" w:lineRule="exact"/>
        <w:rPr>
          <w:sz w:val="20"/>
          <w:szCs w:val="20"/>
          <w:color w:val="auto"/>
        </w:rPr>
      </w:pPr>
    </w:p>
    <w:p>
      <w:pPr>
        <w:spacing w:after="0" w:line="241" w:lineRule="exact"/>
        <w:rPr>
          <w:sz w:val="20"/>
          <w:szCs w:val="20"/>
          <w:color w:val="auto"/>
        </w:rPr>
      </w:pPr>
    </w:p>
    <w:p>
      <w:pPr>
        <w:ind w:left="1780"/>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Software Security Reviews and Audits</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left="2460" w:right="179" w:hanging="654"/>
        <w:spacing w:after="0" w:line="262" w:lineRule="auto"/>
        <w:tabs>
          <w:tab w:leader="none" w:pos="2285" w:val="left"/>
        </w:tabs>
        <w:numPr>
          <w:ilvl w:val="0"/>
          <w:numId w:val="1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Not in limitation of the requirements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extent that any Amazon Party is implementing any APIs, code or other software from Affirm or its subcontractors in order to integrate a Participating Site with Affirm’s systems or otherwise in connection with Affirm’s provision of its services, such Amazon Party will have the right, upon reasonable advance notice to Affirm, and at such Amazon Party’s sole cost, to inspect and review such APIs, code or software, as applicable, to verify the security thereof (each such review, a “</w:t>
      </w:r>
      <w:r>
        <w:rPr>
          <w:rFonts w:ascii="Times New Roman" w:cs="Times New Roman" w:eastAsia="Times New Roman" w:hAnsi="Times New Roman"/>
          <w:sz w:val="21"/>
          <w:szCs w:val="21"/>
          <w:b w:val="1"/>
          <w:bCs w:val="1"/>
          <w:color w:val="auto"/>
        </w:rPr>
        <w:t>Software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Security Review</w:t>
      </w:r>
      <w:r>
        <w:rPr>
          <w:rFonts w:ascii="Times New Roman" w:cs="Times New Roman" w:eastAsia="Times New Roman" w:hAnsi="Times New Roman"/>
          <w:sz w:val="21"/>
          <w:szCs w:val="21"/>
          <w:color w:val="auto"/>
        </w:rPr>
        <w:t>”). Each Software Security Review will be conducted,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applicable Amazon Party’s option, by an independent organization reasonably acceptable to Affirm that specializes in application security or by such Amazon Party’s own security team, which in each case shall be subject to the confidentiality provisions</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9019"/>
          </w:cols>
          <w:pgMar w:left="1440" w:top="1179" w:right="1440" w:bottom="1440" w:gutter="0" w:footer="0" w:header="0"/>
          <w:type w:val="continuous"/>
        </w:sectPr>
      </w:pPr>
    </w:p>
    <w:bookmarkStart w:id="230" w:name="page231"/>
    <w:bookmarkEnd w:id="230"/>
    <w:p>
      <w:pPr>
        <w:jc w:val="both"/>
        <w:ind w:left="2460" w:right="199"/>
        <w:spacing w:after="0" w:line="252" w:lineRule="auto"/>
        <w:rPr>
          <w:sz w:val="20"/>
          <w:szCs w:val="20"/>
          <w:color w:val="auto"/>
        </w:rPr>
      </w:pPr>
      <w:r>
        <w:rPr>
          <w:rFonts w:ascii="Times New Roman" w:cs="Times New Roman" w:eastAsia="Times New Roman" w:hAnsi="Times New Roman"/>
          <w:sz w:val="22"/>
          <w:szCs w:val="22"/>
          <w:color w:val="auto"/>
        </w:rPr>
        <w:t>of Article 10 (</w:t>
      </w:r>
      <w:r>
        <w:rPr>
          <w:rFonts w:ascii="Times New Roman" w:cs="Times New Roman" w:eastAsia="Times New Roman" w:hAnsi="Times New Roman"/>
          <w:sz w:val="22"/>
          <w:szCs w:val="22"/>
          <w:i w:val="1"/>
          <w:iCs w:val="1"/>
          <w:color w:val="auto"/>
        </w:rPr>
        <w:t>General Confidentiality Obligations</w:t>
      </w:r>
      <w:r>
        <w:rPr>
          <w:rFonts w:ascii="Times New Roman" w:cs="Times New Roman" w:eastAsia="Times New Roman" w:hAnsi="Times New Roman"/>
          <w:sz w:val="22"/>
          <w:szCs w:val="22"/>
          <w:color w:val="auto"/>
        </w:rPr>
        <w:t>). Each Software Security Review will cover all aspects of the relevant software, including third party components and libraries. The cost of each Software Security Review will be borne by the applicable Amazon Party, but will not include any cost associated with Affirm’s Personnel in responding to the audit or otherwise complying with this Section 9.5.</w:t>
      </w:r>
    </w:p>
    <w:p>
      <w:pPr>
        <w:spacing w:after="0" w:line="175" w:lineRule="exact"/>
        <w:rPr>
          <w:sz w:val="20"/>
          <w:szCs w:val="20"/>
          <w:color w:val="auto"/>
        </w:rPr>
      </w:pPr>
    </w:p>
    <w:p>
      <w:pPr>
        <w:ind w:left="2460" w:right="199" w:hanging="654"/>
        <w:spacing w:after="0" w:line="249" w:lineRule="auto"/>
        <w:tabs>
          <w:tab w:leader="none" w:pos="2328"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Scope of Review</w:t>
      </w:r>
      <w:r>
        <w:rPr>
          <w:rFonts w:ascii="Times New Roman" w:cs="Times New Roman" w:eastAsia="Times New Roman" w:hAnsi="Times New Roman"/>
          <w:sz w:val="22"/>
          <w:szCs w:val="22"/>
          <w:color w:val="auto"/>
        </w:rPr>
        <w:t>. At a minimum, a Software Security Review will cover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software vulnerabilities. The Software Security Review may include a combination of static analysis or dynamic web application vulnerability scanning and manual penetration testing. Such testing will be notified to Affirm in advance in writing and will not be performed against Affirm’s production systems. Affirm agrees to, and will use commercially reasonable efforts to cause each applicable subcontractor to, cooperate with and support each Software Security Review.</w:t>
      </w:r>
    </w:p>
    <w:p>
      <w:pPr>
        <w:spacing w:after="0" w:line="195" w:lineRule="exact"/>
        <w:rPr>
          <w:rFonts w:ascii="Times New Roman" w:cs="Times New Roman" w:eastAsia="Times New Roman" w:hAnsi="Times New Roman"/>
          <w:sz w:val="20"/>
          <w:szCs w:val="20"/>
          <w:b w:val="1"/>
          <w:bCs w:val="1"/>
          <w:color w:val="auto"/>
        </w:rPr>
      </w:pPr>
    </w:p>
    <w:p>
      <w:pPr>
        <w:ind w:left="2460" w:right="199" w:hanging="654"/>
        <w:spacing w:after="0" w:line="250" w:lineRule="auto"/>
        <w:tabs>
          <w:tab w:leader="none" w:pos="2312"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Frequency of Review</w:t>
      </w:r>
      <w:r>
        <w:rPr>
          <w:rFonts w:ascii="Times New Roman" w:cs="Times New Roman" w:eastAsia="Times New Roman" w:hAnsi="Times New Roman"/>
          <w:sz w:val="22"/>
          <w:szCs w:val="22"/>
          <w:color w:val="auto"/>
        </w:rPr>
        <w:t>. Amazon Services will have the right to conduct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Software Security Review of Affirm beginning at any time after the Effective Date through and including the date that is ninety (90) days after the Effective Date. Thereafter, Software Security Reviews will be conducted no more than one time in any calendar year; provided, that a Software Security Review may be conducted, at Amazon Service’s discretion, prior to or reasonably promptly following the release or delivery by Affirm of any new or upgraded software to be deployed in connection with the Program.</w:t>
      </w:r>
    </w:p>
    <w:p>
      <w:pPr>
        <w:spacing w:after="0" w:line="206" w:lineRule="exact"/>
        <w:rPr>
          <w:rFonts w:ascii="Times New Roman" w:cs="Times New Roman" w:eastAsia="Times New Roman" w:hAnsi="Times New Roman"/>
          <w:sz w:val="20"/>
          <w:szCs w:val="20"/>
          <w:b w:val="1"/>
          <w:bCs w:val="1"/>
          <w:color w:val="auto"/>
        </w:rPr>
      </w:pPr>
    </w:p>
    <w:p>
      <w:pPr>
        <w:jc w:val="both"/>
        <w:ind w:left="2460" w:right="179" w:hanging="654"/>
        <w:spacing w:after="0" w:line="260" w:lineRule="auto"/>
        <w:tabs>
          <w:tab w:leader="none" w:pos="2433" w:val="left"/>
        </w:tabs>
        <w:numPr>
          <w:ilvl w:val="0"/>
          <w:numId w:val="1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Security Questionnaires Regarding Additional Amazon Data</w:t>
      </w:r>
      <w:r>
        <w:rPr>
          <w:rFonts w:ascii="Times New Roman" w:cs="Times New Roman" w:eastAsia="Times New Roman" w:hAnsi="Times New Roman"/>
          <w:sz w:val="21"/>
          <w:szCs w:val="21"/>
          <w:color w:val="auto"/>
        </w:rPr>
        <w:t>.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written request by Amazon Services, which request will be no more frequently than once per twelve (12) month period during the Term, Affirm will promptly respond to a reasonable security questionnaire provided by Amazon with regard to Affirm’s information security program applicable to the systems that Affirm uses to process or store Amazon Transaction Data, Amazon Customer Information and Additional Amazon Data;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Affirm will not be required to include in its response to such security questionnaire any information that</w:t>
      </w:r>
    </w:p>
    <w:p>
      <w:pPr>
        <w:spacing w:after="0" w:line="9" w:lineRule="exact"/>
        <w:rPr>
          <w:rFonts w:ascii="Times New Roman" w:cs="Times New Roman" w:eastAsia="Times New Roman" w:hAnsi="Times New Roman"/>
          <w:sz w:val="19"/>
          <w:szCs w:val="19"/>
          <w:b w:val="1"/>
          <w:bCs w:val="1"/>
          <w:color w:val="auto"/>
        </w:rPr>
      </w:pPr>
    </w:p>
    <w:p>
      <w:pPr>
        <w:jc w:val="both"/>
        <w:ind w:left="2460" w:right="179"/>
        <w:spacing w:after="0" w:line="24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2"/>
          <w:szCs w:val="22"/>
          <w:color w:val="auto"/>
        </w:rPr>
        <w:t>(i) Affirm is prohibited from sharing with Amazon under Applicable Law or (ii) is subject to contractual confidentiality obligations owed by Affirm to any third party and/or any legal privilege.</w:t>
      </w:r>
    </w:p>
    <w:p>
      <w:pPr>
        <w:spacing w:after="0" w:line="196" w:lineRule="exact"/>
        <w:rPr>
          <w:sz w:val="20"/>
          <w:szCs w:val="20"/>
          <w:color w:val="auto"/>
        </w:rPr>
      </w:pPr>
    </w:p>
    <w:p>
      <w:pPr>
        <w:jc w:val="both"/>
        <w:ind w:left="1120" w:right="19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9.6 </w:t>
      </w:r>
      <w:r>
        <w:rPr>
          <w:rFonts w:ascii="Times New Roman" w:cs="Times New Roman" w:eastAsia="Times New Roman" w:hAnsi="Times New Roman"/>
          <w:sz w:val="21"/>
          <w:szCs w:val="21"/>
          <w:b w:val="1"/>
          <w:bCs w:val="1"/>
          <w:color w:val="auto"/>
        </w:rPr>
        <w:t>Injunctive Relief</w:t>
      </w:r>
      <w:r>
        <w:rPr>
          <w:rFonts w:ascii="Times New Roman" w:cs="Times New Roman" w:eastAsia="Times New Roman" w:hAnsi="Times New Roman"/>
          <w:sz w:val="21"/>
          <w:szCs w:val="21"/>
          <w:color w:val="auto"/>
        </w:rPr>
        <w:t>. Each Party agrees that any breach of this Article 9 (</w:t>
      </w:r>
      <w:r>
        <w:rPr>
          <w:rFonts w:ascii="Times New Roman" w:cs="Times New Roman" w:eastAsia="Times New Roman" w:hAnsi="Times New Roman"/>
          <w:sz w:val="21"/>
          <w:szCs w:val="21"/>
          <w:i w:val="1"/>
          <w:iCs w:val="1"/>
          <w:color w:val="auto"/>
        </w:rPr>
        <w:t>Data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i w:val="1"/>
          <w:iCs w:val="1"/>
          <w:color w:val="auto"/>
        </w:rPr>
        <w:t>Usage and Security</w:t>
      </w:r>
      <w:r>
        <w:rPr>
          <w:rFonts w:ascii="Times New Roman" w:cs="Times New Roman" w:eastAsia="Times New Roman" w:hAnsi="Times New Roman"/>
          <w:sz w:val="21"/>
          <w:szCs w:val="21"/>
          <w:color w:val="auto"/>
        </w:rPr>
        <w:t>) by a Party may cause immediate and irreparable harm to the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Party, for which money damages may not constitute an adequate remedy. In the event that this Article 9 (</w:t>
      </w:r>
      <w:r>
        <w:rPr>
          <w:rFonts w:ascii="Times New Roman" w:cs="Times New Roman" w:eastAsia="Times New Roman" w:hAnsi="Times New Roman"/>
          <w:sz w:val="21"/>
          <w:szCs w:val="21"/>
          <w:i w:val="1"/>
          <w:iCs w:val="1"/>
          <w:color w:val="auto"/>
        </w:rPr>
        <w:t>Data Usage and Security</w:t>
      </w:r>
      <w:r>
        <w:rPr>
          <w:rFonts w:ascii="Times New Roman" w:cs="Times New Roman" w:eastAsia="Times New Roman" w:hAnsi="Times New Roman"/>
          <w:sz w:val="21"/>
          <w:szCs w:val="21"/>
          <w:color w:val="auto"/>
        </w:rPr>
        <w:t>) is breached, each Party agrees that injunctive relief may be warranted in addition to any other remedies the non-breaching Party may have.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9019"/>
          </w:cols>
          <w:pgMar w:left="1440" w:top="1175" w:right="1440" w:bottom="1440" w:gutter="0" w:footer="0" w:header="0"/>
        </w:sectPr>
      </w:pPr>
    </w:p>
    <w:bookmarkStart w:id="231" w:name="page232"/>
    <w:bookmarkEnd w:id="231"/>
    <w:p>
      <w:pPr>
        <w:ind w:left="960" w:hanging="451"/>
        <w:spacing w:after="0"/>
        <w:tabs>
          <w:tab w:leader="none" w:pos="96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GENERAL CONFIDENTIALITY OBLIGATIONS.</w:t>
      </w:r>
    </w:p>
    <w:p>
      <w:pPr>
        <w:spacing w:after="0" w:line="233"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10.1 </w:t>
      </w:r>
      <w:r>
        <w:rPr>
          <w:rFonts w:ascii="Times New Roman" w:cs="Times New Roman" w:eastAsia="Times New Roman" w:hAnsi="Times New Roman"/>
          <w:sz w:val="21"/>
          <w:szCs w:val="21"/>
          <w:b w:val="1"/>
          <w:bCs w:val="1"/>
          <w:color w:val="auto"/>
        </w:rPr>
        <w:t>Confidentiality Obligation</w:t>
      </w:r>
      <w:r>
        <w:rPr>
          <w:rFonts w:ascii="Times New Roman" w:cs="Times New Roman" w:eastAsia="Times New Roman" w:hAnsi="Times New Roman"/>
          <w:sz w:val="21"/>
          <w:szCs w:val="21"/>
          <w:color w:val="auto"/>
        </w:rPr>
        <w:t>. Each Receiving Party will at all times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maintain, and cause its Affiliates and their respective Personnel to maintain, the confidentiality of all Confidential Information belonging to the Disclosing Party. Except as expressly authorized by this Agreement, no Receiving Party will use, disclose or sell Confidential Information of the Disclosing Party. Each Receiving Party will take all reasonable measures to avoid disclosure, dissemination or unauthorized use of Confidential Information by it or any third party, including, at a minimum, those measures it takes to protect its own confidential information of a similar nature.</w:t>
      </w:r>
    </w:p>
    <w:p>
      <w:pPr>
        <w:spacing w:after="0" w:line="162" w:lineRule="exact"/>
        <w:rPr>
          <w:sz w:val="20"/>
          <w:szCs w:val="20"/>
          <w:color w:val="auto"/>
        </w:rPr>
      </w:pPr>
    </w:p>
    <w:p>
      <w:pPr>
        <w:jc w:val="both"/>
        <w:ind w:left="1120" w:right="19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1"/>
          <w:szCs w:val="21"/>
          <w:b w:val="1"/>
          <w:bCs w:val="1"/>
          <w:color w:val="auto"/>
        </w:rPr>
        <w:t>Disclosure to Personnel</w:t>
      </w:r>
      <w:r>
        <w:rPr>
          <w:rFonts w:ascii="Times New Roman" w:cs="Times New Roman" w:eastAsia="Times New Roman" w:hAnsi="Times New Roman"/>
          <w:sz w:val="21"/>
          <w:szCs w:val="21"/>
          <w:color w:val="auto"/>
        </w:rPr>
        <w:t>. Each Receiving Party will restrict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possession, knowledge and use of Confidential Information of the Disclosing Party to its Personnel that have a need to know that Confidential Information in connection with performing that Party’s obligations under this Agreement. Each Receiving Party will ensure that its Affiliates and their respective Personnel comply with this Agreement and their respective non-disclosure agreements and confidentiality obligations.</w:t>
      </w:r>
    </w:p>
    <w:p>
      <w:pPr>
        <w:spacing w:after="0" w:line="176"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Exceptions to Confidentiality</w:t>
      </w:r>
      <w:r>
        <w:rPr>
          <w:rFonts w:ascii="Times New Roman" w:cs="Times New Roman" w:eastAsia="Times New Roman" w:hAnsi="Times New Roman"/>
          <w:sz w:val="21"/>
          <w:szCs w:val="21"/>
          <w:color w:val="auto"/>
        </w:rPr>
        <w:t>. The obligations set forth in Section</w:t>
      </w:r>
    </w:p>
    <w:p>
      <w:pPr>
        <w:spacing w:after="0" w:line="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10.1 do not apply to a Receiving Party with respect to Confidential Information of the</w:t>
      </w:r>
    </w:p>
    <w:p>
      <w:pPr>
        <w:spacing w:after="0" w:line="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Disclosing Party if and to the extent the Receiving Party establishes that:</w:t>
      </w:r>
    </w:p>
    <w:p>
      <w:pPr>
        <w:spacing w:after="0" w:line="223" w:lineRule="exact"/>
        <w:rPr>
          <w:sz w:val="20"/>
          <w:szCs w:val="20"/>
          <w:color w:val="auto"/>
        </w:rPr>
      </w:pPr>
    </w:p>
    <w:p>
      <w:pPr>
        <w:ind w:left="2460" w:right="199" w:hanging="654"/>
        <w:spacing w:after="0" w:line="284" w:lineRule="auto"/>
        <w:tabs>
          <w:tab w:leader="none" w:pos="2312"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information disclosed to the Receiving Party was already known to the Receiving Party, without any obligation to keep it confidential;</w:t>
      </w:r>
    </w:p>
    <w:p>
      <w:pPr>
        <w:spacing w:after="0" w:line="143" w:lineRule="exact"/>
        <w:rPr>
          <w:rFonts w:ascii="Times New Roman" w:cs="Times New Roman" w:eastAsia="Times New Roman" w:hAnsi="Times New Roman"/>
          <w:sz w:val="20"/>
          <w:szCs w:val="20"/>
          <w:b w:val="1"/>
          <w:bCs w:val="1"/>
          <w:color w:val="auto"/>
        </w:rPr>
      </w:pPr>
    </w:p>
    <w:p>
      <w:pPr>
        <w:ind w:left="2460" w:right="199" w:hanging="654"/>
        <w:spacing w:after="0" w:line="263" w:lineRule="auto"/>
        <w:tabs>
          <w:tab w:leader="none" w:pos="2382"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Receiving Party received the information in good faith from a third party lawfully in possession of the information without any obligation to keep such information confidential;</w:t>
      </w:r>
    </w:p>
    <w:p>
      <w:pPr>
        <w:spacing w:after="0" w:line="153" w:lineRule="exact"/>
        <w:rPr>
          <w:rFonts w:ascii="Times New Roman" w:cs="Times New Roman" w:eastAsia="Times New Roman" w:hAnsi="Times New Roman"/>
          <w:sz w:val="20"/>
          <w:szCs w:val="20"/>
          <w:b w:val="1"/>
          <w:bCs w:val="1"/>
          <w:color w:val="auto"/>
        </w:rPr>
      </w:pPr>
    </w:p>
    <w:p>
      <w:pPr>
        <w:jc w:val="both"/>
        <w:ind w:left="2460" w:right="199" w:hanging="654"/>
        <w:spacing w:after="0" w:line="250" w:lineRule="auto"/>
        <w:tabs>
          <w:tab w:leader="none" w:pos="246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information was publicly known at the time of its receipt by the Receiving Party or has become publicly known other than by a breach of this Agreement;</w:t>
      </w:r>
    </w:p>
    <w:p>
      <w:pPr>
        <w:spacing w:after="0" w:line="194" w:lineRule="exact"/>
        <w:rPr>
          <w:rFonts w:ascii="Times New Roman" w:cs="Times New Roman" w:eastAsia="Times New Roman" w:hAnsi="Times New Roman"/>
          <w:sz w:val="20"/>
          <w:szCs w:val="20"/>
          <w:b w:val="1"/>
          <w:bCs w:val="1"/>
          <w:color w:val="auto"/>
        </w:rPr>
      </w:pPr>
    </w:p>
    <w:p>
      <w:pPr>
        <w:ind w:left="2460" w:right="199" w:hanging="654"/>
        <w:spacing w:after="0" w:line="271" w:lineRule="auto"/>
        <w:tabs>
          <w:tab w:leader="none" w:pos="2474"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information was independently developed by the Receiving Party without use of the Disclosing Party’s Confidential Information; or</w:t>
      </w:r>
    </w:p>
    <w:p>
      <w:pPr>
        <w:spacing w:after="0" w:line="144" w:lineRule="exact"/>
        <w:rPr>
          <w:rFonts w:ascii="Times New Roman" w:cs="Times New Roman" w:eastAsia="Times New Roman" w:hAnsi="Times New Roman"/>
          <w:sz w:val="20"/>
          <w:szCs w:val="20"/>
          <w:b w:val="1"/>
          <w:bCs w:val="1"/>
          <w:color w:val="auto"/>
        </w:rPr>
      </w:pPr>
    </w:p>
    <w:p>
      <w:pPr>
        <w:ind w:left="2460" w:right="199" w:hanging="654"/>
        <w:spacing w:after="0" w:line="271" w:lineRule="auto"/>
        <w:tabs>
          <w:tab w:leader="none" w:pos="2449"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information is required to be disclosed by Applicable Law or by judicial or administrative process;</w:t>
      </w:r>
    </w:p>
    <w:p>
      <w:pPr>
        <w:spacing w:after="0" w:line="171" w:lineRule="exact"/>
        <w:rPr>
          <w:sz w:val="20"/>
          <w:szCs w:val="20"/>
          <w:color w:val="auto"/>
        </w:rPr>
      </w:pPr>
    </w:p>
    <w:p>
      <w:pPr>
        <w:jc w:val="both"/>
        <w:ind w:left="1160" w:right="199"/>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(A) through (E) above, such circumstances are demonstrated in writing if requested by the Disclosing Party and that, in the case of (E) above, the Receiving Party will use commercially reasonable efforts under the circumstances to notify the Disclosing Party of such requirements (unless prohibited from doing so by Applicable Law) so as to provide the Disclosing Party the opportunity to obtain protective orders or other relief as may be available.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9019"/>
          </w:cols>
          <w:pgMar w:left="1440" w:top="1161" w:right="1440" w:bottom="1440" w:gutter="0" w:footer="0" w:header="0"/>
        </w:sectPr>
      </w:pPr>
    </w:p>
    <w:bookmarkStart w:id="232" w:name="page233"/>
    <w:bookmarkEnd w:id="232"/>
    <w:p>
      <w:pPr>
        <w:jc w:val="both"/>
        <w:ind w:left="1120" w:right="19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1"/>
          <w:szCs w:val="21"/>
          <w:b w:val="1"/>
          <w:bCs w:val="1"/>
          <w:color w:val="auto"/>
        </w:rPr>
        <w:t>Notice of Breach</w:t>
      </w:r>
      <w:r>
        <w:rPr>
          <w:rFonts w:ascii="Times New Roman" w:cs="Times New Roman" w:eastAsia="Times New Roman" w:hAnsi="Times New Roman"/>
          <w:sz w:val="21"/>
          <w:szCs w:val="21"/>
          <w:color w:val="auto"/>
        </w:rPr>
        <w:t>. Each Receiving Party will notify the Disclosing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immediately upon that Receiving Party’s discovery of any misappropriation, unauthorized use, disclosure or sale of Confidential Information of the Disclosing Party or any breach of this Article 10 (</w:t>
      </w:r>
      <w:r>
        <w:rPr>
          <w:rFonts w:ascii="Times New Roman" w:cs="Times New Roman" w:eastAsia="Times New Roman" w:hAnsi="Times New Roman"/>
          <w:sz w:val="21"/>
          <w:szCs w:val="21"/>
          <w:i w:val="1"/>
          <w:iCs w:val="1"/>
          <w:color w:val="auto"/>
        </w:rPr>
        <w:t>General Confidentiality Obligations</w:t>
      </w:r>
      <w:r>
        <w:rPr>
          <w:rFonts w:ascii="Times New Roman" w:cs="Times New Roman" w:eastAsia="Times New Roman" w:hAnsi="Times New Roman"/>
          <w:sz w:val="21"/>
          <w:szCs w:val="21"/>
          <w:color w:val="auto"/>
        </w:rPr>
        <w:t>) by the Receiving Party. Each Receiving Party will fully cooperate with the Disclosing Party to help the Disclosing Party regain possession of such Confidential Information and prevent its further misappropriation, unauthorized use, disclosure or sale.</w:t>
      </w:r>
    </w:p>
    <w:p>
      <w:pPr>
        <w:spacing w:after="0" w:line="165" w:lineRule="exact"/>
        <w:rPr>
          <w:sz w:val="20"/>
          <w:szCs w:val="20"/>
          <w:color w:val="auto"/>
        </w:rPr>
      </w:pPr>
    </w:p>
    <w:p>
      <w:pPr>
        <w:jc w:val="both"/>
        <w:ind w:left="1120" w:right="199"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10.5 </w:t>
      </w:r>
      <w:r>
        <w:rPr>
          <w:rFonts w:ascii="Times New Roman" w:cs="Times New Roman" w:eastAsia="Times New Roman" w:hAnsi="Times New Roman"/>
          <w:sz w:val="21"/>
          <w:szCs w:val="21"/>
          <w:b w:val="1"/>
          <w:bCs w:val="1"/>
          <w:color w:val="auto"/>
        </w:rPr>
        <w:t>Return of Confidential Information and Other Data</w:t>
      </w:r>
      <w:r>
        <w:rPr>
          <w:rFonts w:ascii="Times New Roman" w:cs="Times New Roman" w:eastAsia="Times New Roman" w:hAnsi="Times New Roman"/>
          <w:sz w:val="21"/>
          <w:szCs w:val="21"/>
          <w:color w:val="auto"/>
        </w:rPr>
        <w:t>. Except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extent required by Applicable Law to retain such Confidential Information or prohibited by Applicable Law, each Receiving Party will return or destroy all tangible materials embodying Confidential Information of the Disclosing Party (in any form and including all summaries, copies and excerpts of such Confidential Information) within 15 Business Days of the Disclosing Party’s written request. Each Receiving Party will provide written certification of its compliance with this Section 10.5 following the Disclosing Party’s written request, noting in such certification if it has retained any copies of the Disclosing Party’s Confidential Information because it is required to under Applicable Law.</w:t>
      </w:r>
    </w:p>
    <w:p>
      <w:pPr>
        <w:spacing w:after="0" w:line="200" w:lineRule="exact"/>
        <w:rPr>
          <w:sz w:val="20"/>
          <w:szCs w:val="20"/>
          <w:color w:val="auto"/>
        </w:rPr>
      </w:pPr>
    </w:p>
    <w:p>
      <w:pPr>
        <w:spacing w:after="0" w:line="226" w:lineRule="exact"/>
        <w:rPr>
          <w:sz w:val="20"/>
          <w:szCs w:val="20"/>
          <w:color w:val="auto"/>
        </w:rPr>
      </w:pPr>
    </w:p>
    <w:p>
      <w:pPr>
        <w:jc w:val="both"/>
        <w:ind w:left="1160" w:right="199" w:firstLine="1268"/>
        <w:spacing w:after="0" w:line="278" w:lineRule="auto"/>
        <w:rPr>
          <w:sz w:val="20"/>
          <w:szCs w:val="20"/>
          <w:color w:val="auto"/>
        </w:rPr>
      </w:pPr>
      <w:r>
        <w:rPr>
          <w:rFonts w:ascii="Times New Roman" w:cs="Times New Roman" w:eastAsia="Times New Roman" w:hAnsi="Times New Roman"/>
          <w:sz w:val="20"/>
          <w:szCs w:val="20"/>
          <w:b w:val="1"/>
          <w:bCs w:val="1"/>
          <w:color w:val="auto"/>
        </w:rPr>
        <w:t xml:space="preserve">10.6 </w:t>
      </w: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1"/>
          <w:szCs w:val="21"/>
          <w:color w:val="auto"/>
        </w:rPr>
        <w:t>. All Confidential Information will remain the exclusive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property of the Disclosing Party. The Disclosing Party’s disclosure of Confidential Information will not constitute an express or implied grant to the Receiving Party of any rights to or under the Disclosing Party’s Intellectual Property Rights.</w:t>
      </w:r>
    </w:p>
    <w:p>
      <w:pPr>
        <w:spacing w:after="0" w:line="150"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10.7 </w:t>
      </w:r>
      <w:r>
        <w:rPr>
          <w:rFonts w:ascii="Times New Roman" w:cs="Times New Roman" w:eastAsia="Times New Roman" w:hAnsi="Times New Roman"/>
          <w:sz w:val="21"/>
          <w:szCs w:val="21"/>
          <w:b w:val="1"/>
          <w:bCs w:val="1"/>
          <w:color w:val="auto"/>
        </w:rPr>
        <w:t>Injunctive Relief</w:t>
      </w:r>
      <w:r>
        <w:rPr>
          <w:rFonts w:ascii="Times New Roman" w:cs="Times New Roman" w:eastAsia="Times New Roman" w:hAnsi="Times New Roman"/>
          <w:sz w:val="21"/>
          <w:szCs w:val="21"/>
          <w:color w:val="auto"/>
        </w:rPr>
        <w:t>. Each Party agrees that any unauthorized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disclosure or sale of Confidential Information may cause immediate and irreparable harm to the Disclosing Party for which money damages may not constitute an adequate remedy. In the event of unauthorized use, disclosure or sale of Confidential Information of the Disclosing Party by the Receiving Party, each Party agrees that injunctive relief may be sought in addition to any other remedies the Disclosing Party may have under Applicable Law.</w:t>
      </w:r>
    </w:p>
    <w:p>
      <w:pPr>
        <w:spacing w:after="0" w:line="200" w:lineRule="exact"/>
        <w:rPr>
          <w:sz w:val="20"/>
          <w:szCs w:val="20"/>
          <w:color w:val="auto"/>
        </w:rPr>
      </w:pPr>
    </w:p>
    <w:p>
      <w:pPr>
        <w:spacing w:after="0" w:line="239" w:lineRule="exact"/>
        <w:rPr>
          <w:sz w:val="20"/>
          <w:szCs w:val="20"/>
          <w:color w:val="auto"/>
        </w:rPr>
      </w:pPr>
    </w:p>
    <w:p>
      <w:pPr>
        <w:jc w:val="both"/>
        <w:ind w:left="1120" w:right="199"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10.8 </w:t>
      </w:r>
      <w:r>
        <w:rPr>
          <w:rFonts w:ascii="Times New Roman" w:cs="Times New Roman" w:eastAsia="Times New Roman" w:hAnsi="Times New Roman"/>
          <w:sz w:val="21"/>
          <w:szCs w:val="21"/>
          <w:b w:val="1"/>
          <w:bCs w:val="1"/>
          <w:color w:val="auto"/>
        </w:rPr>
        <w:t>Independent Development</w:t>
      </w:r>
      <w:r>
        <w:rPr>
          <w:rFonts w:ascii="Times New Roman" w:cs="Times New Roman" w:eastAsia="Times New Roman" w:hAnsi="Times New Roman"/>
          <w:sz w:val="21"/>
          <w:szCs w:val="21"/>
          <w:color w:val="auto"/>
        </w:rPr>
        <w:t>. The Disclosing Party acknowledges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the Receiving Party may currently or in the future be developing information internally, or receiving information from another party, that is similar to the Disclosing Party’s Confidential Information. Accordingly, nothing in this Agreement will be construed as a representation or agreement that a Receiving Party will not develop or have developed for its products, concepts, systems or techniques that are similar to or compete with the products, concepts, systems or techniques contemplated by or embodied in the Confidential Information of the Disclosing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Receiving Party does not violate any of its obligations under this Agreement in connection with such development. Additionally, any Party is free to use the residuals resulting from access to or work with the other Party’s Confidential Information for any purpose; provided, however, the Receiving Party will not disclose the Confidential Information of the Disclosing Party except as permitted under the terms of this Agreement. The term “residuals” means information in intangible form, retained in the unaided memory of persons employed or retained by the Receiving Party</w:t>
      </w:r>
    </w:p>
    <w:p>
      <w:pPr>
        <w:sectPr>
          <w:pgSz w:w="11900" w:h="16838" w:orient="portrait"/>
          <w:cols w:equalWidth="0" w:num="1">
            <w:col w:w="9019"/>
          </w:cols>
          <w:pgMar w:left="1440" w:top="116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9019"/>
          </w:cols>
          <w:pgMar w:left="1440" w:top="1161" w:right="1440" w:bottom="1440" w:gutter="0" w:footer="0" w:header="0"/>
          <w:type w:val="continuous"/>
        </w:sectPr>
      </w:pPr>
    </w:p>
    <w:bookmarkStart w:id="233" w:name="page234"/>
    <w:bookmarkEnd w:id="233"/>
    <w:p>
      <w:pPr>
        <w:jc w:val="both"/>
        <w:ind w:left="1120" w:right="199"/>
        <w:spacing w:after="0" w:line="263" w:lineRule="auto"/>
        <w:rPr>
          <w:sz w:val="20"/>
          <w:szCs w:val="20"/>
          <w:color w:val="auto"/>
        </w:rPr>
      </w:pPr>
      <w:r>
        <w:rPr>
          <w:rFonts w:ascii="Times New Roman" w:cs="Times New Roman" w:eastAsia="Times New Roman" w:hAnsi="Times New Roman"/>
          <w:sz w:val="21"/>
          <w:szCs w:val="21"/>
          <w:color w:val="auto"/>
        </w:rPr>
        <w:t xml:space="preserve">who have had access to or worked with the Confidential Information of the Disclosing Party, including ideas, concepts, know-how or techniques contained in that Confidential Information; provided, however, that no such residuals may include any trade secrets of the Disclosing Party. No Receiving Party will have any obligation to limit or restrict the assignment of such persons or to pay royalties for any work resulting from the use of residuals;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this Section 10.8 will not be deemed to grant to a Receiving Party a license under any copyright or patent of the Disclosing Party.</w:t>
      </w:r>
    </w:p>
    <w:p>
      <w:pPr>
        <w:spacing w:after="0" w:line="169" w:lineRule="exact"/>
        <w:rPr>
          <w:sz w:val="20"/>
          <w:szCs w:val="20"/>
          <w:color w:val="auto"/>
        </w:rPr>
      </w:pPr>
    </w:p>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10.9 </w:t>
      </w:r>
      <w:r>
        <w:rPr>
          <w:rFonts w:ascii="Times New Roman" w:cs="Times New Roman" w:eastAsia="Times New Roman" w:hAnsi="Times New Roman"/>
          <w:sz w:val="21"/>
          <w:szCs w:val="21"/>
          <w:b w:val="1"/>
          <w:bCs w:val="1"/>
          <w:color w:val="auto"/>
        </w:rPr>
        <w:t>External Communications</w:t>
      </w:r>
      <w:r>
        <w:rPr>
          <w:rFonts w:ascii="Times New Roman" w:cs="Times New Roman" w:eastAsia="Times New Roman" w:hAnsi="Times New Roman"/>
          <w:sz w:val="21"/>
          <w:szCs w:val="21"/>
          <w:color w:val="auto"/>
        </w:rPr>
        <w:t>. The Parties will coordinate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public communications in respect of the Program through the Steering Committee or the Program Managers. Neither the Amazon Parties, on the one hand, nor Affirm, on the other hand, will issue any press release or make any other public announcement related to this Agreement or the Program without the prior written approval of the other Party or Parties, except as may be necessary to comply with Applicable Law. If any such disclosure is required by Applicable Law, the Party making the disclosure will, to the extent not prohibited by Applicable Law, consult with the other Party prior to making the disclosure, and the Parties will use commercially reasonable efforts to agree upon a text for such disclosure.</w:t>
      </w:r>
    </w:p>
    <w:p>
      <w:pPr>
        <w:spacing w:after="0" w:line="200" w:lineRule="exact"/>
        <w:rPr>
          <w:sz w:val="20"/>
          <w:szCs w:val="20"/>
          <w:color w:val="auto"/>
        </w:rPr>
      </w:pPr>
    </w:p>
    <w:p>
      <w:pPr>
        <w:spacing w:after="0" w:line="242" w:lineRule="exact"/>
        <w:rPr>
          <w:sz w:val="20"/>
          <w:szCs w:val="20"/>
          <w:color w:val="auto"/>
        </w:rPr>
      </w:pPr>
    </w:p>
    <w:p>
      <w:pPr>
        <w:ind w:left="940" w:hanging="431"/>
        <w:spacing w:after="0"/>
        <w:tabs>
          <w:tab w:leader="none" w:pos="94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EPRESENTATIONS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7"/>
          <w:szCs w:val="17"/>
          <w:b w:val="1"/>
          <w:bCs w:val="1"/>
          <w:color w:val="auto"/>
        </w:rPr>
        <w:t>ARRANTIES</w:t>
      </w:r>
      <w:r>
        <w:rPr>
          <w:rFonts w:ascii="Times New Roman" w:cs="Times New Roman" w:eastAsia="Times New Roman" w:hAnsi="Times New Roman"/>
          <w:sz w:val="22"/>
          <w:szCs w:val="22"/>
          <w:b w:val="1"/>
          <w:bCs w:val="1"/>
          <w:color w:val="auto"/>
        </w:rPr>
        <w:t>; C</w:t>
      </w:r>
      <w:r>
        <w:rPr>
          <w:rFonts w:ascii="Times New Roman" w:cs="Times New Roman" w:eastAsia="Times New Roman" w:hAnsi="Times New Roman"/>
          <w:sz w:val="17"/>
          <w:szCs w:val="17"/>
          <w:b w:val="1"/>
          <w:bCs w:val="1"/>
          <w:color w:val="auto"/>
        </w:rPr>
        <w:t>OVENANTS</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ind w:left="1780"/>
        <w:spacing w:after="0"/>
        <w:tabs>
          <w:tab w:leader="none" w:pos="228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21"/>
          <w:szCs w:val="21"/>
          <w:b w:val="1"/>
          <w:bCs w:val="1"/>
          <w:color w:val="auto"/>
        </w:rPr>
        <w:t>By Affirm</w:t>
      </w:r>
      <w:r>
        <w:rPr>
          <w:rFonts w:ascii="Times New Roman" w:cs="Times New Roman" w:eastAsia="Times New Roman" w:hAnsi="Times New Roman"/>
          <w:sz w:val="21"/>
          <w:szCs w:val="21"/>
          <w:color w:val="auto"/>
        </w:rPr>
        <w:t>.</w:t>
      </w:r>
    </w:p>
    <w:p>
      <w:pPr>
        <w:spacing w:after="0" w:line="235" w:lineRule="exact"/>
        <w:rPr>
          <w:sz w:val="20"/>
          <w:szCs w:val="20"/>
          <w:color w:val="auto"/>
        </w:rPr>
      </w:pPr>
    </w:p>
    <w:p>
      <w:pPr>
        <w:ind w:left="2460" w:right="599" w:hanging="654"/>
        <w:spacing w:after="0" w:line="258" w:lineRule="auto"/>
        <w:tabs>
          <w:tab w:leader="none" w:pos="2285"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represents and warrants to the Amazon Parties, on and as of the Effective Date, that:</w:t>
      </w:r>
    </w:p>
    <w:p>
      <w:pPr>
        <w:spacing w:after="0" w:line="185" w:lineRule="exact"/>
        <w:rPr>
          <w:rFonts w:ascii="Times New Roman" w:cs="Times New Roman" w:eastAsia="Times New Roman" w:hAnsi="Times New Roman"/>
          <w:sz w:val="20"/>
          <w:szCs w:val="20"/>
          <w:b w:val="1"/>
          <w:bCs w:val="1"/>
          <w:color w:val="auto"/>
        </w:rPr>
      </w:pPr>
    </w:p>
    <w:p>
      <w:pPr>
        <w:jc w:val="both"/>
        <w:ind w:left="3100" w:right="199" w:hanging="646"/>
        <w:spacing w:after="0" w:line="250" w:lineRule="auto"/>
        <w:tabs>
          <w:tab w:leader="none" w:pos="3083" w:val="left"/>
        </w:tabs>
        <w:numPr>
          <w:ilvl w:val="1"/>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is a financial services organization duly organized and existing under the laws of the Territory. Affirm is duly licensed or qualified to do business and is in good standing in all jurisdictions in which the nature of the activities conducted or proposed to be conducted by it or the character of the assets owned or leased by it makes such licensing or qualification necessary to perform its obligations under this Agreement.</w:t>
      </w:r>
    </w:p>
    <w:p>
      <w:pPr>
        <w:spacing w:after="0" w:line="193" w:lineRule="exact"/>
        <w:rPr>
          <w:rFonts w:ascii="Times New Roman" w:cs="Times New Roman" w:eastAsia="Times New Roman" w:hAnsi="Times New Roman"/>
          <w:sz w:val="20"/>
          <w:szCs w:val="20"/>
          <w:b w:val="1"/>
          <w:bCs w:val="1"/>
          <w:color w:val="auto"/>
        </w:rPr>
      </w:pPr>
    </w:p>
    <w:p>
      <w:pPr>
        <w:ind w:left="3100" w:right="199" w:hanging="646"/>
        <w:spacing w:after="0" w:line="262" w:lineRule="auto"/>
        <w:tabs>
          <w:tab w:leader="none" w:pos="2948" w:val="left"/>
        </w:tabs>
        <w:numPr>
          <w:ilvl w:val="1"/>
          <w:numId w:val="1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Affirm has full power and authority to enter into and perform this Agreement. This Agreement has been approved by all necessary corporate (or similar) actions of Affirm. This Agreement constitutes a legally valid and binding obligation of Affirm, enforceable in accordance with its terms, except as enforceability may be limited by bankruptcy, insolvency, receivership or other similar laws affecting the enforcement of creditors’ rights or by equitable principles relating to enforceability.</w:t>
      </w:r>
    </w:p>
    <w:p>
      <w:pPr>
        <w:spacing w:after="0" w:line="186" w:lineRule="exact"/>
        <w:rPr>
          <w:rFonts w:ascii="Times New Roman" w:cs="Times New Roman" w:eastAsia="Times New Roman" w:hAnsi="Times New Roman"/>
          <w:sz w:val="19"/>
          <w:szCs w:val="19"/>
          <w:b w:val="1"/>
          <w:bCs w:val="1"/>
          <w:color w:val="auto"/>
        </w:rPr>
      </w:pPr>
    </w:p>
    <w:p>
      <w:pPr>
        <w:ind w:left="3100" w:right="199" w:hanging="646"/>
        <w:spacing w:after="0" w:line="271" w:lineRule="auto"/>
        <w:tabs>
          <w:tab w:leader="none" w:pos="3002" w:val="left"/>
        </w:tabs>
        <w:numPr>
          <w:ilvl w:val="1"/>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There are no actions, suits or proceedings pending or threatened against Affirm or any Affiliate of Affirm that</w:t>
      </w:r>
    </w:p>
    <w:p>
      <w:pPr>
        <w:sectPr>
          <w:pgSz w:w="11900" w:h="16838" w:orient="portrait"/>
          <w:cols w:equalWidth="0" w:num="1">
            <w:col w:w="9019"/>
          </w:cols>
          <w:pgMar w:left="1440" w:top="1179"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9019"/>
          </w:cols>
          <w:pgMar w:left="1440" w:top="1179" w:right="1440" w:bottom="1440" w:gutter="0" w:footer="0" w:header="0"/>
          <w:type w:val="continuous"/>
        </w:sectPr>
      </w:pPr>
    </w:p>
    <w:bookmarkStart w:id="234" w:name="page235"/>
    <w:bookmarkEnd w:id="234"/>
    <w:p>
      <w:pPr>
        <w:ind w:left="3100" w:right="199"/>
        <w:spacing w:after="0" w:line="271" w:lineRule="auto"/>
        <w:rPr>
          <w:sz w:val="20"/>
          <w:szCs w:val="20"/>
          <w:color w:val="auto"/>
        </w:rPr>
      </w:pPr>
      <w:r>
        <w:rPr>
          <w:rFonts w:ascii="Times New Roman" w:cs="Times New Roman" w:eastAsia="Times New Roman" w:hAnsi="Times New Roman"/>
          <w:sz w:val="22"/>
          <w:szCs w:val="22"/>
          <w:color w:val="auto"/>
        </w:rPr>
        <w:t>would materially and adversely affect the ability of Affirm to perform Affirm’s obligations under this Agreement.</w:t>
      </w:r>
    </w:p>
    <w:p>
      <w:pPr>
        <w:spacing w:after="0" w:line="158" w:lineRule="exact"/>
        <w:rPr>
          <w:sz w:val="20"/>
          <w:szCs w:val="20"/>
          <w:color w:val="auto"/>
        </w:rPr>
      </w:pPr>
    </w:p>
    <w:p>
      <w:pPr>
        <w:ind w:left="3100" w:right="199" w:hanging="646"/>
        <w:spacing w:after="0" w:line="251" w:lineRule="auto"/>
        <w:tabs>
          <w:tab w:leader="none" w:pos="2948" w:val="left"/>
        </w:tabs>
        <w:numPr>
          <w:ilvl w:val="1"/>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execution and performance of this Agreement by Affirm does not violate Affirm’s charter or bylaws or equivalent governing instruments, or any material contract or other instrument to which Affirm is a party or by which Affirm is bound. Affirm’s performance of its obligations under this Agreement complies with Applicable Law.</w:t>
      </w:r>
    </w:p>
    <w:p>
      <w:pPr>
        <w:spacing w:after="0" w:line="194" w:lineRule="exact"/>
        <w:rPr>
          <w:rFonts w:ascii="Times New Roman" w:cs="Times New Roman" w:eastAsia="Times New Roman" w:hAnsi="Times New Roman"/>
          <w:sz w:val="20"/>
          <w:szCs w:val="20"/>
          <w:b w:val="1"/>
          <w:bCs w:val="1"/>
          <w:color w:val="auto"/>
        </w:rPr>
      </w:pPr>
    </w:p>
    <w:p>
      <w:pPr>
        <w:jc w:val="both"/>
        <w:ind w:left="3100" w:right="199" w:hanging="646"/>
        <w:spacing w:after="0" w:line="257" w:lineRule="auto"/>
        <w:tabs>
          <w:tab w:leader="none" w:pos="3056" w:val="left"/>
        </w:tabs>
        <w:numPr>
          <w:ilvl w:val="1"/>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person signing this Agreement on Affirm’s behalf is duly authorized to do so by Affirm and this Agreement has been duly executed and delivered by Affirm.</w:t>
      </w:r>
    </w:p>
    <w:p>
      <w:pPr>
        <w:spacing w:after="0" w:line="186" w:lineRule="exact"/>
        <w:rPr>
          <w:rFonts w:ascii="Times New Roman" w:cs="Times New Roman" w:eastAsia="Times New Roman" w:hAnsi="Times New Roman"/>
          <w:sz w:val="20"/>
          <w:szCs w:val="20"/>
          <w:b w:val="1"/>
          <w:bCs w:val="1"/>
          <w:color w:val="auto"/>
        </w:rPr>
      </w:pPr>
    </w:p>
    <w:p>
      <w:pPr>
        <w:ind w:left="2260" w:hanging="455"/>
        <w:spacing w:after="0"/>
        <w:tabs>
          <w:tab w:leader="none" w:pos="226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covenants to the Amazon Parties, during the Term, that:</w:t>
      </w:r>
    </w:p>
    <w:p>
      <w:pPr>
        <w:spacing w:after="0" w:line="219" w:lineRule="exact"/>
        <w:rPr>
          <w:rFonts w:ascii="Times New Roman" w:cs="Times New Roman" w:eastAsia="Times New Roman" w:hAnsi="Times New Roman"/>
          <w:sz w:val="20"/>
          <w:szCs w:val="20"/>
          <w:b w:val="1"/>
          <w:bCs w:val="1"/>
          <w:color w:val="auto"/>
        </w:rPr>
      </w:pPr>
    </w:p>
    <w:p>
      <w:pPr>
        <w:ind w:left="3100" w:right="199" w:hanging="646"/>
        <w:spacing w:after="0" w:line="256" w:lineRule="auto"/>
        <w:tabs>
          <w:tab w:leader="none" w:pos="2989" w:val="left"/>
        </w:tabs>
        <w:numPr>
          <w:ilvl w:val="1"/>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(or one or more of its Affiliates) owns all right, title and interest in the Affirm Trademarks and has all necessary authority to permit use of the Affirm Trademarks as contemplated by this Agreement.</w:t>
      </w:r>
    </w:p>
    <w:p>
      <w:pPr>
        <w:spacing w:after="0" w:line="203" w:lineRule="exact"/>
        <w:rPr>
          <w:rFonts w:ascii="Times New Roman" w:cs="Times New Roman" w:eastAsia="Times New Roman" w:hAnsi="Times New Roman"/>
          <w:sz w:val="20"/>
          <w:szCs w:val="20"/>
          <w:b w:val="1"/>
          <w:bCs w:val="1"/>
          <w:color w:val="auto"/>
        </w:rPr>
      </w:pPr>
    </w:p>
    <w:p>
      <w:pPr>
        <w:ind w:left="3100" w:right="199" w:hanging="646"/>
        <w:spacing w:after="0" w:line="262" w:lineRule="auto"/>
        <w:tabs>
          <w:tab w:leader="none" w:pos="2921" w:val="left"/>
        </w:tabs>
        <w:numPr>
          <w:ilvl w:val="1"/>
          <w:numId w:val="1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 xml:space="preserve">Affirm has and will maintain all authorizations, licenses, approvals and consents from, and registrations and filings necessary for Affirm to exercise its rights and perform its obligations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following the Effective Date, a Governmental Authority requires Affirm to obtain an additional lending, brokering, or servicing license, Affirm will not be deemed to have violated this covenant so long as Affirm obtains such additional license within a commercially reasonable time, it being understood and agreed that any failure by Affirm to obtain such license solely as a result of the Governmental Authority’s failure to respond to Affirm in a timely manner will not be deemed a breach of Affirm’s obligation hereunder.</w:t>
      </w:r>
    </w:p>
    <w:p>
      <w:pPr>
        <w:spacing w:after="0" w:line="171" w:lineRule="exact"/>
        <w:rPr>
          <w:rFonts w:ascii="Times New Roman" w:cs="Times New Roman" w:eastAsia="Times New Roman" w:hAnsi="Times New Roman"/>
          <w:sz w:val="19"/>
          <w:szCs w:val="19"/>
          <w:b w:val="1"/>
          <w:bCs w:val="1"/>
          <w:color w:val="auto"/>
        </w:rPr>
      </w:pPr>
    </w:p>
    <w:p>
      <w:pPr>
        <w:ind w:left="3100" w:right="199" w:hanging="646"/>
        <w:spacing w:after="0" w:line="253" w:lineRule="auto"/>
        <w:tabs>
          <w:tab w:leader="none" w:pos="2881" w:val="left"/>
        </w:tabs>
        <w:numPr>
          <w:ilvl w:val="1"/>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All Personnel of Affirm and its Affiliates that will be given access to Confidential Information of the Amazon Parties are subject to valid and binding confidentiality obligations or agreements broad enough to protect the Confidential Information of the Amazon Parties in accordance with the terms of this Agreement.</w:t>
      </w:r>
    </w:p>
    <w:p>
      <w:pPr>
        <w:spacing w:after="0" w:line="192" w:lineRule="exact"/>
        <w:rPr>
          <w:rFonts w:ascii="Times New Roman" w:cs="Times New Roman" w:eastAsia="Times New Roman" w:hAnsi="Times New Roman"/>
          <w:sz w:val="20"/>
          <w:szCs w:val="20"/>
          <w:b w:val="1"/>
          <w:bCs w:val="1"/>
          <w:color w:val="auto"/>
        </w:rPr>
      </w:pPr>
    </w:p>
    <w:p>
      <w:pPr>
        <w:ind w:left="3100" w:right="199" w:hanging="646"/>
        <w:spacing w:after="0" w:line="250" w:lineRule="auto"/>
        <w:tabs>
          <w:tab w:leader="none" w:pos="2908" w:val="left"/>
        </w:tabs>
        <w:numPr>
          <w:ilvl w:val="1"/>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is not prohibited from disclosing to the Amazon Parties any information that this Agreement requires to be disclosed to the Amazon Parties, or else Affirm has obtained any required consents in accordance with Applicable Law or taken other measures allowed by Applicable Law to permit disclosure of such information to the Amazon Parties. The data reporting and sharing</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9019"/>
          </w:cols>
          <w:pgMar w:left="1440" w:top="1179" w:right="1440" w:bottom="1440" w:gutter="0" w:footer="0" w:header="0"/>
          <w:type w:val="continuous"/>
        </w:sectPr>
      </w:pPr>
    </w:p>
    <w:bookmarkStart w:id="235" w:name="page236"/>
    <w:bookmarkEnd w:id="235"/>
    <w:p>
      <w:pPr>
        <w:ind w:left="3100" w:right="199"/>
        <w:spacing w:after="0" w:line="284" w:lineRule="auto"/>
        <w:rPr>
          <w:sz w:val="20"/>
          <w:szCs w:val="20"/>
          <w:color w:val="auto"/>
        </w:rPr>
      </w:pPr>
      <w:r>
        <w:rPr>
          <w:rFonts w:ascii="Times New Roman" w:cs="Times New Roman" w:eastAsia="Times New Roman" w:hAnsi="Times New Roman"/>
          <w:sz w:val="22"/>
          <w:szCs w:val="22"/>
          <w:color w:val="auto"/>
        </w:rPr>
        <w:t>requirements under this Agreement are permissible under Affirm’s privacy policy and Applicable Law.</w:t>
      </w:r>
    </w:p>
    <w:p>
      <w:pPr>
        <w:spacing w:after="0" w:line="144" w:lineRule="exact"/>
        <w:rPr>
          <w:sz w:val="20"/>
          <w:szCs w:val="20"/>
          <w:color w:val="auto"/>
        </w:rPr>
      </w:pPr>
    </w:p>
    <w:p>
      <w:pPr>
        <w:ind w:left="3100" w:right="199" w:hanging="646"/>
        <w:spacing w:after="0" w:line="284" w:lineRule="auto"/>
        <w:tabs>
          <w:tab w:leader="none" w:pos="2894"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has adequate financial capability to operate the Program and Affirm is not Insolvent.</w:t>
      </w:r>
    </w:p>
    <w:p>
      <w:pPr>
        <w:spacing w:after="0" w:line="143" w:lineRule="exact"/>
        <w:rPr>
          <w:rFonts w:ascii="Times New Roman" w:cs="Times New Roman" w:eastAsia="Times New Roman" w:hAnsi="Times New Roman"/>
          <w:sz w:val="20"/>
          <w:szCs w:val="20"/>
          <w:b w:val="1"/>
          <w:bCs w:val="1"/>
          <w:color w:val="auto"/>
        </w:rPr>
      </w:pPr>
    </w:p>
    <w:p>
      <w:pPr>
        <w:ind w:left="3100" w:right="179" w:hanging="646"/>
        <w:spacing w:after="0" w:line="248" w:lineRule="auto"/>
        <w:tabs>
          <w:tab w:leader="none" w:pos="2894"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and Bank (or any other financial institution directly involved in the performance of Affirm’s obligations under this Agreement) are not subject to sanctions or otherwise designated on any official list of prohibited or restricted parties or owned or controlled by such a party, including but not limited to the lists maintained by the United Nations Security Council, the US Government (e.g., the US Department of Treasury’s Specially Designated Nationals list and Foreign Sanctions Evaders list and the US Department of Commerce’s Entity List), the European Union or its member states, or other applicable Governmental Authority.</w:t>
      </w:r>
    </w:p>
    <w:p>
      <w:pPr>
        <w:spacing w:after="0" w:line="215" w:lineRule="exact"/>
        <w:rPr>
          <w:rFonts w:ascii="Times New Roman" w:cs="Times New Roman" w:eastAsia="Times New Roman" w:hAnsi="Times New Roman"/>
          <w:sz w:val="20"/>
          <w:szCs w:val="20"/>
          <w:b w:val="1"/>
          <w:bCs w:val="1"/>
          <w:color w:val="auto"/>
        </w:rPr>
      </w:pPr>
    </w:p>
    <w:p>
      <w:pPr>
        <w:ind w:left="3100" w:right="179" w:hanging="646"/>
        <w:spacing w:after="0" w:line="250" w:lineRule="auto"/>
        <w:tabs>
          <w:tab w:leader="none" w:pos="2894"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 acknowledges that Amazon’s Code of Business Conduct and Ethics posted at http://phx.corporate-ir.net/phoenix.zhtml? c=97664&amp;p=irol-govConduct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prohibits the paying of bribes to anyone for any reason, whether in dealings with governments or the private sector. Affirm will not violate or knowingly permit anyone to violate the Code’s prohibition on bribery or any Relevant Requirements in performing under this Agreement.</w:t>
      </w:r>
    </w:p>
    <w:p>
      <w:pPr>
        <w:spacing w:after="0" w:line="186" w:lineRule="exact"/>
        <w:rPr>
          <w:rFonts w:ascii="Times New Roman" w:cs="Times New Roman" w:eastAsia="Times New Roman" w:hAnsi="Times New Roman"/>
          <w:sz w:val="20"/>
          <w:szCs w:val="20"/>
          <w:b w:val="1"/>
          <w:bCs w:val="1"/>
          <w:color w:val="auto"/>
        </w:rPr>
      </w:pPr>
    </w:p>
    <w:p>
      <w:pPr>
        <w:jc w:val="both"/>
        <w:ind w:left="3100" w:right="199" w:hanging="646"/>
        <w:spacing w:after="0" w:line="263" w:lineRule="auto"/>
        <w:tabs>
          <w:tab w:leader="none" w:pos="3029" w:val="left"/>
        </w:tabs>
        <w:numPr>
          <w:ilvl w:val="0"/>
          <w:numId w:val="1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To the extent Affirm relies on any licensed financial institution (including Bank) to perform its obligations with respect to the origination and issuance of Program Credits as contemplated under this Agreement, Affirm will ensure that the allocation of roles and responsibilities as between it and such licensed financial institution in connection with the performance of such obligations are in compliance with Applicable Law, including by ensuring that such licensed financial institution maintains adequate control over the credit underwriting process if applicable.</w:t>
      </w:r>
    </w:p>
    <w:p>
      <w:pPr>
        <w:spacing w:after="0" w:line="169" w:lineRule="exact"/>
        <w:rPr>
          <w:rFonts w:ascii="Times New Roman" w:cs="Times New Roman" w:eastAsia="Times New Roman" w:hAnsi="Times New Roman"/>
          <w:sz w:val="19"/>
          <w:szCs w:val="19"/>
          <w:b w:val="1"/>
          <w:bCs w:val="1"/>
          <w:color w:val="auto"/>
        </w:rPr>
      </w:pPr>
    </w:p>
    <w:p>
      <w:pPr>
        <w:ind w:left="3100" w:right="199" w:hanging="646"/>
        <w:spacing w:after="0" w:line="284" w:lineRule="auto"/>
        <w:tabs>
          <w:tab w:leader="none" w:pos="3016"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Affirm’s and Bank’s performance of their respective obligations under this Agreement complies with Applicable Law.</w:t>
      </w:r>
    </w:p>
    <w:p>
      <w:pPr>
        <w:spacing w:after="0" w:line="140" w:lineRule="exact"/>
        <w:rPr>
          <w:sz w:val="20"/>
          <w:szCs w:val="20"/>
          <w:color w:val="auto"/>
        </w:rPr>
      </w:pPr>
    </w:p>
    <w:p>
      <w:pPr>
        <w:ind w:left="1780"/>
        <w:spacing w:after="0"/>
        <w:tabs>
          <w:tab w:leader="none" w:pos="228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By the Amazon Parties</w:t>
      </w:r>
      <w:r>
        <w:rPr>
          <w:rFonts w:ascii="Times New Roman" w:cs="Times New Roman" w:eastAsia="Times New Roman" w:hAnsi="Times New Roman"/>
          <w:sz w:val="21"/>
          <w:szCs w:val="21"/>
          <w:color w:val="auto"/>
        </w:rPr>
        <w:t>.</w:t>
      </w:r>
    </w:p>
    <w:p>
      <w:pPr>
        <w:spacing w:after="0" w:line="235" w:lineRule="exact"/>
        <w:rPr>
          <w:sz w:val="20"/>
          <w:szCs w:val="20"/>
          <w:color w:val="auto"/>
        </w:rPr>
      </w:pPr>
    </w:p>
    <w:p>
      <w:pPr>
        <w:ind w:left="2460" w:right="779" w:hanging="654"/>
        <w:spacing w:after="0" w:line="284" w:lineRule="auto"/>
        <w:tabs>
          <w:tab w:leader="none" w:pos="2285" w:val="left"/>
        </w:tabs>
        <w:numPr>
          <w:ilvl w:val="0"/>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Amazon Services represents and warrants to Affirm, on and as of the Effective Date, that:</w:t>
      </w:r>
    </w:p>
    <w:p>
      <w:pPr>
        <w:spacing w:after="0" w:line="143" w:lineRule="exact"/>
        <w:rPr>
          <w:rFonts w:ascii="Times New Roman" w:cs="Times New Roman" w:eastAsia="Times New Roman" w:hAnsi="Times New Roman"/>
          <w:sz w:val="20"/>
          <w:szCs w:val="20"/>
          <w:b w:val="1"/>
          <w:bCs w:val="1"/>
          <w:color w:val="auto"/>
        </w:rPr>
      </w:pPr>
    </w:p>
    <w:p>
      <w:pPr>
        <w:ind w:left="3100" w:right="199" w:hanging="646"/>
        <w:spacing w:after="0" w:line="284" w:lineRule="auto"/>
        <w:tabs>
          <w:tab w:leader="none" w:pos="2921" w:val="left"/>
        </w:tabs>
        <w:numPr>
          <w:ilvl w:val="1"/>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Amazon Services is a limited liability company duly organized and existing under the laws of the State of</w:t>
      </w:r>
    </w:p>
    <w:p>
      <w:pPr>
        <w:sectPr>
          <w:pgSz w:w="11900" w:h="16838" w:orient="portrait"/>
          <w:cols w:equalWidth="0" w:num="1">
            <w:col w:w="9019"/>
          </w:cols>
          <w:pgMar w:left="1440" w:top="1165"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9019"/>
          </w:cols>
          <w:pgMar w:left="1440" w:top="1165" w:right="1440" w:bottom="1440" w:gutter="0" w:footer="0" w:header="0"/>
          <w:type w:val="continuous"/>
        </w:sectPr>
      </w:pPr>
    </w:p>
    <w:bookmarkStart w:id="236" w:name="page237"/>
    <w:bookmarkEnd w:id="236"/>
    <w:p>
      <w:pPr>
        <w:jc w:val="both"/>
        <w:ind w:left="3100" w:right="199"/>
        <w:spacing w:after="0" w:line="251" w:lineRule="auto"/>
        <w:rPr>
          <w:sz w:val="20"/>
          <w:szCs w:val="20"/>
          <w:color w:val="auto"/>
        </w:rPr>
      </w:pPr>
      <w:r>
        <w:rPr>
          <w:rFonts w:ascii="Times New Roman" w:cs="Times New Roman" w:eastAsia="Times New Roman" w:hAnsi="Times New Roman"/>
          <w:sz w:val="22"/>
          <w:szCs w:val="22"/>
          <w:color w:val="auto"/>
        </w:rPr>
        <w:t>Delaware. Amazon Services is duly licensed or qualified to do business and is in good standing in all jurisdictions in which the nature of the activities conducted or proposed to be conducted by it or the character of the assets owned or leased by it makes such licensing or qualification necessary to perform its obligations under this Agreement.</w:t>
      </w:r>
    </w:p>
    <w:p>
      <w:pPr>
        <w:spacing w:after="0" w:line="181" w:lineRule="exact"/>
        <w:rPr>
          <w:sz w:val="20"/>
          <w:szCs w:val="20"/>
          <w:color w:val="auto"/>
        </w:rPr>
      </w:pPr>
    </w:p>
    <w:p>
      <w:pPr>
        <w:ind w:left="3100" w:right="199" w:hanging="646"/>
        <w:spacing w:after="0" w:line="249" w:lineRule="auto"/>
        <w:tabs>
          <w:tab w:leader="none" w:pos="3016"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Amazon Services has full power and authority to enter into and perform this Agreement. This Agreement has been approved by all necessary corporate (or similar) actions of Amazon Services. This Agreement constitutes a legally valid and binding obligation of Amazon Services, enforceable in accordance with its terms, except as enforceability may be limited by bankruptcy, insolvency, receivership or other similar laws affecting the enforcement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00" w:right="1119"/>
        <w:spacing w:after="0" w:line="296" w:lineRule="auto"/>
        <w:rPr>
          <w:sz w:val="20"/>
          <w:szCs w:val="20"/>
          <w:color w:val="auto"/>
        </w:rPr>
      </w:pPr>
      <w:r>
        <w:rPr>
          <w:rFonts w:ascii="Times New Roman" w:cs="Times New Roman" w:eastAsia="Times New Roman" w:hAnsi="Times New Roman"/>
          <w:sz w:val="22"/>
          <w:szCs w:val="22"/>
          <w:color w:val="auto"/>
        </w:rPr>
        <w:t>of creditors’ rights or by equitable principles relating to enforceability.</w:t>
      </w:r>
    </w:p>
    <w:p>
      <w:pPr>
        <w:spacing w:after="0" w:line="159" w:lineRule="exact"/>
        <w:rPr>
          <w:sz w:val="20"/>
          <w:szCs w:val="20"/>
          <w:color w:val="auto"/>
        </w:rPr>
      </w:pPr>
    </w:p>
    <w:p>
      <w:pPr>
        <w:ind w:left="3100" w:right="199" w:hanging="646"/>
        <w:spacing w:after="0" w:line="252" w:lineRule="auto"/>
        <w:tabs>
          <w:tab w:leader="none" w:pos="3002" w:val="left"/>
        </w:tabs>
        <w:numPr>
          <w:ilvl w:val="1"/>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There are no actions, suits or proceedings pending or threatened against Amazon Services or any of its Affiliates that would materially and adversely affect the ability of Amazon Services to perform its obligations under this Agreement.</w:t>
      </w:r>
    </w:p>
    <w:p>
      <w:pPr>
        <w:spacing w:after="0" w:line="192" w:lineRule="exact"/>
        <w:rPr>
          <w:rFonts w:ascii="Times New Roman" w:cs="Times New Roman" w:eastAsia="Times New Roman" w:hAnsi="Times New Roman"/>
          <w:sz w:val="20"/>
          <w:szCs w:val="20"/>
          <w:b w:val="1"/>
          <w:bCs w:val="1"/>
          <w:color w:val="auto"/>
        </w:rPr>
      </w:pPr>
    </w:p>
    <w:p>
      <w:pPr>
        <w:jc w:val="both"/>
        <w:ind w:left="3100" w:right="199" w:hanging="646"/>
        <w:spacing w:after="0" w:line="251" w:lineRule="auto"/>
        <w:tabs>
          <w:tab w:leader="none" w:pos="3056" w:val="left"/>
        </w:tabs>
        <w:numPr>
          <w:ilvl w:val="1"/>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execution and performance of this Agreement by Amazon Services does not violate its charter or bylaws or equivalent governing instruments, or any material contract or other instrument to which such Party is a party or by which it is bound. Amazon Services’ performance of its obligations under this Agreement complies with Applicable Law.</w:t>
      </w:r>
    </w:p>
    <w:p>
      <w:pPr>
        <w:spacing w:after="0" w:line="181" w:lineRule="exact"/>
        <w:rPr>
          <w:rFonts w:ascii="Times New Roman" w:cs="Times New Roman" w:eastAsia="Times New Roman" w:hAnsi="Times New Roman"/>
          <w:sz w:val="20"/>
          <w:szCs w:val="20"/>
          <w:b w:val="1"/>
          <w:bCs w:val="1"/>
          <w:color w:val="auto"/>
        </w:rPr>
      </w:pPr>
    </w:p>
    <w:p>
      <w:pPr>
        <w:ind w:left="3100" w:right="199" w:hanging="646"/>
        <w:spacing w:after="0" w:line="256" w:lineRule="auto"/>
        <w:tabs>
          <w:tab w:leader="none" w:pos="2921" w:val="left"/>
        </w:tabs>
        <w:numPr>
          <w:ilvl w:val="1"/>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persons signing this Agreement on behalf of Amazon Services are duly authorized to do so by Amazon Services, and this Agreement has been duly executed and delivered by Amazon Services.</w:t>
      </w:r>
    </w:p>
    <w:p>
      <w:pPr>
        <w:spacing w:after="0" w:line="189" w:lineRule="exact"/>
        <w:rPr>
          <w:rFonts w:ascii="Times New Roman" w:cs="Times New Roman" w:eastAsia="Times New Roman" w:hAnsi="Times New Roman"/>
          <w:sz w:val="20"/>
          <w:szCs w:val="20"/>
          <w:b w:val="1"/>
          <w:bCs w:val="1"/>
          <w:color w:val="auto"/>
        </w:rPr>
      </w:pPr>
    </w:p>
    <w:p>
      <w:pPr>
        <w:ind w:left="2460" w:right="679" w:hanging="654"/>
        <w:spacing w:after="0" w:line="271" w:lineRule="auto"/>
        <w:tabs>
          <w:tab w:leader="none" w:pos="2274"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Amazon Payments represents and warrants to Affirm, on and as of the Effective Date, that:</w:t>
      </w:r>
    </w:p>
    <w:p>
      <w:pPr>
        <w:spacing w:after="0" w:line="157" w:lineRule="exact"/>
        <w:rPr>
          <w:rFonts w:ascii="Times New Roman" w:cs="Times New Roman" w:eastAsia="Times New Roman" w:hAnsi="Times New Roman"/>
          <w:sz w:val="20"/>
          <w:szCs w:val="20"/>
          <w:b w:val="1"/>
          <w:bCs w:val="1"/>
          <w:color w:val="auto"/>
        </w:rPr>
      </w:pPr>
    </w:p>
    <w:p>
      <w:pPr>
        <w:ind w:left="3100" w:right="199" w:hanging="646"/>
        <w:spacing w:after="0" w:line="254" w:lineRule="auto"/>
        <w:tabs>
          <w:tab w:leader="none" w:pos="2948" w:val="left"/>
        </w:tabs>
        <w:numPr>
          <w:ilvl w:val="1"/>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Amazon Payments is a corporation duly incorporated and existing under the laws of the State of Delaware. Amazon Payments is duly licensed or qualified to do business and is in good standing in all jurisdictions in which the nature of the activities conducted or proposed to be conducted by it or the character of the assets owned or leased by it makes</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9019"/>
          </w:cols>
          <w:pgMar w:left="1440" w:top="1179" w:right="1440" w:bottom="1440" w:gutter="0" w:footer="0" w:header="0"/>
          <w:type w:val="continuous"/>
        </w:sectPr>
      </w:pPr>
    </w:p>
    <w:bookmarkStart w:id="237" w:name="page238"/>
    <w:bookmarkEnd w:id="237"/>
    <w:p>
      <w:pPr>
        <w:ind w:left="3100" w:right="199"/>
        <w:spacing w:after="0" w:line="271" w:lineRule="auto"/>
        <w:rPr>
          <w:sz w:val="20"/>
          <w:szCs w:val="20"/>
          <w:color w:val="auto"/>
        </w:rPr>
      </w:pPr>
      <w:r>
        <w:rPr>
          <w:rFonts w:ascii="Times New Roman" w:cs="Times New Roman" w:eastAsia="Times New Roman" w:hAnsi="Times New Roman"/>
          <w:sz w:val="22"/>
          <w:szCs w:val="22"/>
          <w:color w:val="auto"/>
        </w:rPr>
        <w:t>such licensing or qualification necessary to perform its obligations under this Agreement.</w:t>
      </w:r>
    </w:p>
    <w:p>
      <w:pPr>
        <w:spacing w:after="0" w:line="171" w:lineRule="exact"/>
        <w:rPr>
          <w:sz w:val="20"/>
          <w:szCs w:val="20"/>
          <w:color w:val="auto"/>
        </w:rPr>
      </w:pPr>
    </w:p>
    <w:p>
      <w:pPr>
        <w:ind w:left="3100" w:right="199" w:hanging="646"/>
        <w:spacing w:after="0" w:line="248" w:lineRule="auto"/>
        <w:tabs>
          <w:tab w:leader="none" w:pos="2975" w:val="left"/>
        </w:tabs>
        <w:numPr>
          <w:ilvl w:val="1"/>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Amazon Payments has full power and authority to enter into and perform this Agreement. This Agreement has been approved by all necessary corporate (or similar) actions of Amazon Payments. This Agreement constitutes a legally valid and binding obligation of Amazon Payments, enforceable in accordance with its terms, except as enforceability may be limited by bankruptcy, insolvency, receivership or other similar laws affecting the enforcement of creditors’ rights or by equitable principles relating to enforceability.</w:t>
      </w:r>
    </w:p>
    <w:p>
      <w:pPr>
        <w:spacing w:after="0" w:line="185" w:lineRule="exact"/>
        <w:rPr>
          <w:rFonts w:ascii="Times New Roman" w:cs="Times New Roman" w:eastAsia="Times New Roman" w:hAnsi="Times New Roman"/>
          <w:sz w:val="20"/>
          <w:szCs w:val="20"/>
          <w:b w:val="1"/>
          <w:bCs w:val="1"/>
          <w:color w:val="auto"/>
        </w:rPr>
      </w:pPr>
    </w:p>
    <w:p>
      <w:pPr>
        <w:ind w:left="3100" w:right="199" w:hanging="646"/>
        <w:spacing w:after="0" w:line="248" w:lineRule="auto"/>
        <w:tabs>
          <w:tab w:leader="none" w:pos="3002" w:val="left"/>
        </w:tabs>
        <w:numPr>
          <w:ilvl w:val="1"/>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There are no actions, suits or proceedings pending or threatened against Amazon Payments or any of its Affiliates that would materially and adversely affect the ability of Amazon Payments to perform its obligations under this Agreement.</w:t>
      </w:r>
    </w:p>
    <w:p>
      <w:pPr>
        <w:spacing w:after="0" w:line="196" w:lineRule="exact"/>
        <w:rPr>
          <w:rFonts w:ascii="Times New Roman" w:cs="Times New Roman" w:eastAsia="Times New Roman" w:hAnsi="Times New Roman"/>
          <w:sz w:val="20"/>
          <w:szCs w:val="20"/>
          <w:b w:val="1"/>
          <w:bCs w:val="1"/>
          <w:color w:val="auto"/>
        </w:rPr>
      </w:pPr>
    </w:p>
    <w:p>
      <w:pPr>
        <w:jc w:val="both"/>
        <w:ind w:left="3100" w:right="199" w:hanging="646"/>
        <w:spacing w:after="0" w:line="251" w:lineRule="auto"/>
        <w:tabs>
          <w:tab w:leader="none" w:pos="3056" w:val="left"/>
        </w:tabs>
        <w:numPr>
          <w:ilvl w:val="1"/>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execution and performance of this Agreement by Amazon Payments does not violate its charter or bylaws or equivalent governing instruments, or any material contract or other instrument to which such Party is a party or by which it is bound. Amazon Payments’ performance of its obligations under this Agreement complies with Applicable Law.</w:t>
      </w:r>
    </w:p>
    <w:p>
      <w:pPr>
        <w:spacing w:after="0" w:line="181" w:lineRule="exact"/>
        <w:rPr>
          <w:rFonts w:ascii="Times New Roman" w:cs="Times New Roman" w:eastAsia="Times New Roman" w:hAnsi="Times New Roman"/>
          <w:sz w:val="20"/>
          <w:szCs w:val="20"/>
          <w:b w:val="1"/>
          <w:bCs w:val="1"/>
          <w:color w:val="auto"/>
        </w:rPr>
      </w:pPr>
    </w:p>
    <w:p>
      <w:pPr>
        <w:ind w:left="3100" w:right="199" w:hanging="646"/>
        <w:spacing w:after="0" w:line="256" w:lineRule="auto"/>
        <w:tabs>
          <w:tab w:leader="none" w:pos="2881" w:val="left"/>
        </w:tabs>
        <w:numPr>
          <w:ilvl w:val="1"/>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persons signing this Agreement on behalf of Amazon Payments are duly authorized to do so by Amazon Payments, and this Agreement has been duly executed and delivered by Amazon Payments.</w:t>
      </w:r>
    </w:p>
    <w:p>
      <w:pPr>
        <w:spacing w:after="0" w:line="176" w:lineRule="exact"/>
        <w:rPr>
          <w:rFonts w:ascii="Times New Roman" w:cs="Times New Roman" w:eastAsia="Times New Roman" w:hAnsi="Times New Roman"/>
          <w:sz w:val="20"/>
          <w:szCs w:val="20"/>
          <w:b w:val="1"/>
          <w:bCs w:val="1"/>
          <w:color w:val="auto"/>
        </w:rPr>
      </w:pPr>
    </w:p>
    <w:p>
      <w:pPr>
        <w:ind w:left="2460" w:right="199" w:hanging="654"/>
        <w:spacing w:after="0" w:line="263" w:lineRule="auto"/>
        <w:tabs>
          <w:tab w:leader="none" w:pos="2325"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Each Amazon Party covenants to Affirm, beginning on the Effective Date (or such later date that such Amazon Party became a Party to this Agreement) during the Term, that:</w:t>
      </w:r>
    </w:p>
    <w:p>
      <w:pPr>
        <w:spacing w:after="0" w:line="167" w:lineRule="exact"/>
        <w:rPr>
          <w:rFonts w:ascii="Times New Roman" w:cs="Times New Roman" w:eastAsia="Times New Roman" w:hAnsi="Times New Roman"/>
          <w:sz w:val="20"/>
          <w:szCs w:val="20"/>
          <w:b w:val="1"/>
          <w:bCs w:val="1"/>
          <w:color w:val="auto"/>
        </w:rPr>
      </w:pPr>
    </w:p>
    <w:p>
      <w:pPr>
        <w:ind w:left="3100" w:right="199" w:hanging="646"/>
        <w:spacing w:after="0" w:line="256" w:lineRule="auto"/>
        <w:tabs>
          <w:tab w:leader="none" w:pos="2894" w:val="left"/>
        </w:tabs>
        <w:numPr>
          <w:ilvl w:val="1"/>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Such Amazon Party (or one or more of its Affiliates) owns all right, title and interest in the Amazon Trademarks and has all necessary authority to permit use of the Amazon Trademarks as contemplated by this Agreement.</w:t>
      </w:r>
    </w:p>
    <w:p>
      <w:pPr>
        <w:spacing w:after="0" w:line="176" w:lineRule="exact"/>
        <w:rPr>
          <w:rFonts w:ascii="Times New Roman" w:cs="Times New Roman" w:eastAsia="Times New Roman" w:hAnsi="Times New Roman"/>
          <w:sz w:val="20"/>
          <w:szCs w:val="20"/>
          <w:b w:val="1"/>
          <w:bCs w:val="1"/>
          <w:color w:val="auto"/>
        </w:rPr>
      </w:pPr>
    </w:p>
    <w:p>
      <w:pPr>
        <w:ind w:left="3100" w:right="199" w:hanging="646"/>
        <w:spacing w:after="0" w:line="256" w:lineRule="auto"/>
        <w:tabs>
          <w:tab w:leader="none" w:pos="2948" w:val="left"/>
        </w:tabs>
        <w:numPr>
          <w:ilvl w:val="1"/>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Such Amazon Party has all authorizations, licenses, approvals and consents from, and registrations and filings necessary for such Amazon Party to exercise its rights and perform its obligations under this Agreement.</w:t>
      </w:r>
    </w:p>
    <w:p>
      <w:pPr>
        <w:spacing w:after="0" w:line="189" w:lineRule="exact"/>
        <w:rPr>
          <w:rFonts w:ascii="Times New Roman" w:cs="Times New Roman" w:eastAsia="Times New Roman" w:hAnsi="Times New Roman"/>
          <w:sz w:val="20"/>
          <w:szCs w:val="20"/>
          <w:b w:val="1"/>
          <w:bCs w:val="1"/>
          <w:color w:val="auto"/>
        </w:rPr>
      </w:pPr>
    </w:p>
    <w:p>
      <w:pPr>
        <w:ind w:left="3100" w:right="199" w:hanging="646"/>
        <w:spacing w:after="0" w:line="257" w:lineRule="auto"/>
        <w:tabs>
          <w:tab w:leader="none" w:pos="2948" w:val="left"/>
        </w:tabs>
        <w:numPr>
          <w:ilvl w:val="1"/>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All Personnel of such Amazon Party and its Affiliates that will be given access to Confidential Information of Affirm are subject to valid and binding confidentiality obligations</w:t>
      </w:r>
    </w:p>
    <w:p>
      <w:pPr>
        <w:sectPr>
          <w:pgSz w:w="11900" w:h="16838" w:orient="portrait"/>
          <w:cols w:equalWidth="0" w:num="1">
            <w:col w:w="9019"/>
          </w:cols>
          <w:pgMar w:left="1440" w:top="1165"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9019"/>
          </w:cols>
          <w:pgMar w:left="1440" w:top="1165" w:right="1440" w:bottom="1440" w:gutter="0" w:footer="0" w:header="0"/>
          <w:type w:val="continuous"/>
        </w:sectPr>
      </w:pPr>
    </w:p>
    <w:bookmarkStart w:id="238" w:name="page239"/>
    <w:bookmarkEnd w:id="238"/>
    <w:p>
      <w:pPr>
        <w:jc w:val="both"/>
        <w:ind w:left="3100" w:right="199"/>
        <w:spacing w:after="0" w:line="257" w:lineRule="auto"/>
        <w:rPr>
          <w:sz w:val="20"/>
          <w:szCs w:val="20"/>
          <w:color w:val="auto"/>
        </w:rPr>
      </w:pPr>
      <w:r>
        <w:rPr>
          <w:rFonts w:ascii="Times New Roman" w:cs="Times New Roman" w:eastAsia="Times New Roman" w:hAnsi="Times New Roman"/>
          <w:sz w:val="22"/>
          <w:szCs w:val="22"/>
          <w:color w:val="auto"/>
        </w:rPr>
        <w:t>or agreements broad enough to protect the Confidential Information of Affirm in accordance with the terms of this Agreement.</w:t>
      </w:r>
    </w:p>
    <w:p>
      <w:pPr>
        <w:spacing w:after="0" w:line="173" w:lineRule="exact"/>
        <w:rPr>
          <w:sz w:val="20"/>
          <w:szCs w:val="20"/>
          <w:color w:val="auto"/>
        </w:rPr>
      </w:pPr>
    </w:p>
    <w:p>
      <w:pPr>
        <w:ind w:left="3100" w:right="199" w:hanging="646"/>
        <w:spacing w:after="0" w:line="284" w:lineRule="auto"/>
        <w:tabs>
          <w:tab w:leader="none" w:pos="3056"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Such Amazon Party’s performance of its respective obligations under this Agreement complies with Applicable Law.</w:t>
      </w:r>
    </w:p>
    <w:p>
      <w:pPr>
        <w:spacing w:after="0" w:line="143" w:lineRule="exact"/>
        <w:rPr>
          <w:rFonts w:ascii="Times New Roman" w:cs="Times New Roman" w:eastAsia="Times New Roman" w:hAnsi="Times New Roman"/>
          <w:sz w:val="20"/>
          <w:szCs w:val="20"/>
          <w:b w:val="1"/>
          <w:bCs w:val="1"/>
          <w:color w:val="auto"/>
        </w:rPr>
      </w:pPr>
    </w:p>
    <w:p>
      <w:pPr>
        <w:ind w:left="3100" w:right="199" w:hanging="646"/>
        <w:spacing w:after="0" w:line="250" w:lineRule="auto"/>
        <w:tabs>
          <w:tab w:leader="none" w:pos="2933"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Amazon Party is not prohibited from disclosing to Affirm any information that this Agreement requires to be disclosed to Affirm, or else such Amazon Party has obtained any required consents in accordance with Applicable Law or taken other measures allowed by Applicable Law to permit disclosure of such information to Affirm. Any data reporting and sharing that Amazon provides to Affirm in connection with the Program are permissible under such Amazon Party’s privacy policy and Applicable Law.</w:t>
      </w:r>
    </w:p>
    <w:p>
      <w:pPr>
        <w:spacing w:after="0" w:line="200" w:lineRule="exact"/>
        <w:rPr>
          <w:sz w:val="20"/>
          <w:szCs w:val="20"/>
          <w:color w:val="auto"/>
        </w:rPr>
      </w:pPr>
    </w:p>
    <w:p>
      <w:pPr>
        <w:spacing w:after="0" w:line="219" w:lineRule="exact"/>
        <w:rPr>
          <w:sz w:val="20"/>
          <w:szCs w:val="20"/>
          <w:color w:val="auto"/>
        </w:rPr>
      </w:pPr>
    </w:p>
    <w:p>
      <w:pPr>
        <w:ind w:left="960" w:hanging="451"/>
        <w:spacing w:after="0"/>
        <w:tabs>
          <w:tab w:leader="none" w:pos="96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TRADEMARKS AND OTHER INTELLECTUAL PROPERTY RIGHTS.</w:t>
      </w:r>
    </w:p>
    <w:p>
      <w:pPr>
        <w:spacing w:after="0" w:line="220" w:lineRule="exact"/>
        <w:rPr>
          <w:sz w:val="20"/>
          <w:szCs w:val="20"/>
          <w:color w:val="auto"/>
        </w:rPr>
      </w:pPr>
    </w:p>
    <w:p>
      <w:pPr>
        <w:jc w:val="both"/>
        <w:ind w:left="1120" w:right="199"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1"/>
          <w:szCs w:val="21"/>
          <w:b w:val="1"/>
          <w:bCs w:val="1"/>
          <w:color w:val="auto"/>
        </w:rPr>
        <w:t>Use of Affirm’s Trademarks</w:t>
      </w:r>
      <w:r>
        <w:rPr>
          <w:rFonts w:ascii="Times New Roman" w:cs="Times New Roman" w:eastAsia="Times New Roman" w:hAnsi="Times New Roman"/>
          <w:sz w:val="21"/>
          <w:szCs w:val="21"/>
          <w:color w:val="auto"/>
        </w:rPr>
        <w:t>. Affirm hereby grants to each Amazon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Party (and to any of such Amazon Party’s Affiliates performing such Amazon Party’s obligations under this Agreement in accordance with Section 18.3) a non-exclusive, royalty-free, non-transferable limited license, without the right to sublicense (except to Affiliates in accordance with this Agreement), to use the Affirm Trademarks during the Term in accordance with the Affirm Trademark Guidelines (as set forth in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12.1</w:t>
      </w:r>
      <w:r>
        <w:rPr>
          <w:rFonts w:ascii="Times New Roman" w:cs="Times New Roman" w:eastAsia="Times New Roman" w:hAnsi="Times New Roman"/>
          <w:sz w:val="21"/>
          <w:szCs w:val="21"/>
          <w:color w:val="auto"/>
        </w:rPr>
        <w:t>), including placement of the Affirm Trademarks on Marketing Materials and on any other item reasonably necessary to the establishment, operation or advancement of the Program. Each Amazon Party hereby accepts such license subject to the terms and conditions provided in this Article 12 (</w:t>
      </w:r>
      <w:r>
        <w:rPr>
          <w:rFonts w:ascii="Times New Roman" w:cs="Times New Roman" w:eastAsia="Times New Roman" w:hAnsi="Times New Roman"/>
          <w:sz w:val="21"/>
          <w:szCs w:val="21"/>
          <w:i w:val="1"/>
          <w:iCs w:val="1"/>
          <w:color w:val="auto"/>
        </w:rPr>
        <w:t>Trademarks and Other Intellectual Property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Rights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2" w:lineRule="exact"/>
        <w:rPr>
          <w:sz w:val="20"/>
          <w:szCs w:val="20"/>
          <w:color w:val="auto"/>
        </w:rPr>
      </w:pPr>
    </w:p>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12.2 </w:t>
      </w:r>
      <w:r>
        <w:rPr>
          <w:rFonts w:ascii="Times New Roman" w:cs="Times New Roman" w:eastAsia="Times New Roman" w:hAnsi="Times New Roman"/>
          <w:sz w:val="21"/>
          <w:szCs w:val="21"/>
          <w:b w:val="1"/>
          <w:bCs w:val="1"/>
          <w:color w:val="auto"/>
        </w:rPr>
        <w:t>Use of Amazon’s Trademarks</w:t>
      </w:r>
      <w:r>
        <w:rPr>
          <w:rFonts w:ascii="Times New Roman" w:cs="Times New Roman" w:eastAsia="Times New Roman" w:hAnsi="Times New Roman"/>
          <w:sz w:val="21"/>
          <w:szCs w:val="21"/>
          <w:color w:val="auto"/>
        </w:rPr>
        <w:t>. Amazon Services hereby grants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Affirm (and to any of Affirm’s Affiliates performing Affirm’s obligations under this Agreement in accordance with Section 18.3) a non-exclusive, royalty-free, non-transferable limited license, without the right to sublicense (except to Affiliates in accordance with this Agreement), to use the Amazon Trademarks during the Term in accordance with the Amazon Trademark Guidelines (as set forth in </w:t>
      </w:r>
      <w:r>
        <w:rPr>
          <w:rFonts w:ascii="Times New Roman" w:cs="Times New Roman" w:eastAsia="Times New Roman" w:hAnsi="Times New Roman"/>
          <w:sz w:val="21"/>
          <w:szCs w:val="21"/>
          <w:u w:val="single" w:color="auto"/>
          <w:color w:val="auto"/>
        </w:rPr>
        <w:t>Schedule 12.2</w:t>
      </w:r>
      <w:r>
        <w:rPr>
          <w:rFonts w:ascii="Times New Roman" w:cs="Times New Roman" w:eastAsia="Times New Roman" w:hAnsi="Times New Roman"/>
          <w:sz w:val="21"/>
          <w:szCs w:val="21"/>
          <w:color w:val="auto"/>
        </w:rPr>
        <w:t>), including placement of the Amazon Trademarks on the Program Application and, with Amazon Services’ Prior Approval, any other item necessary to the establishment, operation or advancement of the Program. Affirm hereby accepts such license subject to the terms and conditions provided in this Article 12 (</w:t>
      </w:r>
      <w:r>
        <w:rPr>
          <w:rFonts w:ascii="Times New Roman" w:cs="Times New Roman" w:eastAsia="Times New Roman" w:hAnsi="Times New Roman"/>
          <w:sz w:val="21"/>
          <w:szCs w:val="21"/>
          <w:i w:val="1"/>
          <w:iCs w:val="1"/>
          <w:color w:val="auto"/>
        </w:rPr>
        <w:t>Trademarks and Other Intellectual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Property Rights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8" w:lineRule="exact"/>
        <w:rPr>
          <w:sz w:val="20"/>
          <w:szCs w:val="20"/>
          <w:color w:val="auto"/>
        </w:rPr>
      </w:pPr>
    </w:p>
    <w:p>
      <w:pPr>
        <w:jc w:val="both"/>
        <w:ind w:left="1120" w:right="199" w:firstLine="648"/>
        <w:spacing w:after="0" w:line="313" w:lineRule="auto"/>
        <w:rPr>
          <w:sz w:val="20"/>
          <w:szCs w:val="20"/>
          <w:color w:val="auto"/>
        </w:rPr>
      </w:pPr>
      <w:r>
        <w:rPr>
          <w:rFonts w:ascii="Times New Roman" w:cs="Times New Roman" w:eastAsia="Times New Roman" w:hAnsi="Times New Roman"/>
          <w:sz w:val="20"/>
          <w:szCs w:val="20"/>
          <w:b w:val="1"/>
          <w:bCs w:val="1"/>
          <w:color w:val="auto"/>
        </w:rPr>
        <w:t xml:space="preserve">12.3 </w:t>
      </w:r>
      <w:r>
        <w:rPr>
          <w:rFonts w:ascii="Times New Roman" w:cs="Times New Roman" w:eastAsia="Times New Roman" w:hAnsi="Times New Roman"/>
          <w:sz w:val="21"/>
          <w:szCs w:val="21"/>
          <w:b w:val="1"/>
          <w:bCs w:val="1"/>
          <w:color w:val="auto"/>
        </w:rPr>
        <w:t>Additional Trademark Provisions</w:t>
      </w:r>
      <w:r>
        <w:rPr>
          <w:rFonts w:ascii="Times New Roman" w:cs="Times New Roman" w:eastAsia="Times New Roman" w:hAnsi="Times New Roman"/>
          <w:sz w:val="21"/>
          <w:szCs w:val="21"/>
          <w:color w:val="auto"/>
        </w:rPr>
        <w:t>. No Amazon Party nor Affirm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use (A) any Trademark of the other Party, as the case may be, or (B)</w:t>
      </w:r>
    </w:p>
    <w:p>
      <w:pPr>
        <w:sectPr>
          <w:pgSz w:w="11900" w:h="16838" w:orient="portrait"/>
          <w:cols w:equalWidth="0" w:num="1">
            <w:col w:w="9019"/>
          </w:cols>
          <w:pgMar w:left="1440" w:top="1179" w:right="1440"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9019"/>
          </w:cols>
          <w:pgMar w:left="1440" w:top="1179" w:right="1440" w:bottom="1440" w:gutter="0" w:footer="0" w:header="0"/>
          <w:type w:val="continuous"/>
        </w:sectPr>
      </w:pPr>
    </w:p>
    <w:bookmarkStart w:id="239" w:name="page240"/>
    <w:bookmarkEnd w:id="239"/>
    <w:p>
      <w:pPr>
        <w:jc w:val="both"/>
        <w:ind w:left="1120" w:right="199"/>
        <w:spacing w:after="0" w:line="250" w:lineRule="auto"/>
        <w:rPr>
          <w:sz w:val="20"/>
          <w:szCs w:val="20"/>
          <w:color w:val="auto"/>
        </w:rPr>
      </w:pPr>
      <w:r>
        <w:rPr>
          <w:rFonts w:ascii="Times New Roman" w:cs="Times New Roman" w:eastAsia="Times New Roman" w:hAnsi="Times New Roman"/>
          <w:sz w:val="22"/>
          <w:szCs w:val="22"/>
          <w:color w:val="auto"/>
        </w:rPr>
        <w:t>any other Trademark in combination with the other Party’s name or Trademarks without the Prior Approval of the proprietor of such name or Trademark and the Prior Approval of such other Party. Except to the extent permitted by Applicable Law, in the absence of any express license or other grant of rights, no Amazon Party nor Affirm will use any Trademark or any other Intellectual Property Rights of the other Party in any manner (including reference to the other Party as a client, customer or supplier in any press release, advertisement or other promotional material) without the Prior Approval of the other Party.</w:t>
      </w:r>
    </w:p>
    <w:p>
      <w:pPr>
        <w:spacing w:after="0" w:line="183"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21"/>
          <w:szCs w:val="21"/>
          <w:b w:val="1"/>
          <w:bCs w:val="1"/>
          <w:color w:val="auto"/>
        </w:rPr>
        <w:t>Other Intellectual Property Rights.</w:t>
      </w:r>
    </w:p>
    <w:p>
      <w:pPr>
        <w:spacing w:after="0" w:line="245" w:lineRule="exact"/>
        <w:rPr>
          <w:sz w:val="20"/>
          <w:szCs w:val="20"/>
          <w:color w:val="auto"/>
        </w:rPr>
      </w:pPr>
    </w:p>
    <w:p>
      <w:pPr>
        <w:ind w:left="2280" w:hanging="475"/>
        <w:spacing w:after="0"/>
        <w:tabs>
          <w:tab w:leader="none" w:pos="2280"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Ownership.</w:t>
      </w:r>
    </w:p>
    <w:p>
      <w:pPr>
        <w:spacing w:after="0" w:line="200" w:lineRule="exact"/>
        <w:rPr>
          <w:rFonts w:ascii="Times New Roman" w:cs="Times New Roman" w:eastAsia="Times New Roman" w:hAnsi="Times New Roman"/>
          <w:sz w:val="20"/>
          <w:szCs w:val="20"/>
          <w:b w:val="1"/>
          <w:bCs w:val="1"/>
          <w:color w:val="auto"/>
        </w:rPr>
      </w:pPr>
    </w:p>
    <w:p>
      <w:pPr>
        <w:spacing w:after="0" w:line="262" w:lineRule="exact"/>
        <w:rPr>
          <w:rFonts w:ascii="Times New Roman" w:cs="Times New Roman" w:eastAsia="Times New Roman" w:hAnsi="Times New Roman"/>
          <w:sz w:val="20"/>
          <w:szCs w:val="20"/>
          <w:b w:val="1"/>
          <w:bCs w:val="1"/>
          <w:color w:val="auto"/>
        </w:rPr>
      </w:pPr>
    </w:p>
    <w:p>
      <w:pPr>
        <w:ind w:left="3100" w:right="199" w:hanging="646"/>
        <w:spacing w:after="0" w:line="254" w:lineRule="auto"/>
        <w:tabs>
          <w:tab w:leader="none" w:pos="2921" w:val="left"/>
        </w:tabs>
        <w:numPr>
          <w:ilvl w:val="1"/>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Pre-Existing Works</w:t>
      </w:r>
      <w:r>
        <w:rPr>
          <w:rFonts w:ascii="Times New Roman" w:cs="Times New Roman" w:eastAsia="Times New Roman" w:hAnsi="Times New Roman"/>
          <w:sz w:val="22"/>
          <w:szCs w:val="22"/>
          <w:color w:val="auto"/>
        </w:rPr>
        <w:t>. Each Party will retain and own all right,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interest (including any Intellectual Property Rights throughout the world) in and to any and all Technology developed, owned or licensed by such Party before the Effective Date (the “</w:t>
      </w:r>
      <w:r>
        <w:rPr>
          <w:rFonts w:ascii="Times New Roman" w:cs="Times New Roman" w:eastAsia="Times New Roman" w:hAnsi="Times New Roman"/>
          <w:sz w:val="22"/>
          <w:szCs w:val="22"/>
          <w:b w:val="1"/>
          <w:bCs w:val="1"/>
          <w:color w:val="auto"/>
        </w:rPr>
        <w:t>Pre-Existing Works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0"/>
          <w:szCs w:val="20"/>
          <w:b w:val="1"/>
          <w:bCs w:val="1"/>
          <w:color w:val="auto"/>
        </w:rPr>
      </w:pPr>
    </w:p>
    <w:p>
      <w:pPr>
        <w:ind w:left="3100" w:right="199" w:hanging="646"/>
        <w:spacing w:after="0" w:line="249" w:lineRule="auto"/>
        <w:tabs>
          <w:tab w:leader="none" w:pos="2962" w:val="left"/>
        </w:tabs>
        <w:numPr>
          <w:ilvl w:val="1"/>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Independently Developed Works</w:t>
      </w:r>
      <w:r>
        <w:rPr>
          <w:rFonts w:ascii="Times New Roman" w:cs="Times New Roman" w:eastAsia="Times New Roman" w:hAnsi="Times New Roman"/>
          <w:sz w:val="22"/>
          <w:szCs w:val="22"/>
          <w:color w:val="auto"/>
        </w:rPr>
        <w:t>. Each Party will own all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and interest (including any Intellectual Property Rights throughout the world) in and to any and all Technology that such Party, its designees, resources or Personnel (each, a “</w:t>
      </w:r>
      <w:r>
        <w:rPr>
          <w:rFonts w:ascii="Times New Roman" w:cs="Times New Roman" w:eastAsia="Times New Roman" w:hAnsi="Times New Roman"/>
          <w:sz w:val="22"/>
          <w:szCs w:val="22"/>
          <w:b w:val="1"/>
          <w:bCs w:val="1"/>
          <w:color w:val="auto"/>
        </w:rPr>
        <w:t>Developing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independently creates, independently develops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independently acquires in the course of the performance of its obligations under this Agreement (or in preparation therefor), on and after the Effective Date, both as individual items and/or a combination of components (collectively, “</w:t>
      </w:r>
      <w:r>
        <w:rPr>
          <w:rFonts w:ascii="Times New Roman" w:cs="Times New Roman" w:eastAsia="Times New Roman" w:hAnsi="Times New Roman"/>
          <w:sz w:val="22"/>
          <w:szCs w:val="22"/>
          <w:b w:val="1"/>
          <w:bCs w:val="1"/>
          <w:color w:val="auto"/>
        </w:rPr>
        <w:t>Independently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Developed Works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0"/>
          <w:szCs w:val="20"/>
          <w:b w:val="1"/>
          <w:bCs w:val="1"/>
          <w:color w:val="auto"/>
        </w:rPr>
      </w:pPr>
    </w:p>
    <w:p>
      <w:pPr>
        <w:ind w:left="3100" w:right="199" w:hanging="646"/>
        <w:spacing w:after="0" w:line="261" w:lineRule="auto"/>
        <w:tabs>
          <w:tab w:leader="none" w:pos="2881" w:val="left"/>
        </w:tabs>
        <w:numPr>
          <w:ilvl w:val="1"/>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Jointly Developed Works</w:t>
      </w:r>
      <w:r>
        <w:rPr>
          <w:rFonts w:ascii="Times New Roman" w:cs="Times New Roman" w:eastAsia="Times New Roman" w:hAnsi="Times New Roman"/>
          <w:sz w:val="21"/>
          <w:szCs w:val="21"/>
          <w:color w:val="auto"/>
        </w:rPr>
        <w:t>. Affirm will own all Intellectual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to the extent not comprised of any Amazon Party’s Pre-Existing Works, that were jointly developed, created, or authored on, before or after the Effective Date by Personnel of the applicable Amazon Party with Personnel of Affirm in the course of the performance of each of such Amazon Party’s and Affirm’s obligations under this Agreement (or in preparation therefor) (collectively, “</w:t>
      </w:r>
      <w:r>
        <w:rPr>
          <w:rFonts w:ascii="Times New Roman" w:cs="Times New Roman" w:eastAsia="Times New Roman" w:hAnsi="Times New Roman"/>
          <w:sz w:val="21"/>
          <w:szCs w:val="21"/>
          <w:b w:val="1"/>
          <w:bCs w:val="1"/>
          <w:color w:val="auto"/>
        </w:rPr>
        <w:t>Jointly Developed Works</w:t>
      </w:r>
      <w:r>
        <w:rPr>
          <w:rFonts w:ascii="Times New Roman" w:cs="Times New Roman" w:eastAsia="Times New Roman" w:hAnsi="Times New Roman"/>
          <w:sz w:val="21"/>
          <w:szCs w:val="21"/>
          <w:color w:val="auto"/>
        </w:rPr>
        <w:t>”). Affirm will provide to Amazon Services a royalty free, fully paid up, irrevocable license to use any Jointly Developed Works during the Term. The Parties agree to cooperate in good faith to identify and document any jointly owned Intellectual Property Rights.</w:t>
      </w:r>
    </w:p>
    <w:p>
      <w:pPr>
        <w:spacing w:after="0" w:line="183" w:lineRule="exact"/>
        <w:rPr>
          <w:rFonts w:ascii="Times New Roman" w:cs="Times New Roman" w:eastAsia="Times New Roman" w:hAnsi="Times New Roman"/>
          <w:sz w:val="19"/>
          <w:szCs w:val="19"/>
          <w:b w:val="1"/>
          <w:bCs w:val="1"/>
          <w:color w:val="auto"/>
        </w:rPr>
      </w:pPr>
    </w:p>
    <w:p>
      <w:pPr>
        <w:ind w:left="3100" w:right="199" w:hanging="646"/>
        <w:spacing w:after="0" w:line="259" w:lineRule="auto"/>
        <w:tabs>
          <w:tab w:leader="none" w:pos="2921" w:val="left"/>
        </w:tabs>
        <w:numPr>
          <w:ilvl w:val="1"/>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Derivative Works</w:t>
      </w:r>
      <w:r>
        <w:rPr>
          <w:rFonts w:ascii="Times New Roman" w:cs="Times New Roman" w:eastAsia="Times New Roman" w:hAnsi="Times New Roman"/>
          <w:sz w:val="22"/>
          <w:szCs w:val="22"/>
          <w:color w:val="auto"/>
        </w:rPr>
        <w:t>. Each Party will own all right, title, and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Intellectual Property Rights throughout the world) in and to any and all Derivative</w:t>
      </w:r>
    </w:p>
    <w:p>
      <w:pPr>
        <w:sectPr>
          <w:pgSz w:w="11900" w:h="16838" w:orient="portrait"/>
          <w:cols w:equalWidth="0" w:num="1">
            <w:col w:w="9019"/>
          </w:cols>
          <w:pgMar w:left="1440" w:top="1165"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9019"/>
          </w:cols>
          <w:pgMar w:left="1440" w:top="1165" w:right="1440" w:bottom="1440" w:gutter="0" w:footer="0" w:header="0"/>
          <w:type w:val="continuous"/>
        </w:sectPr>
      </w:pPr>
    </w:p>
    <w:bookmarkStart w:id="240" w:name="page241"/>
    <w:bookmarkEnd w:id="240"/>
    <w:p>
      <w:pPr>
        <w:jc w:val="both"/>
        <w:ind w:left="3100" w:right="199"/>
        <w:spacing w:after="0" w:line="247" w:lineRule="auto"/>
        <w:rPr>
          <w:sz w:val="20"/>
          <w:szCs w:val="20"/>
          <w:color w:val="auto"/>
        </w:rPr>
      </w:pPr>
      <w:r>
        <w:rPr>
          <w:rFonts w:ascii="Times New Roman" w:cs="Times New Roman" w:eastAsia="Times New Roman" w:hAnsi="Times New Roman"/>
          <w:sz w:val="22"/>
          <w:szCs w:val="22"/>
          <w:color w:val="auto"/>
        </w:rPr>
        <w:t>Works or improvements made by a Developing Party based on such Party’s Pre-Existing Works or Independently Developed Works in the course of the performance of its obligations under this Agreement (or in preparation therefor). For the avoidance of doubt, any Intellectual Property Rights that are developed, created, or authored by Affirm and relate to Affirm backend systems or that are a modification, enhancement, or derivative work of the Affirm API, will be solely and exclusively owned by Affirm. For the further avoidance of doubt, the scope of this Section 12.4(A)(4) extends only to independently developed Derivative Works or improvements, and the Parties’ rights with respect to any jointly developed Derivative Works or improvements will be governed by Section 12.4(A)(3).</w:t>
      </w:r>
    </w:p>
    <w:p>
      <w:pPr>
        <w:spacing w:after="0" w:line="193" w:lineRule="exact"/>
        <w:rPr>
          <w:sz w:val="20"/>
          <w:szCs w:val="20"/>
          <w:color w:val="auto"/>
        </w:rPr>
      </w:pPr>
    </w:p>
    <w:p>
      <w:pPr>
        <w:ind w:left="3100" w:right="179" w:hanging="646"/>
        <w:spacing w:after="0" w:line="259" w:lineRule="auto"/>
        <w:tabs>
          <w:tab w:leader="none" w:pos="2921" w:val="left"/>
        </w:tabs>
        <w:numPr>
          <w:ilvl w:val="0"/>
          <w:numId w:val="2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If Affirm provides any suggested improvements to any Technology of any Amazon Party (the “</w:t>
      </w:r>
      <w:r>
        <w:rPr>
          <w:rFonts w:ascii="Times New Roman" w:cs="Times New Roman" w:eastAsia="Times New Roman" w:hAnsi="Times New Roman"/>
          <w:sz w:val="21"/>
          <w:szCs w:val="21"/>
          <w:b w:val="1"/>
          <w:bCs w:val="1"/>
          <w:color w:val="auto"/>
        </w:rPr>
        <w:t>Affirm Suggestions</w:t>
      </w:r>
      <w:r>
        <w:rPr>
          <w:rFonts w:ascii="Times New Roman" w:cs="Times New Roman" w:eastAsia="Times New Roman" w:hAnsi="Times New Roman"/>
          <w:sz w:val="21"/>
          <w:szCs w:val="21"/>
          <w:color w:val="auto"/>
        </w:rPr>
        <w:t>”) to any Amazon Party or its Affiliates, the applicable Amazon Party will own all right, title, and interest in and to the Affirm Suggestions, even if Affirm has designated the Affirm Suggestions as confidential. The Amazon Parties and their Affiliates will be entitled to use the Affirm Suggestions without restriction. Affirm hereby irrevocably assigns to the Amazon Parties all right, title, and interest in and to the Affirm Suggestions and agrees to provide the Amazon Parties any assistance they may require to document, perfect, and maintain its rights in the Affirm Suggestions. If Amazon provides any suggested improvements to any Technology of Affirm (the “</w:t>
      </w:r>
      <w:r>
        <w:rPr>
          <w:rFonts w:ascii="Times New Roman" w:cs="Times New Roman" w:eastAsia="Times New Roman" w:hAnsi="Times New Roman"/>
          <w:sz w:val="21"/>
          <w:szCs w:val="21"/>
          <w:b w:val="1"/>
          <w:bCs w:val="1"/>
          <w:color w:val="auto"/>
        </w:rPr>
        <w:t>Amazon Suggestions</w:t>
      </w:r>
      <w:r>
        <w:rPr>
          <w:rFonts w:ascii="Times New Roman" w:cs="Times New Roman" w:eastAsia="Times New Roman" w:hAnsi="Times New Roman"/>
          <w:sz w:val="21"/>
          <w:szCs w:val="21"/>
          <w:color w:val="auto"/>
        </w:rPr>
        <w:t>”) to Affirm, Affirm will own all right, title, and interest in and to the Amazon Suggestions, even if Amazon has designated the Amazon Suggestions as confidential. Affirm will be entitled to use the Amazon Suggestions without restriction. Amazon hereby irrevocably assigns to Affirm all right, title, and interest in and to the Amazon Suggestions and agrees to provide Affirm any assistance it may require to document, perfect, and maintain its rights in the Amazon Suggestions.</w:t>
      </w:r>
    </w:p>
    <w:p>
      <w:pPr>
        <w:spacing w:after="0" w:line="200" w:lineRule="exact"/>
        <w:rPr>
          <w:rFonts w:ascii="Times New Roman" w:cs="Times New Roman" w:eastAsia="Times New Roman" w:hAnsi="Times New Roman"/>
          <w:sz w:val="19"/>
          <w:szCs w:val="19"/>
          <w:b w:val="1"/>
          <w:bCs w:val="1"/>
          <w:color w:val="auto"/>
        </w:rPr>
      </w:pPr>
    </w:p>
    <w:p>
      <w:pPr>
        <w:spacing w:after="0" w:line="254" w:lineRule="exact"/>
        <w:rPr>
          <w:rFonts w:ascii="Times New Roman" w:cs="Times New Roman" w:eastAsia="Times New Roman" w:hAnsi="Times New Roman"/>
          <w:sz w:val="19"/>
          <w:szCs w:val="19"/>
          <w:b w:val="1"/>
          <w:bCs w:val="1"/>
          <w:color w:val="auto"/>
        </w:rPr>
      </w:pPr>
    </w:p>
    <w:p>
      <w:pPr>
        <w:ind w:left="2880" w:hanging="425"/>
        <w:spacing w:after="0"/>
        <w:tabs>
          <w:tab w:leader="none" w:pos="288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b w:val="1"/>
          <w:bCs w:val="1"/>
          <w:color w:val="auto"/>
        </w:rPr>
      </w:pPr>
    </w:p>
    <w:p>
      <w:pPr>
        <w:ind w:left="3100" w:right="199" w:hanging="646"/>
        <w:spacing w:after="0" w:line="254" w:lineRule="auto"/>
        <w:tabs>
          <w:tab w:leader="none" w:pos="2894"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Limitation on Intellectual Property Rights</w:t>
      </w:r>
      <w:r>
        <w:rPr>
          <w:rFonts w:ascii="Times New Roman" w:cs="Times New Roman" w:eastAsia="Times New Roman" w:hAnsi="Times New Roman"/>
          <w:sz w:val="22"/>
          <w:szCs w:val="22"/>
          <w:color w:val="auto"/>
        </w:rPr>
        <w:t>. Neither Party will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the other Party’s Independently Developed Work or Derivative Work based on that other Party’s Pre-Existing Works or Independently Developed Works, during the Term or at any time after the Term to offer any services to any other clients.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9019"/>
          </w:cols>
          <w:pgMar w:left="1440" w:top="1179" w:right="1440" w:bottom="1440" w:gutter="0" w:footer="0" w:header="0"/>
        </w:sectPr>
      </w:pPr>
    </w:p>
    <w:bookmarkStart w:id="241" w:name="page242"/>
    <w:bookmarkEnd w:id="241"/>
    <w:p>
      <w:pPr>
        <w:ind w:left="2460" w:right="199" w:hanging="654"/>
        <w:spacing w:after="0" w:line="249" w:lineRule="auto"/>
        <w:tabs>
          <w:tab w:leader="none" w:pos="2341" w:val="left"/>
        </w:tabs>
        <w:numPr>
          <w:ilvl w:val="1"/>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 Each Amazon Party and Affirm grants to the other Party a non-exclusive, royalty-free, non-assignable (except to Affiliates performing that Party’s obligations under this Agreement in accordance with Section 17.2), non-sub-licensable (except to Affiliates performing that Party’s obligations under this Agreement in accordance with Section 17.2), worldwide right and license during the Term to use any Pre-Existing Works or Derivative Works owned or controlled by such granting Party solely as necessary to permit such Amazon Party or Affirm, as the case may be, to perform its obligations under this Agreement in connection with developing and supporting the Program, including the particular aspects of the web site functionality necessary for implementation of the Program.</w:t>
      </w:r>
    </w:p>
    <w:p>
      <w:pPr>
        <w:spacing w:after="0" w:line="200" w:lineRule="exact"/>
        <w:rPr>
          <w:rFonts w:ascii="Times New Roman" w:cs="Times New Roman" w:eastAsia="Times New Roman" w:hAnsi="Times New Roman"/>
          <w:sz w:val="20"/>
          <w:szCs w:val="20"/>
          <w:b w:val="1"/>
          <w:bCs w:val="1"/>
          <w:color w:val="auto"/>
        </w:rPr>
      </w:pPr>
    </w:p>
    <w:p>
      <w:pPr>
        <w:spacing w:after="0" w:line="227" w:lineRule="exact"/>
        <w:rPr>
          <w:rFonts w:ascii="Times New Roman" w:cs="Times New Roman" w:eastAsia="Times New Roman" w:hAnsi="Times New Roman"/>
          <w:sz w:val="20"/>
          <w:szCs w:val="20"/>
          <w:b w:val="1"/>
          <w:bCs w:val="1"/>
          <w:color w:val="auto"/>
        </w:rPr>
      </w:pPr>
    </w:p>
    <w:p>
      <w:pPr>
        <w:ind w:left="960" w:hanging="451"/>
        <w:spacing w:after="0"/>
        <w:tabs>
          <w:tab w:leader="none" w:pos="96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REPORTS AND AUDITS.</w:t>
      </w:r>
    </w:p>
    <w:p>
      <w:pPr>
        <w:spacing w:after="0" w:line="233"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21"/>
          <w:szCs w:val="21"/>
          <w:b w:val="1"/>
          <w:bCs w:val="1"/>
          <w:color w:val="auto"/>
        </w:rPr>
        <w:t>Reports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2460" w:right="199" w:hanging="654"/>
        <w:spacing w:after="0" w:line="258" w:lineRule="auto"/>
        <w:tabs>
          <w:tab w:leader="none" w:pos="2312"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Program Reports. </w:t>
      </w:r>
      <w:r>
        <w:rPr>
          <w:rFonts w:ascii="Times New Roman" w:cs="Times New Roman" w:eastAsia="Times New Roman" w:hAnsi="Times New Roman"/>
          <w:sz w:val="22"/>
          <w:szCs w:val="22"/>
          <w:color w:val="auto"/>
        </w:rPr>
        <w:t>Reports and other information that will be provided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Affirm to Amazon Services are generally described in </w:t>
      </w:r>
      <w:r>
        <w:rPr>
          <w:rFonts w:ascii="Times New Roman" w:cs="Times New Roman" w:eastAsia="Times New Roman" w:hAnsi="Times New Roman"/>
          <w:sz w:val="22"/>
          <w:szCs w:val="22"/>
          <w:u w:val="single" w:color="auto"/>
          <w:color w:val="auto"/>
        </w:rPr>
        <w:t>Schedule 13.1</w:t>
      </w:r>
      <w:r>
        <w:rPr>
          <w:rFonts w:ascii="Times New Roman" w:cs="Times New Roman" w:eastAsia="Times New Roman" w:hAnsi="Times New Roman"/>
          <w:sz w:val="22"/>
          <w:szCs w:val="22"/>
          <w:color w:val="auto"/>
        </w:rPr>
        <w:t xml:space="preserve"> and will address, at a minimum, the following aspects of the Program: finance, accounting, marketing, operations and risk.</w:t>
      </w:r>
    </w:p>
    <w:p>
      <w:pPr>
        <w:spacing w:after="0" w:line="185" w:lineRule="exact"/>
        <w:rPr>
          <w:rFonts w:ascii="Times New Roman" w:cs="Times New Roman" w:eastAsia="Times New Roman" w:hAnsi="Times New Roman"/>
          <w:sz w:val="20"/>
          <w:szCs w:val="20"/>
          <w:b w:val="1"/>
          <w:bCs w:val="1"/>
          <w:color w:val="auto"/>
        </w:rPr>
      </w:pPr>
    </w:p>
    <w:p>
      <w:pPr>
        <w:ind w:left="2260" w:hanging="454"/>
        <w:spacing w:after="0"/>
        <w:tabs>
          <w:tab w:leader="none" w:pos="2260"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21"/>
          <w:szCs w:val="21"/>
          <w:b w:val="1"/>
          <w:bCs w:val="1"/>
          <w:color w:val="auto"/>
        </w:rPr>
        <w:t>Audit</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2460" w:right="199"/>
        <w:spacing w:after="0" w:line="249"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Audits</w:t>
      </w:r>
      <w:r>
        <w:rPr>
          <w:rFonts w:ascii="Times New Roman" w:cs="Times New Roman" w:eastAsia="Times New Roman" w:hAnsi="Times New Roman"/>
          <w:sz w:val="22"/>
          <w:szCs w:val="22"/>
          <w:color w:val="auto"/>
        </w:rPr>
        <w:t>. [***]. Any such audit will be performed by an independent auditor selected by Amazon Services and approved by Affirm, such approval not to be unreasonably withheld. The Parties and the auditor will agree in advance on the procedures to be used in conducting the audit. The auditor who conducts the audit will certify the results of such audit to the Parties. Any such audit will be performed independent of Affirm’s standard corporate auditing process and during Affirm’s regular business hours and in its offices.</w:t>
      </w:r>
    </w:p>
    <w:p>
      <w:pPr>
        <w:spacing w:after="0" w:line="181" w:lineRule="exact"/>
        <w:rPr>
          <w:sz w:val="20"/>
          <w:szCs w:val="20"/>
          <w:color w:val="auto"/>
        </w:rPr>
      </w:pPr>
    </w:p>
    <w:p>
      <w:pPr>
        <w:jc w:val="both"/>
        <w:ind w:left="2460" w:right="199" w:hanging="654"/>
        <w:spacing w:after="0" w:line="263" w:lineRule="auto"/>
        <w:tabs>
          <w:tab w:leader="none" w:pos="2406" w:val="left"/>
        </w:tabs>
        <w:numPr>
          <w:ilvl w:val="0"/>
          <w:numId w:val="2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Government Requests</w:t>
      </w:r>
      <w:r>
        <w:rPr>
          <w:rFonts w:ascii="Times New Roman" w:cs="Times New Roman" w:eastAsia="Times New Roman" w:hAnsi="Times New Roman"/>
          <w:sz w:val="21"/>
          <w:szCs w:val="21"/>
          <w:color w:val="auto"/>
        </w:rPr>
        <w:t>. In the event that any Amazon Party or Affirm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receives a written request for information from any audit or investigation relating to this Agreement or the Program from a Governmental Authority (a “</w:t>
      </w:r>
      <w:r>
        <w:rPr>
          <w:rFonts w:ascii="Times New Roman" w:cs="Times New Roman" w:eastAsia="Times New Roman" w:hAnsi="Times New Roman"/>
          <w:sz w:val="21"/>
          <w:szCs w:val="21"/>
          <w:b w:val="1"/>
          <w:bCs w:val="1"/>
          <w:color w:val="auto"/>
        </w:rPr>
        <w:t>Government Request</w:t>
      </w:r>
      <w:r>
        <w:rPr>
          <w:rFonts w:ascii="Times New Roman" w:cs="Times New Roman" w:eastAsia="Times New Roman" w:hAnsi="Times New Roman"/>
          <w:sz w:val="21"/>
          <w:szCs w:val="21"/>
          <w:color w:val="auto"/>
        </w:rPr>
        <w:t>”), then, subject to Applicable Law, such Party will provide written notice thereof (with a copy of such Government Request) to the other Party within 30 days of receipt (unless the timeline set by the Governmental Authority to respond is shorter, subject to then promptly notifying the other Party on a shorter timeline) and may request reasonable assistance from the other Party. Such other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9019"/>
          </w:cols>
          <w:pgMar w:left="1440" w:top="1161" w:right="1440" w:bottom="1440" w:gutter="0" w:footer="0" w:header="0"/>
        </w:sectPr>
      </w:pPr>
    </w:p>
    <w:bookmarkStart w:id="242" w:name="page243"/>
    <w:bookmarkEnd w:id="242"/>
    <w:p>
      <w:pPr>
        <w:ind w:left="2460" w:right="199"/>
        <w:spacing w:after="0" w:line="271" w:lineRule="auto"/>
        <w:rPr>
          <w:sz w:val="20"/>
          <w:szCs w:val="20"/>
          <w:color w:val="auto"/>
        </w:rPr>
      </w:pPr>
      <w:r>
        <w:rPr>
          <w:rFonts w:ascii="Times New Roman" w:cs="Times New Roman" w:eastAsia="Times New Roman" w:hAnsi="Times New Roman"/>
          <w:sz w:val="22"/>
          <w:szCs w:val="22"/>
          <w:color w:val="auto"/>
        </w:rPr>
        <w:t>Party will consider such request in good faith and may elect, in its sole discretion, whether to provide such assistance.</w:t>
      </w:r>
    </w:p>
    <w:p>
      <w:pPr>
        <w:spacing w:after="0" w:line="154" w:lineRule="exact"/>
        <w:rPr>
          <w:sz w:val="20"/>
          <w:szCs w:val="20"/>
          <w:color w:val="auto"/>
        </w:rPr>
      </w:pPr>
    </w:p>
    <w:p>
      <w:pPr>
        <w:jc w:val="both"/>
        <w:ind w:left="2460" w:right="199" w:hanging="654"/>
        <w:spacing w:after="0" w:line="249" w:lineRule="auto"/>
        <w:tabs>
          <w:tab w:leader="none" w:pos="2503"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Confidentiality and Expense</w:t>
      </w:r>
      <w:r>
        <w:rPr>
          <w:rFonts w:ascii="Times New Roman" w:cs="Times New Roman" w:eastAsia="Times New Roman" w:hAnsi="Times New Roman"/>
          <w:sz w:val="22"/>
          <w:szCs w:val="22"/>
          <w:color w:val="auto"/>
        </w:rPr>
        <w:t>. Except as otherwise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all audited information and data that is not Confidential Information of Amazon or its Affiliates will be treated as Confidential Information of Affirm. Each audit in connection with this Article 13 (</w:t>
      </w:r>
      <w:r>
        <w:rPr>
          <w:rFonts w:ascii="Times New Roman" w:cs="Times New Roman" w:eastAsia="Times New Roman" w:hAnsi="Times New Roman"/>
          <w:sz w:val="22"/>
          <w:szCs w:val="22"/>
          <w:i w:val="1"/>
          <w:iCs w:val="1"/>
          <w:color w:val="auto"/>
        </w:rPr>
        <w:t>Reports and Audits</w:t>
      </w:r>
      <w:r>
        <w:rPr>
          <w:rFonts w:ascii="Times New Roman" w:cs="Times New Roman" w:eastAsia="Times New Roman" w:hAnsi="Times New Roman"/>
          <w:sz w:val="22"/>
          <w:szCs w:val="22"/>
          <w:color w:val="auto"/>
        </w:rPr>
        <w:t>) will be at Amazon’s expense unless such audit discloses a material Affirm error or breach, in which event the expenses and adjustments for such audit will be paid by Affirm; it being understood that Amazon is not responsible for paying the cost associated with employees of Affirm in cooperating with or responding to any audit. This Section 13.2 will survive for a period of one (1) year after the termination or expiration of this Agreement.</w:t>
      </w:r>
    </w:p>
    <w:p>
      <w:pPr>
        <w:spacing w:after="0" w:line="191" w:lineRule="exact"/>
        <w:rPr>
          <w:sz w:val="20"/>
          <w:szCs w:val="20"/>
          <w:color w:val="auto"/>
        </w:rPr>
      </w:pPr>
    </w:p>
    <w:p>
      <w:pPr>
        <w:jc w:val="both"/>
        <w:ind w:left="1120" w:right="199"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13.3 </w:t>
      </w:r>
      <w:r>
        <w:rPr>
          <w:rFonts w:ascii="Times New Roman" w:cs="Times New Roman" w:eastAsia="Times New Roman" w:hAnsi="Times New Roman"/>
          <w:sz w:val="21"/>
          <w:szCs w:val="21"/>
          <w:b w:val="1"/>
          <w:bCs w:val="1"/>
          <w:color w:val="auto"/>
        </w:rPr>
        <w:t>Relevant Requirements Recordkeeping</w:t>
      </w:r>
      <w:r>
        <w:rPr>
          <w:rFonts w:ascii="Times New Roman" w:cs="Times New Roman" w:eastAsia="Times New Roman" w:hAnsi="Times New Roman"/>
          <w:sz w:val="21"/>
          <w:szCs w:val="21"/>
          <w:color w:val="auto"/>
        </w:rPr>
        <w:t>. Affirm will maintain 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accurate and complete books and records concerning any payments made to a government official or representative by Affirm in connection with this Agreement or the Program, including on behalf of the Amazon Parties. Such books and records will be subject to audit by Amazon Services pursuant to Section 13.2; provided that periodic assessments paid by Affirm to Governmental Authorities as a condition of maintaining its lending, brokering, and/or servicing licensees shall not be subject to audit by Amazon Services.</w:t>
      </w:r>
    </w:p>
    <w:p>
      <w:pPr>
        <w:spacing w:after="0" w:line="200" w:lineRule="exact"/>
        <w:rPr>
          <w:sz w:val="20"/>
          <w:szCs w:val="20"/>
          <w:color w:val="auto"/>
        </w:rPr>
      </w:pPr>
    </w:p>
    <w:p>
      <w:pPr>
        <w:spacing w:after="0" w:line="229" w:lineRule="exact"/>
        <w:rPr>
          <w:sz w:val="20"/>
          <w:szCs w:val="20"/>
          <w:color w:val="auto"/>
        </w:rPr>
      </w:pPr>
    </w:p>
    <w:p>
      <w:pPr>
        <w:ind w:left="960" w:hanging="451"/>
        <w:spacing w:after="0"/>
        <w:tabs>
          <w:tab w:leader="none" w:pos="960" w:val="left"/>
        </w:tabs>
        <w:numPr>
          <w:ilvl w:val="0"/>
          <w:numId w:val="2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INDEMNIFICATION.</w:t>
      </w:r>
    </w:p>
    <w:p>
      <w:pPr>
        <w:spacing w:after="0" w:line="233"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14.1 </w:t>
      </w:r>
      <w:r>
        <w:rPr>
          <w:rFonts w:ascii="Times New Roman" w:cs="Times New Roman" w:eastAsia="Times New Roman" w:hAnsi="Times New Roman"/>
          <w:sz w:val="21"/>
          <w:szCs w:val="21"/>
          <w:b w:val="1"/>
          <w:bCs w:val="1"/>
          <w:color w:val="auto"/>
        </w:rPr>
        <w:t>Affirm of Amazon</w:t>
      </w:r>
      <w:r>
        <w:rPr>
          <w:rFonts w:ascii="Times New Roman" w:cs="Times New Roman" w:eastAsia="Times New Roman" w:hAnsi="Times New Roman"/>
          <w:sz w:val="21"/>
          <w:szCs w:val="21"/>
          <w:color w:val="auto"/>
        </w:rPr>
        <w:t>. From and after the Effective Date, Affirm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defend and indemnify the Amazon Parties, their Affiliates, and their respective directors, officers, employees, representatives and other Personnel from and against any loss, damage, judgment, settlement, expense, interest, and any other liability (including reasonable attorneys’ fees and costs to the extent permitted by Applicable Law) related to or arising out of any third-party claim, lawsuit, or proceeding in connection with the Program (each, a “</w:t>
      </w:r>
      <w:r>
        <w:rPr>
          <w:rFonts w:ascii="Times New Roman" w:cs="Times New Roman" w:eastAsia="Times New Roman" w:hAnsi="Times New Roman"/>
          <w:sz w:val="21"/>
          <w:szCs w:val="21"/>
          <w:b w:val="1"/>
          <w:bCs w:val="1"/>
          <w:color w:val="auto"/>
        </w:rPr>
        <w:t>Claim</w:t>
      </w:r>
      <w:r>
        <w:rPr>
          <w:rFonts w:ascii="Times New Roman" w:cs="Times New Roman" w:eastAsia="Times New Roman" w:hAnsi="Times New Roman"/>
          <w:sz w:val="21"/>
          <w:szCs w:val="21"/>
          <w:color w:val="auto"/>
        </w:rPr>
        <w:t>”) to the extent such Claim arises out of, is based on, or results from:</w:t>
      </w:r>
    </w:p>
    <w:p>
      <w:pPr>
        <w:spacing w:after="0" w:line="200" w:lineRule="exact"/>
        <w:rPr>
          <w:sz w:val="20"/>
          <w:szCs w:val="20"/>
          <w:color w:val="auto"/>
        </w:rPr>
      </w:pPr>
    </w:p>
    <w:p>
      <w:pPr>
        <w:spacing w:after="0" w:line="219" w:lineRule="exact"/>
        <w:rPr>
          <w:sz w:val="20"/>
          <w:szCs w:val="20"/>
          <w:color w:val="auto"/>
        </w:rPr>
      </w:pPr>
    </w:p>
    <w:p>
      <w:pPr>
        <w:ind w:left="2460" w:right="199" w:hanging="654"/>
        <w:spacing w:after="0" w:line="258" w:lineRule="auto"/>
        <w:tabs>
          <w:tab w:leader="none" w:pos="2339"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Affirm’s or any of its Personnel’s gross negligence, willful misconduct or fraud;</w:t>
      </w:r>
    </w:p>
    <w:p>
      <w:pPr>
        <w:spacing w:after="0" w:line="171" w:lineRule="exact"/>
        <w:rPr>
          <w:rFonts w:ascii="Times New Roman" w:cs="Times New Roman" w:eastAsia="Times New Roman" w:hAnsi="Times New Roman"/>
          <w:sz w:val="20"/>
          <w:szCs w:val="20"/>
          <w:b w:val="1"/>
          <w:bCs w:val="1"/>
          <w:color w:val="auto"/>
        </w:rPr>
      </w:pPr>
    </w:p>
    <w:p>
      <w:pPr>
        <w:ind w:left="2460" w:right="199" w:hanging="654"/>
        <w:spacing w:after="0" w:line="257" w:lineRule="auto"/>
        <w:tabs>
          <w:tab w:leader="none" w:pos="2341"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Affirm’s or any of its Personnel’s failure to comply with Applicable Law with respect to its responsibilities under the Program, subject to Section 14.2(B);</w:t>
      </w:r>
    </w:p>
    <w:p>
      <w:pPr>
        <w:spacing w:after="0" w:line="159" w:lineRule="exact"/>
        <w:rPr>
          <w:rFonts w:ascii="Times New Roman" w:cs="Times New Roman" w:eastAsia="Times New Roman" w:hAnsi="Times New Roman"/>
          <w:sz w:val="20"/>
          <w:szCs w:val="20"/>
          <w:b w:val="1"/>
          <w:bCs w:val="1"/>
          <w:color w:val="auto"/>
        </w:rPr>
      </w:pPr>
    </w:p>
    <w:p>
      <w:pPr>
        <w:jc w:val="both"/>
        <w:ind w:left="2460" w:right="199" w:hanging="654"/>
        <w:spacing w:after="0" w:line="247" w:lineRule="auto"/>
        <w:tabs>
          <w:tab w:leader="none" w:pos="2420"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breach by Affirm, its Affiliates, or their respective Personnel of any representation or warranty made by Affirm in this Agreement or any material misrepresentation in or omission from any document, certificate or information furnished or to be furnished by Affirm in connection with this Agreement;</w:t>
      </w:r>
    </w:p>
    <w:p>
      <w:pPr>
        <w:spacing w:after="0" w:line="196" w:lineRule="exact"/>
        <w:rPr>
          <w:rFonts w:ascii="Times New Roman" w:cs="Times New Roman" w:eastAsia="Times New Roman" w:hAnsi="Times New Roman"/>
          <w:sz w:val="20"/>
          <w:szCs w:val="20"/>
          <w:b w:val="1"/>
          <w:bCs w:val="1"/>
          <w:color w:val="auto"/>
        </w:rPr>
      </w:pPr>
    </w:p>
    <w:p>
      <w:pPr>
        <w:ind w:left="2460" w:right="199" w:hanging="654"/>
        <w:spacing w:after="0" w:line="271" w:lineRule="auto"/>
        <w:tabs>
          <w:tab w:leader="none" w:pos="2352"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alleged or actual infringement or misappropriation of the Intellectual Property Rights of any third party or other violation of</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9019"/>
          </w:cols>
          <w:pgMar w:left="1440" w:top="1179" w:right="1440" w:bottom="1440" w:gutter="0" w:footer="0" w:header="0"/>
          <w:type w:val="continuous"/>
        </w:sectPr>
      </w:pPr>
    </w:p>
    <w:bookmarkStart w:id="243" w:name="page244"/>
    <w:bookmarkEnd w:id="243"/>
    <w:p>
      <w:pPr>
        <w:ind w:left="2460" w:right="880"/>
        <w:spacing w:after="0" w:line="271" w:lineRule="auto"/>
        <w:rPr>
          <w:sz w:val="20"/>
          <w:szCs w:val="20"/>
          <w:color w:val="auto"/>
        </w:rPr>
      </w:pPr>
      <w:r>
        <w:rPr>
          <w:rFonts w:ascii="Times New Roman" w:cs="Times New Roman" w:eastAsia="Times New Roman" w:hAnsi="Times New Roman"/>
          <w:sz w:val="22"/>
          <w:szCs w:val="22"/>
          <w:color w:val="auto"/>
        </w:rPr>
        <w:t>Applicable Law by any Affirm Trademarks, the Affirm Systems or Technology provided by Affirm;</w:t>
      </w:r>
    </w:p>
    <w:p>
      <w:pPr>
        <w:spacing w:after="0" w:line="158" w:lineRule="exact"/>
        <w:rPr>
          <w:sz w:val="20"/>
          <w:szCs w:val="20"/>
          <w:color w:val="auto"/>
        </w:rPr>
      </w:pPr>
    </w:p>
    <w:p>
      <w:pPr>
        <w:ind w:left="2460" w:right="880" w:hanging="654"/>
        <w:spacing w:after="0" w:line="284" w:lineRule="auto"/>
        <w:tabs>
          <w:tab w:leader="none" w:pos="2490"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 any applicant for Program Credit, Approved Customer or Amazon Customer;</w:t>
      </w:r>
    </w:p>
    <w:p>
      <w:pPr>
        <w:spacing w:after="0" w:line="143" w:lineRule="exact"/>
        <w:rPr>
          <w:rFonts w:ascii="Times New Roman" w:cs="Times New Roman" w:eastAsia="Times New Roman" w:hAnsi="Times New Roman"/>
          <w:sz w:val="20"/>
          <w:szCs w:val="20"/>
          <w:b w:val="1"/>
          <w:bCs w:val="1"/>
          <w:color w:val="auto"/>
        </w:rPr>
      </w:pPr>
    </w:p>
    <w:p>
      <w:pPr>
        <w:ind w:left="2460" w:right="880" w:hanging="654"/>
        <w:spacing w:after="0" w:line="271" w:lineRule="auto"/>
        <w:tabs>
          <w:tab w:leader="none" w:pos="2343"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Affirm’s [***] with respect to any Marketing Materials for the Program, the Program Application, or the Participating Sites;</w:t>
      </w:r>
    </w:p>
    <w:p>
      <w:pPr>
        <w:spacing w:after="0" w:line="171" w:lineRule="exact"/>
        <w:rPr>
          <w:rFonts w:ascii="Times New Roman" w:cs="Times New Roman" w:eastAsia="Times New Roman" w:hAnsi="Times New Roman"/>
          <w:sz w:val="20"/>
          <w:szCs w:val="20"/>
          <w:b w:val="1"/>
          <w:bCs w:val="1"/>
          <w:color w:val="auto"/>
        </w:rPr>
      </w:pPr>
    </w:p>
    <w:p>
      <w:pPr>
        <w:ind w:left="2280" w:hanging="475"/>
        <w:spacing w:after="0"/>
        <w:tabs>
          <w:tab w:leader="none" w:pos="2280"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Affirm’s material breach of any obligation set forth in this Agreement; or</w:t>
      </w:r>
    </w:p>
    <w:p>
      <w:pPr>
        <w:spacing w:after="0" w:line="246" w:lineRule="exact"/>
        <w:rPr>
          <w:rFonts w:ascii="Times New Roman" w:cs="Times New Roman" w:eastAsia="Times New Roman" w:hAnsi="Times New Roman"/>
          <w:sz w:val="20"/>
          <w:szCs w:val="20"/>
          <w:b w:val="1"/>
          <w:bCs w:val="1"/>
          <w:color w:val="auto"/>
        </w:rPr>
      </w:pPr>
    </w:p>
    <w:p>
      <w:pPr>
        <w:ind w:left="2280" w:hanging="475"/>
        <w:spacing w:after="0"/>
        <w:tabs>
          <w:tab w:leader="none" w:pos="2280"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 Installment Credit Agreement.</w:t>
      </w:r>
    </w:p>
    <w:p>
      <w:pPr>
        <w:spacing w:after="0" w:line="229" w:lineRule="exact"/>
        <w:rPr>
          <w:sz w:val="20"/>
          <w:szCs w:val="20"/>
          <w:color w:val="auto"/>
        </w:rPr>
      </w:pPr>
    </w:p>
    <w:p>
      <w:pPr>
        <w:jc w:val="both"/>
        <w:ind w:left="1120" w:right="880"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14.2 </w:t>
      </w:r>
      <w:r>
        <w:rPr>
          <w:rFonts w:ascii="Times New Roman" w:cs="Times New Roman" w:eastAsia="Times New Roman" w:hAnsi="Times New Roman"/>
          <w:sz w:val="21"/>
          <w:szCs w:val="21"/>
          <w:b w:val="1"/>
          <w:bCs w:val="1"/>
          <w:color w:val="auto"/>
        </w:rPr>
        <w:t>Amazon of Affirm</w:t>
      </w:r>
      <w:r>
        <w:rPr>
          <w:rFonts w:ascii="Times New Roman" w:cs="Times New Roman" w:eastAsia="Times New Roman" w:hAnsi="Times New Roman"/>
          <w:sz w:val="21"/>
          <w:szCs w:val="21"/>
          <w:color w:val="auto"/>
        </w:rPr>
        <w:t>. From and after the Effective Date, Amazon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Services will defend and indemnify Affirm, its Affiliates, and their respective directors, officers, employees, representatives and other Personnel from and against any loss, damage, judgment, settlement, expense, interest, and any other liability (including reasonable attorneys’ fees and costs to the extent permitted by Applicable Law) related to or arising out of any Claim, to the extent such Claim arises out of, is based on, or results from:</w:t>
      </w:r>
    </w:p>
    <w:p>
      <w:pPr>
        <w:spacing w:after="0" w:line="200" w:lineRule="exact"/>
        <w:rPr>
          <w:sz w:val="20"/>
          <w:szCs w:val="20"/>
          <w:color w:val="auto"/>
        </w:rPr>
      </w:pPr>
    </w:p>
    <w:p>
      <w:pPr>
        <w:spacing w:after="0" w:line="243" w:lineRule="exact"/>
        <w:rPr>
          <w:sz w:val="20"/>
          <w:szCs w:val="20"/>
          <w:color w:val="auto"/>
        </w:rPr>
      </w:pPr>
    </w:p>
    <w:p>
      <w:pPr>
        <w:ind w:left="2460" w:hanging="655"/>
        <w:spacing w:after="0" w:line="309" w:lineRule="auto"/>
        <w:tabs>
          <w:tab w:leader="none" w:pos="2285"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Amazon Party’s or any of its Personnel’s gross negligence, willful misconduct or fraud;</w:t>
      </w:r>
    </w:p>
    <w:p>
      <w:pPr>
        <w:spacing w:after="0" w:line="131" w:lineRule="exact"/>
        <w:rPr>
          <w:rFonts w:ascii="Times New Roman" w:cs="Times New Roman" w:eastAsia="Times New Roman" w:hAnsi="Times New Roman"/>
          <w:sz w:val="20"/>
          <w:szCs w:val="20"/>
          <w:b w:val="1"/>
          <w:bCs w:val="1"/>
          <w:color w:val="auto"/>
        </w:rPr>
      </w:pPr>
    </w:p>
    <w:p>
      <w:pPr>
        <w:jc w:val="both"/>
        <w:ind w:left="2460" w:right="880" w:hanging="654"/>
        <w:spacing w:after="0" w:line="256" w:lineRule="auto"/>
        <w:tabs>
          <w:tab w:leader="none" w:pos="2436"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Amazon Party’s or any of its Personnel’s failure to comply with Applicable Law with respect to its responsibilities under the Program, including where any Amazon Party fails to comply with applicable state loan brokering or servicing regulations;</w:t>
      </w:r>
    </w:p>
    <w:p>
      <w:pPr>
        <w:spacing w:after="0" w:line="176" w:lineRule="exact"/>
        <w:rPr>
          <w:rFonts w:ascii="Times New Roman" w:cs="Times New Roman" w:eastAsia="Times New Roman" w:hAnsi="Times New Roman"/>
          <w:sz w:val="20"/>
          <w:szCs w:val="20"/>
          <w:b w:val="1"/>
          <w:bCs w:val="1"/>
          <w:color w:val="auto"/>
        </w:rPr>
      </w:pPr>
    </w:p>
    <w:p>
      <w:pPr>
        <w:ind w:left="2320" w:hanging="514"/>
        <w:spacing w:after="0"/>
        <w:tabs>
          <w:tab w:leader="none" w:pos="2320"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breach by any Amazon Party, its Affiliates, or their respective Personnel</w:t>
      </w:r>
    </w:p>
    <w:p>
      <w:pPr>
        <w:spacing w:after="0" w:line="29" w:lineRule="exact"/>
        <w:rPr>
          <w:sz w:val="20"/>
          <w:szCs w:val="20"/>
          <w:color w:val="auto"/>
        </w:rPr>
      </w:pPr>
    </w:p>
    <w:p>
      <w:pPr>
        <w:jc w:val="both"/>
        <w:ind w:left="2460" w:right="880"/>
        <w:spacing w:after="0" w:line="248" w:lineRule="auto"/>
        <w:rPr>
          <w:sz w:val="20"/>
          <w:szCs w:val="20"/>
          <w:color w:val="auto"/>
        </w:rPr>
      </w:pPr>
      <w:r>
        <w:rPr>
          <w:rFonts w:ascii="Times New Roman" w:cs="Times New Roman" w:eastAsia="Times New Roman" w:hAnsi="Times New Roman"/>
          <w:sz w:val="22"/>
          <w:szCs w:val="22"/>
          <w:color w:val="auto"/>
        </w:rPr>
        <w:t>of any representation or warranty made by such Amazon Party in this Agreement or any material misrepresentation in or omission from any document, certificate or information furnished or to be furnished by such Amazon Party under this Agreement;</w:t>
      </w:r>
    </w:p>
    <w:p>
      <w:pPr>
        <w:spacing w:after="0" w:line="224" w:lineRule="exact"/>
        <w:rPr>
          <w:sz w:val="20"/>
          <w:szCs w:val="20"/>
          <w:color w:val="auto"/>
        </w:rPr>
      </w:pPr>
    </w:p>
    <w:p>
      <w:pPr>
        <w:ind w:left="2460" w:right="880" w:hanging="654"/>
        <w:spacing w:after="0" w:line="256" w:lineRule="auto"/>
        <w:tabs>
          <w:tab w:leader="none" w:pos="2352"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alleged or actual infringement or misappropriation of the Intellectual Property Rights of any third party or other violation of Applicable Law by any Amazon Trademark, or Technology provided by an Amazon Party;</w:t>
      </w:r>
    </w:p>
    <w:p>
      <w:pPr>
        <w:spacing w:after="0" w:line="176" w:lineRule="exact"/>
        <w:rPr>
          <w:rFonts w:ascii="Times New Roman" w:cs="Times New Roman" w:eastAsia="Times New Roman" w:hAnsi="Times New Roman"/>
          <w:sz w:val="20"/>
          <w:szCs w:val="20"/>
          <w:b w:val="1"/>
          <w:bCs w:val="1"/>
          <w:color w:val="auto"/>
        </w:rPr>
      </w:pPr>
    </w:p>
    <w:p>
      <w:pPr>
        <w:jc w:val="both"/>
        <w:ind w:left="2460" w:right="880" w:hanging="654"/>
        <w:spacing w:after="0" w:line="263" w:lineRule="auto"/>
        <w:tabs>
          <w:tab w:leader="none" w:pos="2409"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actual breach of security by any Amazon Party or its Affiliates or agents and the resulting disclosure of any personally identifiable Affirm Customer Information; or</w:t>
      </w:r>
    </w:p>
    <w:p>
      <w:pPr>
        <w:spacing w:after="0" w:line="167" w:lineRule="exact"/>
        <w:rPr>
          <w:rFonts w:ascii="Times New Roman" w:cs="Times New Roman" w:eastAsia="Times New Roman" w:hAnsi="Times New Roman"/>
          <w:sz w:val="20"/>
          <w:szCs w:val="20"/>
          <w:b w:val="1"/>
          <w:bCs w:val="1"/>
          <w:color w:val="auto"/>
        </w:rPr>
      </w:pPr>
    </w:p>
    <w:p>
      <w:pPr>
        <w:ind w:left="2460" w:right="880" w:hanging="654"/>
        <w:spacing w:after="0" w:line="284" w:lineRule="auto"/>
        <w:tabs>
          <w:tab w:leader="none" w:pos="2384"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Amazon Party’s material breach of any obligation set forth in this Agreement.</w:t>
      </w:r>
    </w:p>
    <w:p>
      <w:pPr>
        <w:spacing w:after="0" w:line="140" w:lineRule="exact"/>
        <w:rPr>
          <w:sz w:val="20"/>
          <w:szCs w:val="20"/>
          <w:color w:val="auto"/>
        </w:rPr>
      </w:pPr>
    </w:p>
    <w:p>
      <w:pPr>
        <w:jc w:val="both"/>
        <w:ind w:left="1120" w:right="880" w:firstLine="648"/>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14.3 </w:t>
      </w:r>
      <w:r>
        <w:rPr>
          <w:rFonts w:ascii="Times New Roman" w:cs="Times New Roman" w:eastAsia="Times New Roman" w:hAnsi="Times New Roman"/>
          <w:sz w:val="21"/>
          <w:szCs w:val="21"/>
          <w:b w:val="1"/>
          <w:bCs w:val="1"/>
          <w:color w:val="auto"/>
        </w:rPr>
        <w:t>Conditions of Claims</w:t>
      </w:r>
      <w:r>
        <w:rPr>
          <w:rFonts w:ascii="Times New Roman" w:cs="Times New Roman" w:eastAsia="Times New Roman" w:hAnsi="Times New Roman"/>
          <w:sz w:val="21"/>
          <w:szCs w:val="21"/>
          <w:color w:val="auto"/>
        </w:rPr>
        <w:t>. In the event of an indemnified Claim,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indemnified Party will: (A) provide to the indemnifying Party written notice of any such Claim promptly after the indemnified Party’s receipt of clear and express notice of such Claim; (B) grant to the indemnifying Party the</w:t>
      </w:r>
    </w:p>
    <w:p>
      <w:pPr>
        <w:sectPr>
          <w:pgSz w:w="11900" w:h="16838" w:orient="portrait"/>
          <w:cols w:equalWidth="0" w:num="1">
            <w:col w:w="9700"/>
          </w:cols>
          <w:pgMar w:left="1440" w:top="1179" w:right="759" w:bottom="1440" w:gutter="0" w:footer="0" w:header="0"/>
        </w:sectPr>
      </w:pPr>
    </w:p>
    <w:p>
      <w:pPr>
        <w:spacing w:after="0" w:line="3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9700"/>
          </w:cols>
          <w:pgMar w:left="1440" w:top="1179" w:right="759" w:bottom="1440" w:gutter="0" w:footer="0" w:header="0"/>
          <w:type w:val="continuous"/>
        </w:sectPr>
      </w:pPr>
    </w:p>
    <w:bookmarkStart w:id="244" w:name="page245"/>
    <w:bookmarkEnd w:id="244"/>
    <w:p>
      <w:pPr>
        <w:jc w:val="both"/>
        <w:ind w:left="1120" w:right="199"/>
        <w:spacing w:after="0" w:line="260" w:lineRule="auto"/>
        <w:rPr>
          <w:sz w:val="20"/>
          <w:szCs w:val="20"/>
          <w:color w:val="auto"/>
        </w:rPr>
      </w:pPr>
      <w:r>
        <w:rPr>
          <w:rFonts w:ascii="Times New Roman" w:cs="Times New Roman" w:eastAsia="Times New Roman" w:hAnsi="Times New Roman"/>
          <w:sz w:val="21"/>
          <w:szCs w:val="21"/>
          <w:color w:val="auto"/>
        </w:rPr>
        <w:t xml:space="preserve">exclusive right to make any decision to defend any such Claim,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indemnifying Party will not settle or compromise such Claim, except with Prior Approval of the indemnified Party; (C) not settle or compromise such Claim, except with Prior Approval of the indemnifying Party; and (D) give, at the indemnifying Party’s expense, such assistance and information as the indemnifying Party may reasonably require to settle or oppose such Claims. Notwithstanding the foregoing, the indemnified Party may participate in and/or, upon written notice to the indemnifying Party, elect to control the defense or settlement of the Claim at its own expense and with its own choice of counsel. The indemnified Party’s failure to provide notice pursuant to clause</w:t>
      </w:r>
    </w:p>
    <w:p>
      <w:pPr>
        <w:spacing w:after="0" w:line="5" w:lineRule="exact"/>
        <w:rPr>
          <w:sz w:val="20"/>
          <w:szCs w:val="20"/>
          <w:color w:val="auto"/>
        </w:rPr>
      </w:pPr>
    </w:p>
    <w:p>
      <w:pPr>
        <w:jc w:val="both"/>
        <w:ind w:left="1120" w:right="199" w:firstLine="5"/>
        <w:spacing w:after="0" w:line="249" w:lineRule="auto"/>
        <w:tabs>
          <w:tab w:leader="none" w:pos="1486"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14.3 will not limit or discharge the indemnifying Party’s obligations pursuant to this Article 14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except to the extent that the indemnified Party’s failure to give such notice prevents the indemnifying Party from defending an indemnified Claim.</w:t>
      </w:r>
    </w:p>
    <w:p>
      <w:pPr>
        <w:spacing w:after="0" w:line="177" w:lineRule="exact"/>
        <w:rPr>
          <w:rFonts w:ascii="Times New Roman" w:cs="Times New Roman" w:eastAsia="Times New Roman" w:hAnsi="Times New Roman"/>
          <w:sz w:val="22"/>
          <w:szCs w:val="22"/>
          <w:color w:val="auto"/>
        </w:rPr>
      </w:pPr>
    </w:p>
    <w:p>
      <w:pPr>
        <w:ind w:left="960" w:hanging="451"/>
        <w:spacing w:after="0"/>
        <w:tabs>
          <w:tab w:leader="none" w:pos="96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7"/>
          <w:szCs w:val="17"/>
          <w:b w:val="1"/>
          <w:bCs w:val="1"/>
          <w:color w:val="auto"/>
        </w:rPr>
        <w:t>LIMITATION OF LIABILITY</w:t>
      </w:r>
      <w:r>
        <w:rPr>
          <w:rFonts w:ascii="Times New Roman" w:cs="Times New Roman" w:eastAsia="Times New Roman" w:hAnsi="Times New Roman"/>
          <w:sz w:val="21"/>
          <w:szCs w:val="21"/>
          <w:b w:val="1"/>
          <w:bCs w:val="1"/>
          <w:color w:val="auto"/>
        </w:rPr>
        <w:t>.</w:t>
      </w:r>
    </w:p>
    <w:p>
      <w:pPr>
        <w:spacing w:after="0" w:line="289" w:lineRule="exact"/>
        <w:rPr>
          <w:sz w:val="20"/>
          <w:szCs w:val="20"/>
          <w:color w:val="auto"/>
        </w:rPr>
      </w:pPr>
    </w:p>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15.1 </w:t>
      </w:r>
      <w:r>
        <w:rPr>
          <w:rFonts w:ascii="Times New Roman" w:cs="Times New Roman" w:eastAsia="Times New Roman" w:hAnsi="Times New Roman"/>
          <w:sz w:val="21"/>
          <w:szCs w:val="21"/>
          <w:color w:val="auto"/>
        </w:rPr>
        <w:t>In no event will (a) any Party be liable for any loss of data, loss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profits, cost of cover or other special, incidental, consequential, indirect, punitive, exemplary or reliance damages arising from or in relation to this Agreement, however caused and regardless of theory of liability and (b) any Party's liability for direct damages under this Agreement (except for amounts due to any Party under Section 6.10, Section 6.11, Article 7 (Financial Terms), </w:t>
      </w:r>
      <w:r>
        <w:rPr>
          <w:rFonts w:ascii="Times New Roman" w:cs="Times New Roman" w:eastAsia="Times New Roman" w:hAnsi="Times New Roman"/>
          <w:sz w:val="21"/>
          <w:szCs w:val="21"/>
          <w:u w:val="single" w:color="auto"/>
          <w:color w:val="auto"/>
        </w:rPr>
        <w:t>Schedule 7.1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Schedule 7.3</w:t>
      </w:r>
      <w:r>
        <w:rPr>
          <w:rFonts w:ascii="Times New Roman" w:cs="Times New Roman" w:eastAsia="Times New Roman" w:hAnsi="Times New Roman"/>
          <w:sz w:val="21"/>
          <w:szCs w:val="21"/>
          <w:color w:val="auto"/>
        </w:rPr>
        <w:t>) exceed the amount of five million dollars ($5,000,000) under this Agreement for the twelve-month period preceding the claim.</w:t>
      </w:r>
    </w:p>
    <w:p>
      <w:pPr>
        <w:spacing w:after="0" w:line="169" w:lineRule="exact"/>
        <w:rPr>
          <w:sz w:val="20"/>
          <w:szCs w:val="20"/>
          <w:color w:val="auto"/>
        </w:rPr>
      </w:pPr>
    </w:p>
    <w:p>
      <w:pPr>
        <w:ind w:left="960" w:hanging="451"/>
        <w:spacing w:after="0"/>
        <w:tabs>
          <w:tab w:leader="none" w:pos="960" w:val="left"/>
        </w:tabs>
        <w:numPr>
          <w:ilvl w:val="0"/>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TERM AND TERMINATION.</w:t>
      </w:r>
    </w:p>
    <w:p>
      <w:pPr>
        <w:spacing w:after="0" w:line="233" w:lineRule="exact"/>
        <w:rPr>
          <w:sz w:val="20"/>
          <w:szCs w:val="20"/>
          <w:color w:val="auto"/>
        </w:rPr>
      </w:pPr>
    </w:p>
    <w:p>
      <w:pPr>
        <w:jc w:val="both"/>
        <w:ind w:left="1120" w:right="199" w:firstLine="648"/>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16.1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The term of this Agreement will commence on the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and continue until the fifth year anniversary of the Effective Date (the “</w:t>
      </w:r>
      <w:r>
        <w:rPr>
          <w:rFonts w:ascii="Times New Roman" w:cs="Times New Roman" w:eastAsia="Times New Roman" w:hAnsi="Times New Roman"/>
          <w:sz w:val="21"/>
          <w:szCs w:val="21"/>
          <w:b w:val="1"/>
          <w:bCs w:val="1"/>
          <w:color w:val="auto"/>
        </w:rPr>
        <w:t>Initial Term</w:t>
      </w:r>
      <w:r>
        <w:rPr>
          <w:rFonts w:ascii="Times New Roman" w:cs="Times New Roman" w:eastAsia="Times New Roman" w:hAnsi="Times New Roman"/>
          <w:sz w:val="21"/>
          <w:szCs w:val="21"/>
          <w:color w:val="auto"/>
        </w:rPr>
        <w:t>”), unless otherwise terminated in accordance with this Agreement. Thereafter, this Agreement will be automatically renewed for successive one-year terms (each, an “</w:t>
      </w:r>
      <w:r>
        <w:rPr>
          <w:rFonts w:ascii="Times New Roman" w:cs="Times New Roman" w:eastAsia="Times New Roman" w:hAnsi="Times New Roman"/>
          <w:sz w:val="21"/>
          <w:szCs w:val="21"/>
          <w:b w:val="1"/>
          <w:bCs w:val="1"/>
          <w:color w:val="auto"/>
        </w:rPr>
        <w:t>Extension Term</w:t>
      </w:r>
      <w:r>
        <w:rPr>
          <w:rFonts w:ascii="Times New Roman" w:cs="Times New Roman" w:eastAsia="Times New Roman" w:hAnsi="Times New Roman"/>
          <w:sz w:val="21"/>
          <w:szCs w:val="21"/>
          <w:color w:val="auto"/>
        </w:rPr>
        <w:t>”) unless either of Amazon Services or Affirm will have delivered written notice to the other Party of its election to terminate this Agreement at least ninety</w:t>
      </w:r>
    </w:p>
    <w:p>
      <w:pPr>
        <w:jc w:val="both"/>
        <w:ind w:left="1120" w:right="199" w:firstLine="5"/>
        <w:spacing w:after="0" w:line="263" w:lineRule="auto"/>
        <w:tabs>
          <w:tab w:leader="none" w:pos="156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the end of the Initial Term or the Extension Term, as applicable. If either Party gives such notice of its election to terminate, this Agreement will remain in full force and effect until the end of the Initial Term or Extension Term, as applicable.</w:t>
      </w:r>
    </w:p>
    <w:p>
      <w:pPr>
        <w:spacing w:after="0" w:line="164" w:lineRule="exact"/>
        <w:rPr>
          <w:sz w:val="20"/>
          <w:szCs w:val="20"/>
          <w:color w:val="auto"/>
        </w:rPr>
      </w:pPr>
    </w:p>
    <w:p>
      <w:pPr>
        <w:jc w:val="both"/>
        <w:ind w:left="1120" w:right="199" w:firstLine="648"/>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16.2 </w:t>
      </w:r>
      <w:r>
        <w:rPr>
          <w:rFonts w:ascii="Times New Roman" w:cs="Times New Roman" w:eastAsia="Times New Roman" w:hAnsi="Times New Roman"/>
          <w:sz w:val="21"/>
          <w:szCs w:val="21"/>
          <w:b w:val="1"/>
          <w:bCs w:val="1"/>
          <w:color w:val="auto"/>
        </w:rPr>
        <w:t>Wind-up and Conversion.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Parties will cooperate for the orderly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 xml:space="preserve">wind-up of the Program following termination or expiration of the Agreement. Subject to Section 17.1, Affirm will not issue Program Credit following termination or expiration of the Agreement but, at its sole expense, will continue to service all Program Credits that were originated prior to such time until the end of the term of the Installment Credit Agreements for such Program Credits. Other than as set forth in </w:t>
      </w:r>
      <w:r>
        <w:rPr>
          <w:rFonts w:ascii="Times New Roman" w:cs="Times New Roman" w:eastAsia="Times New Roman" w:hAnsi="Times New Roman"/>
          <w:sz w:val="21"/>
          <w:szCs w:val="21"/>
          <w:u w:val="single" w:color="auto"/>
          <w:color w:val="auto"/>
        </w:rPr>
        <w:t>Schedule 5.3</w:t>
      </w:r>
      <w:r>
        <w:rPr>
          <w:rFonts w:ascii="Times New Roman" w:cs="Times New Roman" w:eastAsia="Times New Roman" w:hAnsi="Times New Roman"/>
          <w:sz w:val="21"/>
          <w:szCs w:val="21"/>
          <w:color w:val="auto"/>
        </w:rPr>
        <w:t>, Affirm will have no right to directly or indirectly target or solicit any Approved Customer or convert any Program Credit to any other Installment Credit Financing Program provided by Affirm, Bank, or any of their respective Affiliates, for its own benefit or for the</w:t>
      </w:r>
    </w:p>
    <w:p>
      <w:pPr>
        <w:sectPr>
          <w:pgSz w:w="11900" w:h="16838" w:orient="portrait"/>
          <w:cols w:equalWidth="0" w:num="1">
            <w:col w:w="9019"/>
          </w:cols>
          <w:pgMar w:left="1440" w:top="11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9019"/>
          </w:cols>
          <w:pgMar w:left="1440" w:top="1165" w:right="1440" w:bottom="1440" w:gutter="0" w:footer="0" w:header="0"/>
          <w:type w:val="continuous"/>
        </w:sectPr>
      </w:pPr>
    </w:p>
    <w:bookmarkStart w:id="245" w:name="page246"/>
    <w:bookmarkEnd w:id="245"/>
    <w:p>
      <w:pPr>
        <w:jc w:val="both"/>
        <w:ind w:left="1120" w:right="199"/>
        <w:spacing w:after="0" w:line="309" w:lineRule="auto"/>
        <w:rPr>
          <w:sz w:val="20"/>
          <w:szCs w:val="20"/>
          <w:color w:val="auto"/>
        </w:rPr>
      </w:pPr>
      <w:r>
        <w:rPr>
          <w:rFonts w:ascii="Times New Roman" w:cs="Times New Roman" w:eastAsia="Times New Roman" w:hAnsi="Times New Roman"/>
          <w:sz w:val="21"/>
          <w:szCs w:val="21"/>
          <w:color w:val="auto"/>
        </w:rPr>
        <w:t>benefit of any third party. Affirm and Amazon will coordinate with each other regarding any communications to Approved Customers regarding the termination of the Program.</w:t>
      </w:r>
    </w:p>
    <w:p>
      <w:pPr>
        <w:spacing w:after="0" w:line="117" w:lineRule="exact"/>
        <w:rPr>
          <w:sz w:val="20"/>
          <w:szCs w:val="20"/>
          <w:color w:val="auto"/>
        </w:rPr>
      </w:pPr>
    </w:p>
    <w:p>
      <w:pPr>
        <w:jc w:val="both"/>
        <w:ind w:left="1120" w:right="199" w:firstLine="648"/>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16.3 </w:t>
      </w:r>
      <w:r>
        <w:rPr>
          <w:rFonts w:ascii="Times New Roman" w:cs="Times New Roman" w:eastAsia="Times New Roman" w:hAnsi="Times New Roman"/>
          <w:sz w:val="21"/>
          <w:szCs w:val="21"/>
          <w:b w:val="1"/>
          <w:bCs w:val="1"/>
          <w:color w:val="auto"/>
        </w:rPr>
        <w:t>Amazon Termination Rights</w:t>
      </w:r>
      <w:r>
        <w:rPr>
          <w:rFonts w:ascii="Times New Roman" w:cs="Times New Roman" w:eastAsia="Times New Roman" w:hAnsi="Times New Roman"/>
          <w:sz w:val="21"/>
          <w:szCs w:val="21"/>
          <w:color w:val="auto"/>
        </w:rPr>
        <w:t>. Amazon Services may terminate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Agreement immediately upon written notice to Affirm (after first giving effect to the time and cure periods, if any, stated in the applicable clauses below) if any of the failures or circumstances set forth in this Section 16.3 occur on the part of, or with respect to, Affirm.</w:t>
      </w:r>
    </w:p>
    <w:p>
      <w:pPr>
        <w:spacing w:after="0" w:line="200" w:lineRule="exact"/>
        <w:rPr>
          <w:sz w:val="20"/>
          <w:szCs w:val="20"/>
          <w:color w:val="auto"/>
        </w:rPr>
      </w:pPr>
    </w:p>
    <w:p>
      <w:pPr>
        <w:spacing w:after="0" w:line="221" w:lineRule="exact"/>
        <w:rPr>
          <w:sz w:val="20"/>
          <w:szCs w:val="20"/>
          <w:color w:val="auto"/>
        </w:rPr>
      </w:pPr>
    </w:p>
    <w:p>
      <w:pPr>
        <w:ind w:left="2460" w:right="199" w:hanging="654"/>
        <w:spacing w:after="0" w:line="254" w:lineRule="auto"/>
        <w:tabs>
          <w:tab w:leader="none" w:pos="2312"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Changes to Key Credit Terms. </w:t>
      </w:r>
      <w:r>
        <w:rPr>
          <w:rFonts w:ascii="Times New Roman" w:cs="Times New Roman" w:eastAsia="Times New Roman" w:hAnsi="Times New Roman"/>
          <w:sz w:val="22"/>
          <w:szCs w:val="22"/>
          <w:color w:val="auto"/>
        </w:rPr>
        <w:t>If Affirm changes or introduces new Key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Credit Terms without obtaining Amazon Services’ approval or agreement, or fails to make required changes to Key Credit Terms or other program features in accordance with Section 2.3(C) and Section 4 of </w:t>
      </w:r>
      <w:r>
        <w:rPr>
          <w:rFonts w:ascii="Times New Roman" w:cs="Times New Roman" w:eastAsia="Times New Roman" w:hAnsi="Times New Roman"/>
          <w:sz w:val="22"/>
          <w:szCs w:val="22"/>
          <w:u w:val="single" w:color="auto"/>
          <w:color w:val="auto"/>
        </w:rPr>
        <w:t>Schedule 2.3(A)(1)</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0"/>
          <w:szCs w:val="20"/>
          <w:b w:val="1"/>
          <w:bCs w:val="1"/>
          <w:color w:val="auto"/>
        </w:rPr>
      </w:pPr>
    </w:p>
    <w:p>
      <w:pPr>
        <w:ind w:left="2260" w:hanging="454"/>
        <w:spacing w:after="0"/>
        <w:tabs>
          <w:tab w:leader="none" w:pos="226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0"/>
          <w:szCs w:val="20"/>
          <w:b w:val="1"/>
          <w:bCs w:val="1"/>
          <w:color w:val="auto"/>
        </w:rPr>
      </w:pPr>
    </w:p>
    <w:p>
      <w:pPr>
        <w:ind w:left="2460" w:right="199" w:hanging="654"/>
        <w:spacing w:after="0" w:line="283" w:lineRule="auto"/>
        <w:tabs>
          <w:tab w:leader="none" w:pos="2379" w:val="left"/>
        </w:tabs>
        <w:numPr>
          <w:ilvl w:val="0"/>
          <w:numId w:val="2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Material Adverse Change. </w:t>
      </w:r>
      <w:r>
        <w:rPr>
          <w:rFonts w:ascii="Times New Roman" w:cs="Times New Roman" w:eastAsia="Times New Roman" w:hAnsi="Times New Roman"/>
          <w:sz w:val="21"/>
          <w:szCs w:val="21"/>
          <w:color w:val="auto"/>
        </w:rPr>
        <w:t>If there is a material adverse change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financial condition of Affirm and its Affiliates, taken as a whole, that has a material impact on Affirm’s ability to perform under this Agreement.</w:t>
      </w:r>
    </w:p>
    <w:p>
      <w:pPr>
        <w:spacing w:after="0" w:line="144" w:lineRule="exact"/>
        <w:rPr>
          <w:rFonts w:ascii="Times New Roman" w:cs="Times New Roman" w:eastAsia="Times New Roman" w:hAnsi="Times New Roman"/>
          <w:sz w:val="19"/>
          <w:szCs w:val="19"/>
          <w:b w:val="1"/>
          <w:bCs w:val="1"/>
          <w:color w:val="auto"/>
        </w:rPr>
      </w:pPr>
    </w:p>
    <w:p>
      <w:pPr>
        <w:ind w:left="2460" w:right="199" w:hanging="654"/>
        <w:spacing w:after="0" w:line="250" w:lineRule="auto"/>
        <w:tabs>
          <w:tab w:leader="none" w:pos="2325"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Non-Payment</w:t>
      </w:r>
      <w:r>
        <w:rPr>
          <w:rFonts w:ascii="Times New Roman" w:cs="Times New Roman" w:eastAsia="Times New Roman" w:hAnsi="Times New Roman"/>
          <w:sz w:val="22"/>
          <w:szCs w:val="22"/>
          <w:color w:val="auto"/>
        </w:rPr>
        <w:t>. If Affirm fails to make any payment to any Amazon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under this Agreement (i) in the case of settlement payments due pursuant to Section 6.10, immediately upon such non-payment and (ii) in the case of all other payments due under this Agreement, within five (5) Business Days after receipt of written notice of non-payment from the applicable Amazon Party, if such non-payment has not been cured within such five (5) Business Day period.</w:t>
      </w:r>
    </w:p>
    <w:p>
      <w:pPr>
        <w:spacing w:after="0" w:line="193" w:lineRule="exact"/>
        <w:rPr>
          <w:rFonts w:ascii="Times New Roman" w:cs="Times New Roman" w:eastAsia="Times New Roman" w:hAnsi="Times New Roman"/>
          <w:sz w:val="20"/>
          <w:szCs w:val="20"/>
          <w:b w:val="1"/>
          <w:bCs w:val="1"/>
          <w:color w:val="auto"/>
        </w:rPr>
      </w:pPr>
    </w:p>
    <w:p>
      <w:pPr>
        <w:jc w:val="both"/>
        <w:ind w:left="2460" w:right="199" w:hanging="654"/>
        <w:spacing w:after="0" w:line="250" w:lineRule="auto"/>
        <w:tabs>
          <w:tab w:leader="none" w:pos="253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Material Breach</w:t>
      </w:r>
      <w:r>
        <w:rPr>
          <w:rFonts w:ascii="Times New Roman" w:cs="Times New Roman" w:eastAsia="Times New Roman" w:hAnsi="Times New Roman"/>
          <w:sz w:val="22"/>
          <w:szCs w:val="22"/>
          <w:color w:val="auto"/>
        </w:rPr>
        <w:t>. In the event of Affirm’s material breach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(which includes any breach by Affirm of a representation or warranty made by Affirm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such breach is a material breach of Applicable Law, a breach of this Agreement will not be considered material until Affirm (1) is given written notice of its breach by Amazon Services and (2) fails to cure that breach within 30 days of such written notice.</w:t>
      </w:r>
    </w:p>
    <w:p>
      <w:pPr>
        <w:spacing w:after="0" w:line="180" w:lineRule="exact"/>
        <w:rPr>
          <w:rFonts w:ascii="Times New Roman" w:cs="Times New Roman" w:eastAsia="Times New Roman" w:hAnsi="Times New Roman"/>
          <w:sz w:val="20"/>
          <w:szCs w:val="20"/>
          <w:b w:val="1"/>
          <w:bCs w:val="1"/>
          <w:color w:val="auto"/>
        </w:rPr>
      </w:pPr>
    </w:p>
    <w:p>
      <w:pPr>
        <w:ind w:left="2460" w:right="179" w:hanging="654"/>
        <w:spacing w:after="0" w:line="250" w:lineRule="auto"/>
        <w:tabs>
          <w:tab w:leader="none" w:pos="2316"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Insolvency</w:t>
      </w:r>
      <w:r>
        <w:rPr>
          <w:rFonts w:ascii="Times New Roman" w:cs="Times New Roman" w:eastAsia="Times New Roman" w:hAnsi="Times New Roman"/>
          <w:sz w:val="22"/>
          <w:szCs w:val="22"/>
          <w:color w:val="auto"/>
        </w:rPr>
        <w:t>. If Affirm or its direct or indirect holding company (1) files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voluntary or involuntary petition in bankruptcy, or files any pleading seeking any reorganization, liquidation, or dissolution under Applicable Law, or admits or fails to contest the material allegations of any such petition or pleading filed against it, in each case that is not dismissed within 60 days, (2) has an order for relief or a bankruptcy declaration entered against it in accordance with Applicable Law that is not stayed within 60 days, (3) is adjudicated insolvent under Applicable Law, (4) has a receiver or liquidator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9019"/>
          </w:cols>
          <w:pgMar w:left="1440" w:top="1165" w:right="1440" w:bottom="1440" w:gutter="0" w:footer="0" w:header="0"/>
        </w:sectPr>
      </w:pPr>
    </w:p>
    <w:bookmarkStart w:id="246" w:name="page247"/>
    <w:bookmarkEnd w:id="246"/>
    <w:p>
      <w:pPr>
        <w:jc w:val="both"/>
        <w:ind w:left="2460" w:right="179"/>
        <w:spacing w:after="0" w:line="250" w:lineRule="auto"/>
        <w:rPr>
          <w:sz w:val="20"/>
          <w:szCs w:val="20"/>
          <w:color w:val="auto"/>
        </w:rPr>
      </w:pPr>
      <w:r>
        <w:rPr>
          <w:rFonts w:ascii="Times New Roman" w:cs="Times New Roman" w:eastAsia="Times New Roman" w:hAnsi="Times New Roman"/>
          <w:sz w:val="22"/>
          <w:szCs w:val="22"/>
          <w:color w:val="auto"/>
        </w:rPr>
        <w:t>appointed with respect to a substantial part of its assets, (5) has the claims of its creditors abated under Applicable Law, (6) makes an assignment for the benefit of creditors or any similar disposition of assets, or (7) ceases to conduct its normal and customary business operations.</w:t>
      </w:r>
    </w:p>
    <w:p>
      <w:pPr>
        <w:spacing w:after="0" w:line="194" w:lineRule="exact"/>
        <w:rPr>
          <w:sz w:val="20"/>
          <w:szCs w:val="20"/>
          <w:color w:val="auto"/>
        </w:rPr>
      </w:pPr>
    </w:p>
    <w:p>
      <w:pPr>
        <w:ind w:left="2280" w:hanging="474"/>
        <w:spacing w:after="0"/>
        <w:tabs>
          <w:tab w:leader="none" w:pos="2280"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0"/>
          <w:szCs w:val="20"/>
          <w:b w:val="1"/>
          <w:bCs w:val="1"/>
          <w:color w:val="auto"/>
        </w:rPr>
      </w:pPr>
    </w:p>
    <w:p>
      <w:pPr>
        <w:ind w:left="2280" w:hanging="474"/>
        <w:spacing w:after="0"/>
        <w:tabs>
          <w:tab w:leader="none" w:pos="2280" w:val="left"/>
        </w:tabs>
        <w:numPr>
          <w:ilvl w:val="0"/>
          <w:numId w:val="2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If there is a Change of Control with respect to Affirm.</w:t>
      </w:r>
    </w:p>
    <w:p>
      <w:pPr>
        <w:spacing w:after="0" w:line="231" w:lineRule="exact"/>
        <w:rPr>
          <w:rFonts w:ascii="Times New Roman" w:cs="Times New Roman" w:eastAsia="Times New Roman" w:hAnsi="Times New Roman"/>
          <w:sz w:val="19"/>
          <w:szCs w:val="19"/>
          <w:b w:val="1"/>
          <w:bCs w:val="1"/>
          <w:color w:val="auto"/>
        </w:rPr>
      </w:pPr>
    </w:p>
    <w:p>
      <w:pPr>
        <w:ind w:left="2460" w:right="199" w:hanging="654"/>
        <w:spacing w:after="0" w:line="275" w:lineRule="auto"/>
        <w:tabs>
          <w:tab w:leader="none" w:pos="2313"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Breach of the Relevant Requirements</w:t>
      </w:r>
      <w:r>
        <w:rPr>
          <w:rFonts w:ascii="Times New Roman" w:cs="Times New Roman" w:eastAsia="Times New Roman" w:hAnsi="Times New Roman"/>
          <w:sz w:val="22"/>
          <w:szCs w:val="22"/>
          <w:color w:val="auto"/>
        </w:rPr>
        <w:t>. If Affirm breaches the Relevant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w:t>
      </w:r>
    </w:p>
    <w:p>
      <w:pPr>
        <w:spacing w:after="0" w:line="166" w:lineRule="exact"/>
        <w:rPr>
          <w:rFonts w:ascii="Times New Roman" w:cs="Times New Roman" w:eastAsia="Times New Roman" w:hAnsi="Times New Roman"/>
          <w:sz w:val="20"/>
          <w:szCs w:val="20"/>
          <w:b w:val="1"/>
          <w:bCs w:val="1"/>
          <w:color w:val="auto"/>
        </w:rPr>
      </w:pPr>
    </w:p>
    <w:p>
      <w:pPr>
        <w:ind w:left="2240" w:hanging="434"/>
        <w:spacing w:after="0"/>
        <w:tabs>
          <w:tab w:leader="none" w:pos="2240"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2460" w:right="199" w:hanging="654"/>
        <w:spacing w:after="0" w:line="258" w:lineRule="auto"/>
        <w:tabs>
          <w:tab w:leader="none" w:pos="2444"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Inability to Reconcile</w:t>
      </w:r>
      <w:r>
        <w:rPr>
          <w:rFonts w:ascii="Times New Roman" w:cs="Times New Roman" w:eastAsia="Times New Roman" w:hAnsi="Times New Roman"/>
          <w:sz w:val="22"/>
          <w:szCs w:val="22"/>
          <w:color w:val="auto"/>
        </w:rPr>
        <w:t>. If Affirm is unable to develop a solution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ensures Amazon Services’ ability to successfully reconcile the Aggregate Daily Settlement Amount as set forth in Section 6.10(G) or Section 6.10(H), as the case may be.</w:t>
      </w:r>
    </w:p>
    <w:p>
      <w:pPr>
        <w:spacing w:after="0" w:line="154" w:lineRule="exact"/>
        <w:rPr>
          <w:sz w:val="20"/>
          <w:szCs w:val="20"/>
          <w:color w:val="auto"/>
        </w:rPr>
      </w:pPr>
    </w:p>
    <w:p>
      <w:pPr>
        <w:jc w:val="both"/>
        <w:ind w:left="1120" w:right="199"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16.4 </w:t>
      </w:r>
      <w:r>
        <w:rPr>
          <w:rFonts w:ascii="Times New Roman" w:cs="Times New Roman" w:eastAsia="Times New Roman" w:hAnsi="Times New Roman"/>
          <w:sz w:val="21"/>
          <w:szCs w:val="21"/>
          <w:b w:val="1"/>
          <w:bCs w:val="1"/>
          <w:color w:val="auto"/>
        </w:rPr>
        <w:t>Affirm Termination Rights</w:t>
      </w:r>
      <w:r>
        <w:rPr>
          <w:rFonts w:ascii="Times New Roman" w:cs="Times New Roman" w:eastAsia="Times New Roman" w:hAnsi="Times New Roman"/>
          <w:sz w:val="21"/>
          <w:szCs w:val="21"/>
          <w:color w:val="auto"/>
        </w:rPr>
        <w:t>. Affirm may terminate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immediately upon written notice to Amazon Services (after first giving effect to the time and cure periods, if any, stated in the applicable clauses below) if any of the failures or circumstances set forth in this Section 16.4 occur on the part of, or with respect to, the Amazon Parties specified below.</w:t>
      </w:r>
    </w:p>
    <w:p>
      <w:pPr>
        <w:spacing w:after="0" w:line="167" w:lineRule="exact"/>
        <w:rPr>
          <w:sz w:val="20"/>
          <w:szCs w:val="20"/>
          <w:color w:val="auto"/>
        </w:rPr>
      </w:pPr>
    </w:p>
    <w:p>
      <w:pPr>
        <w:ind w:left="2460" w:right="199" w:hanging="654"/>
        <w:spacing w:after="0" w:line="252" w:lineRule="auto"/>
        <w:tabs>
          <w:tab w:leader="none" w:pos="2325"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Non-Payment</w:t>
      </w:r>
      <w:r>
        <w:rPr>
          <w:rFonts w:ascii="Times New Roman" w:cs="Times New Roman" w:eastAsia="Times New Roman" w:hAnsi="Times New Roman"/>
          <w:sz w:val="22"/>
          <w:szCs w:val="22"/>
          <w:color w:val="auto"/>
        </w:rPr>
        <w:t>. If any Amazon Party fails to make any payment to Affirm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under this Agreement, within 20 Business Days after receipt of written notice of non-payment from Affirm.</w:t>
      </w:r>
    </w:p>
    <w:p>
      <w:pPr>
        <w:spacing w:after="0" w:line="188" w:lineRule="exact"/>
        <w:rPr>
          <w:rFonts w:ascii="Times New Roman" w:cs="Times New Roman" w:eastAsia="Times New Roman" w:hAnsi="Times New Roman"/>
          <w:sz w:val="20"/>
          <w:szCs w:val="20"/>
          <w:b w:val="1"/>
          <w:bCs w:val="1"/>
          <w:color w:val="auto"/>
        </w:rPr>
      </w:pPr>
    </w:p>
    <w:p>
      <w:pPr>
        <w:jc w:val="right"/>
        <w:ind w:left="2460" w:right="199" w:hanging="654"/>
        <w:spacing w:after="0" w:line="251" w:lineRule="auto"/>
        <w:tabs>
          <w:tab w:leader="none" w:pos="2341"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Material Breach</w:t>
      </w:r>
      <w:r>
        <w:rPr>
          <w:rFonts w:ascii="Times New Roman" w:cs="Times New Roman" w:eastAsia="Times New Roman" w:hAnsi="Times New Roman"/>
          <w:sz w:val="22"/>
          <w:szCs w:val="22"/>
          <w:color w:val="auto"/>
        </w:rPr>
        <w:t>. In the event of any Amazon Party’s material breach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(which includes any breach by such Amazon Party of a representation or warranty made by such Amazon Party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such breach is a material breach of Applicable Law, a breach of this Agreement will not be considered</w:t>
      </w:r>
    </w:p>
    <w:p>
      <w:pPr>
        <w:ind w:left="2460"/>
        <w:spacing w:after="0" w:line="231" w:lineRule="auto"/>
        <w:rPr>
          <w:sz w:val="20"/>
          <w:szCs w:val="20"/>
          <w:color w:val="auto"/>
        </w:rPr>
      </w:pPr>
      <w:r>
        <w:rPr>
          <w:rFonts w:ascii="Times New Roman" w:cs="Times New Roman" w:eastAsia="Times New Roman" w:hAnsi="Times New Roman"/>
          <w:sz w:val="22"/>
          <w:szCs w:val="22"/>
          <w:color w:val="auto"/>
        </w:rPr>
        <w:t>material until Amazon Services</w:t>
      </w:r>
    </w:p>
    <w:p>
      <w:pPr>
        <w:spacing w:after="0" w:line="1" w:lineRule="exact"/>
        <w:rPr>
          <w:sz w:val="20"/>
          <w:szCs w:val="20"/>
          <w:color w:val="auto"/>
        </w:rPr>
      </w:pPr>
    </w:p>
    <w:p>
      <w:pPr>
        <w:jc w:val="both"/>
        <w:ind w:left="2460" w:right="199" w:hanging="6"/>
        <w:spacing w:after="0" w:line="239" w:lineRule="auto"/>
        <w:tabs>
          <w:tab w:leader="none" w:pos="2773"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given written notice of the breach by Affirm and (2) the applicable Amazon Party fails to cure that breach within 30 days of such written notice.</w:t>
      </w:r>
    </w:p>
    <w:p>
      <w:pPr>
        <w:spacing w:after="0" w:line="201" w:lineRule="exact"/>
        <w:rPr>
          <w:rFonts w:ascii="Times New Roman" w:cs="Times New Roman" w:eastAsia="Times New Roman" w:hAnsi="Times New Roman"/>
          <w:sz w:val="22"/>
          <w:szCs w:val="22"/>
          <w:color w:val="auto"/>
        </w:rPr>
      </w:pPr>
    </w:p>
    <w:p>
      <w:pPr>
        <w:ind w:left="2340" w:hanging="534"/>
        <w:spacing w:after="0"/>
        <w:tabs>
          <w:tab w:leader="none" w:pos="234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Insolvency</w:t>
      </w:r>
      <w:r>
        <w:rPr>
          <w:rFonts w:ascii="Times New Roman" w:cs="Times New Roman" w:eastAsia="Times New Roman" w:hAnsi="Times New Roman"/>
          <w:sz w:val="22"/>
          <w:szCs w:val="22"/>
          <w:color w:val="auto"/>
        </w:rPr>
        <w:t>. If Amazon Services or its direct or indirect holding company</w:t>
      </w:r>
    </w:p>
    <w:p>
      <w:pPr>
        <w:spacing w:after="0" w:line="31" w:lineRule="exact"/>
        <w:rPr>
          <w:rFonts w:ascii="Times New Roman" w:cs="Times New Roman" w:eastAsia="Times New Roman" w:hAnsi="Times New Roman"/>
          <w:sz w:val="20"/>
          <w:szCs w:val="20"/>
          <w:b w:val="1"/>
          <w:bCs w:val="1"/>
          <w:color w:val="auto"/>
        </w:rPr>
      </w:pPr>
    </w:p>
    <w:p>
      <w:pPr>
        <w:jc w:val="both"/>
        <w:ind w:left="2460" w:right="199" w:hanging="6"/>
        <w:spacing w:after="0" w:line="247" w:lineRule="auto"/>
        <w:tabs>
          <w:tab w:leader="none" w:pos="2798"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 voluntary or involuntary petition in bankruptcy, or files any pleading seeking any reorganization, liquidation, or dissolution under Applicable Law, or admits or fails to contest the material allegations of any such petition or pleading filed against it, in each case that is not dismissed within 60 days, (2) has an order for relief or a bankruptcy declaration entered against it in accordance with Applicable Law that is not stayed within 60 days, (3) is adjudicated insolvent under Applicable Law,</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9019"/>
          </w:cols>
          <w:pgMar w:left="1440" w:top="1179" w:right="1440" w:bottom="1440" w:gutter="0" w:footer="0" w:header="0"/>
          <w:type w:val="continuous"/>
        </w:sectPr>
      </w:pPr>
    </w:p>
    <w:bookmarkStart w:id="247" w:name="page248"/>
    <w:bookmarkEnd w:id="247"/>
    <w:p>
      <w:pPr>
        <w:ind w:left="2460" w:right="199" w:hanging="6"/>
        <w:spacing w:after="0" w:line="254" w:lineRule="auto"/>
        <w:tabs>
          <w:tab w:leader="none" w:pos="2766"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receiver or liquidator appointed with respect to a substantial part of its assets,</w:t>
      </w:r>
    </w:p>
    <w:p>
      <w:pPr>
        <w:spacing w:after="0" w:line="1" w:lineRule="exact"/>
        <w:rPr>
          <w:rFonts w:ascii="Times New Roman" w:cs="Times New Roman" w:eastAsia="Times New Roman" w:hAnsi="Times New Roman"/>
          <w:sz w:val="22"/>
          <w:szCs w:val="22"/>
          <w:color w:val="auto"/>
        </w:rPr>
      </w:pPr>
    </w:p>
    <w:p>
      <w:pPr>
        <w:jc w:val="both"/>
        <w:ind w:left="2460" w:right="199" w:hanging="6"/>
        <w:spacing w:after="0" w:line="249" w:lineRule="auto"/>
        <w:tabs>
          <w:tab w:leader="none" w:pos="2819"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the claims of its creditors abated under Applicable Law, (6) makes an assignment for the benefit of creditors or any similar disposition of assets, or (7) ceases to conduct its normal and customary business operations.</w:t>
      </w:r>
    </w:p>
    <w:p>
      <w:pPr>
        <w:spacing w:after="0" w:line="164" w:lineRule="exact"/>
        <w:rPr>
          <w:rFonts w:ascii="Times New Roman" w:cs="Times New Roman" w:eastAsia="Times New Roman" w:hAnsi="Times New Roman"/>
          <w:sz w:val="22"/>
          <w:szCs w:val="22"/>
          <w:color w:val="auto"/>
        </w:rPr>
      </w:pPr>
    </w:p>
    <w:p>
      <w:pPr>
        <w:ind w:left="2460" w:right="199" w:hanging="654"/>
        <w:spacing w:after="0" w:line="275" w:lineRule="auto"/>
        <w:tabs>
          <w:tab w:leader="none" w:pos="2298"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Breach of the Relevant Requirements</w:t>
      </w:r>
      <w:r>
        <w:rPr>
          <w:rFonts w:ascii="Times New Roman" w:cs="Times New Roman" w:eastAsia="Times New Roman" w:hAnsi="Times New Roman"/>
          <w:sz w:val="22"/>
          <w:szCs w:val="22"/>
          <w:color w:val="auto"/>
        </w:rPr>
        <w:t>. If any Amazon Party breaches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Relevant Requirements.</w:t>
      </w:r>
    </w:p>
    <w:p>
      <w:pPr>
        <w:spacing w:after="0" w:line="149"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16.5</w:t>
      </w:r>
      <w:r>
        <w:rPr>
          <w:sz w:val="20"/>
          <w:szCs w:val="20"/>
          <w:color w:val="auto"/>
        </w:rPr>
        <w:tab/>
      </w:r>
      <w:r>
        <w:rPr>
          <w:rFonts w:ascii="Times New Roman" w:cs="Times New Roman" w:eastAsia="Times New Roman" w:hAnsi="Times New Roman"/>
          <w:sz w:val="21"/>
          <w:szCs w:val="21"/>
          <w:b w:val="1"/>
          <w:bCs w:val="1"/>
          <w:color w:val="auto"/>
        </w:rPr>
        <w:t>Adverse Change in Applicable Law</w:t>
      </w:r>
      <w:r>
        <w:rPr>
          <w:rFonts w:ascii="Times New Roman" w:cs="Times New Roman" w:eastAsia="Times New Roman" w:hAnsi="Times New Roman"/>
          <w:sz w:val="21"/>
          <w:szCs w:val="21"/>
          <w:color w:val="auto"/>
        </w:rPr>
        <w:t>.</w:t>
      </w:r>
    </w:p>
    <w:p>
      <w:pPr>
        <w:spacing w:after="0" w:line="249" w:lineRule="exact"/>
        <w:rPr>
          <w:sz w:val="20"/>
          <w:szCs w:val="20"/>
          <w:color w:val="auto"/>
        </w:rPr>
      </w:pPr>
    </w:p>
    <w:p>
      <w:pPr>
        <w:ind w:left="2460" w:right="199" w:hanging="654"/>
        <w:spacing w:after="0" w:line="246" w:lineRule="auto"/>
        <w:tabs>
          <w:tab w:leader="none" w:pos="2339"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In addition to any other termination right set forth in this Article 16, if at any time after the Effective Date a change in Applicable Law or its application by any court or Governmental Authority prohibits or materially impairs a Party’s ability to operate the Program or perform any of its obligations in accordance with the terms of this Agreement (collectively, an “</w:t>
      </w:r>
      <w:r>
        <w:rPr>
          <w:rFonts w:ascii="Times New Roman" w:cs="Times New Roman" w:eastAsia="Times New Roman" w:hAnsi="Times New Roman"/>
          <w:sz w:val="22"/>
          <w:szCs w:val="22"/>
          <w:b w:val="1"/>
          <w:bCs w:val="1"/>
          <w:color w:val="auto"/>
        </w:rPr>
        <w:t>Adverse Change</w:t>
      </w:r>
      <w:r>
        <w:rPr>
          <w:rFonts w:ascii="Times New Roman" w:cs="Times New Roman" w:eastAsia="Times New Roman" w:hAnsi="Times New Roman"/>
          <w:sz w:val="22"/>
          <w:szCs w:val="22"/>
          <w:color w:val="auto"/>
        </w:rPr>
        <w:t xml:space="preserve">”), the Party whose performance obligations are impaired may terminate the Agreement as of the effective date of the Adverse Change or at any time thereafter within 180 days following the effective date of the Adverse 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impaired Party must first initiate the escalation process set forth in Section 6.1(D) by providing written notice to the other Party of the Adverse Change taking effect. The written notice of Adverse Change must also describe the Adverse Change. An Adverse Change includes a change that materially impairs a Party’s ability to perform its material obligations under this Agreement but does not include any events of change that have solely a financial impact on a Party. The Parties will meet according to the dispute escalation process set forth in Section 6.1(D) to address potential changes to the Program as a result of the Adverse Change. If the Parties are unable to agree to such changes using the dispute escalation process set forth in Section 6.1(D), then the impaired Party may terminate this Agreement by providing 30 days’ prior written notice of termination to the other Party. Notwithstanding the foregoing, if a Party’s performance is impaired by an Adverse Change, but the other Party proposes a reasonable solution or work-around to address or mitigate that Adverse Change that does not impose an undue burden on the impaired Party, then the impaired Party will promptly implement that solution or work-around and the impaired Party’s performance of its obligations under this Agreement will not be excused by that Adverse Change. Notwithstanding anything to the contrary in this Agreement, neither Affirm nor any Amazon Party will, and neither of them will be obligated to, take any action that it believes in good faith, based on reasonable investigation with qualified counsel, would violate, or is reasonably likely to cause it to violate, any Applicable Law or its privacy policies, it being understood that this sentence will not be interpreted to alter or limit either Party’s representations or warranties in Article 11</w:t>
      </w:r>
    </w:p>
    <w:p>
      <w:pPr>
        <w:sectPr>
          <w:pgSz w:w="11900" w:h="16838" w:orient="portrait"/>
          <w:cols w:equalWidth="0" w:num="1">
            <w:col w:w="9019"/>
          </w:cols>
          <w:pgMar w:left="1440" w:top="1165"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9019"/>
          </w:cols>
          <w:pgMar w:left="1440" w:top="1165" w:right="1440" w:bottom="1440" w:gutter="0" w:footer="0" w:header="0"/>
          <w:type w:val="continuous"/>
        </w:sectPr>
      </w:pPr>
    </w:p>
    <w:bookmarkStart w:id="248" w:name="page249"/>
    <w:bookmarkEnd w:id="248"/>
    <w:p>
      <w:pPr>
        <w:ind w:left="2460" w:right="199"/>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Representations and Warranties; Covenants</w:t>
      </w:r>
      <w:r>
        <w:rPr>
          <w:rFonts w:ascii="Times New Roman" w:cs="Times New Roman" w:eastAsia="Times New Roman" w:hAnsi="Times New Roman"/>
          <w:sz w:val="21"/>
          <w:szCs w:val="21"/>
          <w:color w:val="auto"/>
        </w:rPr>
        <w:t>) made on the Effective Date or the Parties’ rights and obligations in Article 14 (</w:t>
      </w:r>
      <w:r>
        <w:rPr>
          <w:rFonts w:ascii="Times New Roman" w:cs="Times New Roman" w:eastAsia="Times New Roman" w:hAnsi="Times New Roman"/>
          <w:sz w:val="21"/>
          <w:szCs w:val="21"/>
          <w:i w:val="1"/>
          <w:iCs w:val="1"/>
          <w:color w:val="auto"/>
        </w:rPr>
        <w:t>Indemnification</w:t>
      </w:r>
      <w:r>
        <w:rPr>
          <w:rFonts w:ascii="Times New Roman" w:cs="Times New Roman" w:eastAsia="Times New Roman" w:hAnsi="Times New Roman"/>
          <w:sz w:val="21"/>
          <w:szCs w:val="21"/>
          <w:color w:val="auto"/>
        </w:rPr>
        <w:t>).</w:t>
      </w:r>
    </w:p>
    <w:p>
      <w:pPr>
        <w:spacing w:after="0" w:line="117" w:lineRule="exact"/>
        <w:rPr>
          <w:sz w:val="20"/>
          <w:szCs w:val="20"/>
          <w:color w:val="auto"/>
        </w:rPr>
      </w:pPr>
    </w:p>
    <w:p>
      <w:pPr>
        <w:ind w:left="2460" w:right="199" w:hanging="654"/>
        <w:spacing w:after="0" w:line="272" w:lineRule="auto"/>
        <w:tabs>
          <w:tab w:leader="none" w:pos="2314" w:val="left"/>
        </w:tabs>
        <w:numPr>
          <w:ilvl w:val="0"/>
          <w:numId w:val="2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Additionally, Amazon Services may suspend the operation of the Program immediately upon notice to Affirm if any Amazon Party becomes subject to an investigation or other official inquiry by a Governmental Authority in regards to its participation in, or operation of, the Program.</w:t>
      </w:r>
    </w:p>
    <w:p>
      <w:pPr>
        <w:spacing w:after="0" w:line="157"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16.6</w:t>
      </w:r>
      <w:r>
        <w:rPr>
          <w:sz w:val="20"/>
          <w:szCs w:val="20"/>
          <w:color w:val="auto"/>
        </w:rPr>
        <w:tab/>
      </w:r>
      <w:r>
        <w:rPr>
          <w:rFonts w:ascii="Times New Roman" w:cs="Times New Roman" w:eastAsia="Times New Roman" w:hAnsi="Times New Roman"/>
          <w:sz w:val="21"/>
          <w:szCs w:val="21"/>
          <w:b w:val="1"/>
          <w:bCs w:val="1"/>
          <w:color w:val="auto"/>
        </w:rPr>
        <w:t>Effect of Termination.</w:t>
      </w:r>
    </w:p>
    <w:p>
      <w:pPr>
        <w:spacing w:after="0" w:line="245" w:lineRule="exact"/>
        <w:rPr>
          <w:sz w:val="20"/>
          <w:szCs w:val="20"/>
          <w:color w:val="auto"/>
        </w:rPr>
      </w:pPr>
    </w:p>
    <w:p>
      <w:pPr>
        <w:ind w:left="2460" w:right="199" w:hanging="654"/>
        <w:spacing w:after="0" w:line="248" w:lineRule="auto"/>
        <w:tabs>
          <w:tab w:leader="none" w:pos="2352" w:val="left"/>
        </w:tabs>
        <w:numPr>
          <w:ilvl w:val="1"/>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Termination by Amazon or Affirm</w:t>
      </w:r>
      <w:r>
        <w:rPr>
          <w:rFonts w:ascii="Times New Roman" w:cs="Times New Roman" w:eastAsia="Times New Roman" w:hAnsi="Times New Roman"/>
          <w:sz w:val="22"/>
          <w:szCs w:val="22"/>
          <w:color w:val="auto"/>
        </w:rPr>
        <w:t>. Upon the expiration or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by Amazon Services or Affirm, the following will apply: (1) except as otherwise stated in Schedule 7.1 (</w:t>
      </w:r>
      <w:r>
        <w:rPr>
          <w:rFonts w:ascii="Times New Roman" w:cs="Times New Roman" w:eastAsia="Times New Roman" w:hAnsi="Times New Roman"/>
          <w:sz w:val="22"/>
          <w:szCs w:val="22"/>
          <w:i w:val="1"/>
          <w:iCs w:val="1"/>
          <w:color w:val="auto"/>
        </w:rPr>
        <w:t>Program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Arrangements</w:t>
      </w:r>
      <w:r>
        <w:rPr>
          <w:rFonts w:ascii="Times New Roman" w:cs="Times New Roman" w:eastAsia="Times New Roman" w:hAnsi="Times New Roman"/>
          <w:sz w:val="22"/>
          <w:szCs w:val="22"/>
          <w:color w:val="auto"/>
        </w:rPr>
        <w:t>) of this Agreement, all amounts payable by one Party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another Party under this Agreement will be immediately due and payable in full without demand or other notice of any kind, such demand or other notice being expressly waived by each Party; and (2) the licenses granted under this Agreement will terminate, subject only to the performance of any services contemplated by the transition periods described in Sections 16.2,</w:t>
      </w:r>
    </w:p>
    <w:p>
      <w:pPr>
        <w:spacing w:after="0" w:line="5" w:lineRule="exact"/>
        <w:rPr>
          <w:rFonts w:ascii="Times New Roman" w:cs="Times New Roman" w:eastAsia="Times New Roman" w:hAnsi="Times New Roman"/>
          <w:sz w:val="20"/>
          <w:szCs w:val="20"/>
          <w:b w:val="1"/>
          <w:bCs w:val="1"/>
          <w:color w:val="auto"/>
        </w:rPr>
      </w:pPr>
    </w:p>
    <w:p>
      <w:pPr>
        <w:ind w:left="2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17.1 and 17.2.</w:t>
      </w:r>
    </w:p>
    <w:p>
      <w:pPr>
        <w:spacing w:after="0" w:line="191" w:lineRule="exact"/>
        <w:rPr>
          <w:rFonts w:ascii="Times New Roman" w:cs="Times New Roman" w:eastAsia="Times New Roman" w:hAnsi="Times New Roman"/>
          <w:sz w:val="20"/>
          <w:szCs w:val="20"/>
          <w:b w:val="1"/>
          <w:bCs w:val="1"/>
          <w:color w:val="auto"/>
        </w:rPr>
      </w:pPr>
    </w:p>
    <w:p>
      <w:pPr>
        <w:ind w:left="2460" w:right="199" w:hanging="654"/>
        <w:spacing w:after="0" w:line="265" w:lineRule="auto"/>
        <w:tabs>
          <w:tab w:leader="none" w:pos="2314" w:val="left"/>
        </w:tabs>
        <w:numPr>
          <w:ilvl w:val="1"/>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Loan Ownership</w:t>
      </w:r>
      <w:r>
        <w:rPr>
          <w:rFonts w:ascii="Times New Roman" w:cs="Times New Roman" w:eastAsia="Times New Roman" w:hAnsi="Times New Roman"/>
          <w:sz w:val="22"/>
          <w:szCs w:val="22"/>
          <w:color w:val="auto"/>
        </w:rPr>
        <w:t>. Subject to Section 16.2, if this Agreement expires or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for any reason, Affirm will retain all right, title and interest in all Program Credits.</w:t>
      </w:r>
    </w:p>
    <w:p>
      <w:pPr>
        <w:spacing w:after="0" w:line="161" w:lineRule="exact"/>
        <w:rPr>
          <w:rFonts w:ascii="Times New Roman" w:cs="Times New Roman" w:eastAsia="Times New Roman" w:hAnsi="Times New Roman"/>
          <w:sz w:val="20"/>
          <w:szCs w:val="20"/>
          <w:b w:val="1"/>
          <w:bCs w:val="1"/>
          <w:color w:val="auto"/>
        </w:rPr>
      </w:pPr>
    </w:p>
    <w:p>
      <w:pPr>
        <w:ind w:left="2460" w:right="199" w:hanging="654"/>
        <w:spacing w:after="0" w:line="249" w:lineRule="auto"/>
        <w:tabs>
          <w:tab w:leader="none" w:pos="2285" w:val="left"/>
        </w:tabs>
        <w:numPr>
          <w:ilvl w:val="1"/>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Survival of Obligations, Rights and Remedies</w:t>
      </w:r>
      <w:r>
        <w:rPr>
          <w:rFonts w:ascii="Times New Roman" w:cs="Times New Roman" w:eastAsia="Times New Roman" w:hAnsi="Times New Roman"/>
          <w:sz w:val="22"/>
          <w:szCs w:val="22"/>
          <w:color w:val="auto"/>
        </w:rPr>
        <w:t>. The following Sections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Articles of this Agreement will survive its expiration or termination, in addition to any rights, obligations, or remedies that may have arisen or accrued prior to the termination or expiration of this Agreement (including any payment obligations): Article 4 (</w:t>
      </w:r>
      <w:r>
        <w:rPr>
          <w:rFonts w:ascii="Times New Roman" w:cs="Times New Roman" w:eastAsia="Times New Roman" w:hAnsi="Times New Roman"/>
          <w:sz w:val="22"/>
          <w:szCs w:val="22"/>
          <w:i w:val="1"/>
          <w:iCs w:val="1"/>
          <w:color w:val="auto"/>
        </w:rPr>
        <w:t>Customer Service</w:t>
      </w:r>
      <w:r>
        <w:rPr>
          <w:rFonts w:ascii="Times New Roman" w:cs="Times New Roman" w:eastAsia="Times New Roman" w:hAnsi="Times New Roman"/>
          <w:sz w:val="22"/>
          <w:szCs w:val="22"/>
          <w:color w:val="auto"/>
        </w:rPr>
        <w:t>); Section 5.3; Article 9 (</w:t>
      </w:r>
      <w:r>
        <w:rPr>
          <w:rFonts w:ascii="Times New Roman" w:cs="Times New Roman" w:eastAsia="Times New Roman" w:hAnsi="Times New Roman"/>
          <w:sz w:val="22"/>
          <w:szCs w:val="22"/>
          <w:i w:val="1"/>
          <w:iCs w:val="1"/>
          <w:color w:val="auto"/>
        </w:rPr>
        <w:t>Data Usage and Security</w:t>
      </w:r>
      <w:r>
        <w:rPr>
          <w:rFonts w:ascii="Times New Roman" w:cs="Times New Roman" w:eastAsia="Times New Roman" w:hAnsi="Times New Roman"/>
          <w:sz w:val="22"/>
          <w:szCs w:val="22"/>
          <w:color w:val="auto"/>
        </w:rPr>
        <w:t>); Article 10 (</w:t>
      </w: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Confidentiality Obligations</w:t>
      </w:r>
      <w:r>
        <w:rPr>
          <w:rFonts w:ascii="Times New Roman" w:cs="Times New Roman" w:eastAsia="Times New Roman" w:hAnsi="Times New Roman"/>
          <w:sz w:val="22"/>
          <w:szCs w:val="22"/>
          <w:color w:val="auto"/>
        </w:rPr>
        <w:t>); Section 12.4(A); Section 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13.1</w:t>
      </w:r>
      <w:r>
        <w:rPr>
          <w:rFonts w:ascii="Times New Roman" w:cs="Times New Roman" w:eastAsia="Times New Roman" w:hAnsi="Times New Roman"/>
          <w:sz w:val="22"/>
          <w:szCs w:val="22"/>
          <w:color w:val="auto"/>
        </w:rPr>
        <w:t>, Section 13.2; Article 14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Article 15 (</w:t>
      </w:r>
      <w:r>
        <w:rPr>
          <w:rFonts w:ascii="Times New Roman" w:cs="Times New Roman" w:eastAsia="Times New Roman" w:hAnsi="Times New Roman"/>
          <w:sz w:val="22"/>
          <w:szCs w:val="22"/>
          <w:i w:val="1"/>
          <w:iCs w:val="1"/>
          <w:color w:val="auto"/>
        </w:rPr>
        <w:t>Limitation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Liability</w:t>
      </w:r>
      <w:r>
        <w:rPr>
          <w:rFonts w:ascii="Times New Roman" w:cs="Times New Roman" w:eastAsia="Times New Roman" w:hAnsi="Times New Roman"/>
          <w:sz w:val="22"/>
          <w:szCs w:val="22"/>
          <w:color w:val="auto"/>
        </w:rPr>
        <w:t>); Article 16 (</w:t>
      </w:r>
      <w:r>
        <w:rPr>
          <w:rFonts w:ascii="Times New Roman" w:cs="Times New Roman" w:eastAsia="Times New Roman" w:hAnsi="Times New Roman"/>
          <w:sz w:val="22"/>
          <w:szCs w:val="22"/>
          <w:i w:val="1"/>
          <w:iCs w:val="1"/>
          <w:color w:val="auto"/>
        </w:rPr>
        <w:t>Term and Termination</w:t>
      </w:r>
      <w:r>
        <w:rPr>
          <w:rFonts w:ascii="Times New Roman" w:cs="Times New Roman" w:eastAsia="Times New Roman" w:hAnsi="Times New Roman"/>
          <w:sz w:val="22"/>
          <w:szCs w:val="22"/>
          <w:color w:val="auto"/>
        </w:rPr>
        <w:t>); Article 17 (</w:t>
      </w:r>
      <w:r>
        <w:rPr>
          <w:rFonts w:ascii="Times New Roman" w:cs="Times New Roman" w:eastAsia="Times New Roman" w:hAnsi="Times New Roman"/>
          <w:sz w:val="22"/>
          <w:szCs w:val="22"/>
          <w:i w:val="1"/>
          <w:iCs w:val="1"/>
          <w:color w:val="auto"/>
        </w:rPr>
        <w:t>Post-Termination</w:t>
      </w:r>
      <w:r>
        <w:rPr>
          <w:rFonts w:ascii="Times New Roman" w:cs="Times New Roman" w:eastAsia="Times New Roman" w:hAnsi="Times New Roman"/>
          <w:sz w:val="22"/>
          <w:szCs w:val="22"/>
          <w:color w:val="auto"/>
        </w:rPr>
        <w:t>) and Article 18 (</w:t>
      </w: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0"/>
          <w:szCs w:val="20"/>
          <w:b w:val="1"/>
          <w:bCs w:val="1"/>
          <w:color w:val="auto"/>
        </w:rPr>
      </w:pPr>
    </w:p>
    <w:p>
      <w:pPr>
        <w:ind w:left="2460" w:right="199" w:hanging="654"/>
        <w:spacing w:after="0" w:line="258" w:lineRule="auto"/>
        <w:tabs>
          <w:tab w:leader="none" w:pos="2312" w:val="left"/>
        </w:tabs>
        <w:numPr>
          <w:ilvl w:val="1"/>
          <w:numId w:val="2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Suspension in Lieu of Termination</w:t>
      </w:r>
      <w:r>
        <w:rPr>
          <w:rFonts w:ascii="Times New Roman" w:cs="Times New Roman" w:eastAsia="Times New Roman" w:hAnsi="Times New Roman"/>
          <w:sz w:val="22"/>
          <w:szCs w:val="22"/>
          <w:color w:val="auto"/>
        </w:rPr>
        <w:t>. In the event that either Party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terminate the Agreement pursuant to this Article 16, such Party may suspend the Program in lieu of exercising such right of termination by delivering written notice to the other Party.</w:t>
      </w:r>
    </w:p>
    <w:p>
      <w:pPr>
        <w:spacing w:after="0" w:line="167" w:lineRule="exact"/>
        <w:rPr>
          <w:rFonts w:ascii="Times New Roman" w:cs="Times New Roman" w:eastAsia="Times New Roman" w:hAnsi="Times New Roman"/>
          <w:sz w:val="20"/>
          <w:szCs w:val="20"/>
          <w:b w:val="1"/>
          <w:bCs w:val="1"/>
          <w:color w:val="auto"/>
        </w:rPr>
      </w:pPr>
    </w:p>
    <w:p>
      <w:pPr>
        <w:ind w:left="960" w:hanging="451"/>
        <w:spacing w:after="0"/>
        <w:tabs>
          <w:tab w:leader="none" w:pos="960" w:val="left"/>
        </w:tabs>
        <w:numPr>
          <w:ilvl w:val="0"/>
          <w:numId w:val="2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OST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ind w:left="1120" w:right="199" w:firstLine="648"/>
        <w:spacing w:after="0" w:line="299" w:lineRule="auto"/>
        <w:rPr>
          <w:sz w:val="20"/>
          <w:szCs w:val="20"/>
          <w:color w:val="auto"/>
        </w:rPr>
      </w:pPr>
      <w:r>
        <w:rPr>
          <w:rFonts w:ascii="Times New Roman" w:cs="Times New Roman" w:eastAsia="Times New Roman" w:hAnsi="Times New Roman"/>
          <w:sz w:val="20"/>
          <w:szCs w:val="20"/>
          <w:b w:val="1"/>
          <w:bCs w:val="1"/>
          <w:color w:val="auto"/>
        </w:rPr>
        <w:t xml:space="preserve">17.1 </w:t>
      </w:r>
      <w:r>
        <w:rPr>
          <w:rFonts w:ascii="Times New Roman" w:cs="Times New Roman" w:eastAsia="Times New Roman" w:hAnsi="Times New Roman"/>
          <w:sz w:val="21"/>
          <w:szCs w:val="21"/>
          <w:b w:val="1"/>
          <w:bCs w:val="1"/>
          <w:color w:val="auto"/>
        </w:rPr>
        <w:t>Settlement of Pending Transactions</w:t>
      </w:r>
      <w:r>
        <w:rPr>
          <w:rFonts w:ascii="Times New Roman" w:cs="Times New Roman" w:eastAsia="Times New Roman" w:hAnsi="Times New Roman"/>
          <w:sz w:val="21"/>
          <w:szCs w:val="21"/>
          <w:color w:val="auto"/>
        </w:rPr>
        <w:t>. For 180 days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termination or expiration of this Agreement, each Amazon Party and</w:t>
      </w:r>
    </w:p>
    <w:p>
      <w:pPr>
        <w:sectPr>
          <w:pgSz w:w="11900" w:h="16838" w:orient="portrait"/>
          <w:cols w:equalWidth="0" w:num="1">
            <w:col w:w="9019"/>
          </w:cols>
          <w:pgMar w:left="1440" w:top="1161"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9019"/>
          </w:cols>
          <w:pgMar w:left="1440" w:top="1161" w:right="1440" w:bottom="1440" w:gutter="0" w:footer="0" w:header="0"/>
          <w:type w:val="continuous"/>
        </w:sectPr>
      </w:pPr>
    </w:p>
    <w:bookmarkStart w:id="249" w:name="page250"/>
    <w:bookmarkEnd w:id="249"/>
    <w:p>
      <w:pPr>
        <w:jc w:val="both"/>
        <w:ind w:left="1120" w:right="199"/>
        <w:spacing w:after="0" w:line="256" w:lineRule="auto"/>
        <w:rPr>
          <w:sz w:val="20"/>
          <w:szCs w:val="20"/>
          <w:color w:val="auto"/>
        </w:rPr>
      </w:pPr>
      <w:r>
        <w:rPr>
          <w:rFonts w:ascii="Times New Roman" w:cs="Times New Roman" w:eastAsia="Times New Roman" w:hAnsi="Times New Roman"/>
          <w:sz w:val="22"/>
          <w:szCs w:val="22"/>
          <w:color w:val="auto"/>
        </w:rPr>
        <w:t>Affirm will continue to take any actions necessary to review and process Program Applications submitted prior to the termination or expiration of this Agreement, including those Program Applications in respect of which Affirm has sent an Instant Approval to the applicant.</w:t>
      </w:r>
    </w:p>
    <w:p>
      <w:pPr>
        <w:spacing w:after="0" w:line="172" w:lineRule="exact"/>
        <w:rPr>
          <w:sz w:val="20"/>
          <w:szCs w:val="20"/>
          <w:color w:val="auto"/>
        </w:rPr>
      </w:pPr>
    </w:p>
    <w:p>
      <w:pPr>
        <w:jc w:val="both"/>
        <w:ind w:left="1120" w:right="199" w:firstLine="648"/>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17.2 </w:t>
      </w:r>
      <w:r>
        <w:rPr>
          <w:rFonts w:ascii="Times New Roman" w:cs="Times New Roman" w:eastAsia="Times New Roman" w:hAnsi="Times New Roman"/>
          <w:sz w:val="21"/>
          <w:szCs w:val="21"/>
          <w:b w:val="1"/>
          <w:bCs w:val="1"/>
          <w:color w:val="auto"/>
        </w:rPr>
        <w:t>Customer Service</w:t>
      </w:r>
      <w:r>
        <w:rPr>
          <w:rFonts w:ascii="Times New Roman" w:cs="Times New Roman" w:eastAsia="Times New Roman" w:hAnsi="Times New Roman"/>
          <w:sz w:val="21"/>
          <w:szCs w:val="21"/>
          <w:color w:val="auto"/>
        </w:rPr>
        <w:t>. Following termination or expiration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Agreement, for a period of time as is reasonably necessary to address Approved Customer disputes and correct errors including as may be specified under Applicable Law and in any event not less than 180 days, each Amazon Party and Affirm will cooperate to continue to address Approved Customer disputes, correct errors, provide credits and otherwise service Program Credit originated prior to the termination or expiration of the Agreement.</w:t>
      </w:r>
    </w:p>
    <w:p>
      <w:pPr>
        <w:spacing w:after="0" w:line="200" w:lineRule="exact"/>
        <w:rPr>
          <w:sz w:val="20"/>
          <w:szCs w:val="20"/>
          <w:color w:val="auto"/>
        </w:rPr>
      </w:pPr>
    </w:p>
    <w:p>
      <w:pPr>
        <w:spacing w:after="0" w:line="227" w:lineRule="exact"/>
        <w:rPr>
          <w:sz w:val="20"/>
          <w:szCs w:val="20"/>
          <w:color w:val="auto"/>
        </w:rPr>
      </w:pPr>
    </w:p>
    <w:p>
      <w:pPr>
        <w:ind w:left="960" w:hanging="451"/>
        <w:spacing w:after="0"/>
        <w:tabs>
          <w:tab w:leader="none" w:pos="960" w:val="left"/>
        </w:tabs>
        <w:numPr>
          <w:ilvl w:val="0"/>
          <w:numId w:val="2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MISCELLANEOUS.</w:t>
      </w:r>
    </w:p>
    <w:p>
      <w:pPr>
        <w:spacing w:after="0" w:line="220" w:lineRule="exact"/>
        <w:rPr>
          <w:sz w:val="20"/>
          <w:szCs w:val="20"/>
          <w:color w:val="auto"/>
        </w:rPr>
      </w:pPr>
    </w:p>
    <w:p>
      <w:pPr>
        <w:jc w:val="both"/>
        <w:ind w:left="1120" w:right="199"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18.1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Each Party will be responsible, as required under applicable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for identifying and paying all taxes and other governmental fees and charges (and any penalties, interest, and other additions thereto) that are imposed on that Party upon or with respect to the transactions and payments under this Agreement. For any payments made under this Agreement, the payee may charge and the payor will pay applicable national, state or local sales or use taxes or value added taxes that the payee is legally obligated to charge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provided that such Taxes are stated on the original invoice that the payee provides to the payor and the payee’s invoices state such Taxes separately and meet the requirements for a valid tax invoice. Either of any Amazon Party and Affirm may provide the other Party with an exemption certificate or equivalent information acceptable to the relevant taxing authority, in which case, such other Party will not charge and or collect the Taxes covered by such certificate. Either Party may deduct or withhold any taxes that such Party may be legally obligated to deduct or withhold from any amounts payable to the other Party under this Agreement, and payment to the other Party as reduced by such deductions or withholdings will constitute full payment and settlement of amounts payable to the other Party under this Agreement. Throughout the term of this Agreement, each Party will provide the other Party with any forms, documents, or certifications as may be required for such other Party to satisfy any information reporting or withholding tax obligations with respect to any payments under this agreement. The Parties agree that Amazon will be responsible for any and all U.S. federal, state or local tax reporting obligations to Processed Merchants arising as a result of the Program, including but not limited to, Form 1099-K.</w:t>
      </w:r>
    </w:p>
    <w:p>
      <w:pPr>
        <w:spacing w:after="0" w:line="200" w:lineRule="exact"/>
        <w:rPr>
          <w:sz w:val="20"/>
          <w:szCs w:val="20"/>
          <w:color w:val="auto"/>
        </w:rPr>
      </w:pPr>
    </w:p>
    <w:p>
      <w:pPr>
        <w:spacing w:after="0" w:line="234" w:lineRule="exact"/>
        <w:rPr>
          <w:sz w:val="20"/>
          <w:szCs w:val="20"/>
          <w:color w:val="auto"/>
        </w:rPr>
      </w:pPr>
    </w:p>
    <w:p>
      <w:pPr>
        <w:ind w:left="178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18.2</w:t>
      </w:r>
      <w:r>
        <w:rPr>
          <w:sz w:val="20"/>
          <w:szCs w:val="20"/>
          <w:color w:val="auto"/>
        </w:rPr>
        <w:tab/>
      </w:r>
      <w:r>
        <w:rPr>
          <w:rFonts w:ascii="Times New Roman" w:cs="Times New Roman" w:eastAsia="Times New Roman" w:hAnsi="Times New Roman"/>
          <w:sz w:val="21"/>
          <w:szCs w:val="21"/>
          <w:b w:val="1"/>
          <w:bCs w:val="1"/>
          <w:color w:val="auto"/>
        </w:rPr>
        <w:t>Intentionally Omitted</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1120" w:right="19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18.3 </w:t>
      </w:r>
      <w:r>
        <w:rPr>
          <w:rFonts w:ascii="Times New Roman" w:cs="Times New Roman" w:eastAsia="Times New Roman" w:hAnsi="Times New Roman"/>
          <w:sz w:val="21"/>
          <w:szCs w:val="21"/>
          <w:b w:val="1"/>
          <w:bCs w:val="1"/>
          <w:color w:val="auto"/>
        </w:rPr>
        <w:t>Assignment; Change of Control</w:t>
      </w:r>
      <w:r>
        <w:rPr>
          <w:rFonts w:ascii="Times New Roman" w:cs="Times New Roman" w:eastAsia="Times New Roman" w:hAnsi="Times New Roman"/>
          <w:sz w:val="21"/>
          <w:szCs w:val="21"/>
          <w:color w:val="auto"/>
        </w:rPr>
        <w:t>. Except as provided in this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18.3 or Section 6.6, no Party may assign its rights and/or obligations under this Agreement to any other person without the prior written consent of Affirm (in the case of any Amazon Party) or Amazon Services (in the case of Affirm). For the avoidance of doubt, nothing in this Agreement will prohibit or restrict Affirm’s ability to assign Installment Credit Agreements to a third-party buyer or Affirm’s ability to take assignment of an Installment Credit Agreement from a licensed financial institution.</w:t>
      </w:r>
    </w:p>
    <w:p>
      <w:pPr>
        <w:sectPr>
          <w:pgSz w:w="11900" w:h="16838" w:orient="portrait"/>
          <w:cols w:equalWidth="0" w:num="1">
            <w:col w:w="9019"/>
          </w:cols>
          <w:pgMar w:left="1440" w:top="949"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9019"/>
          </w:cols>
          <w:pgMar w:left="1440" w:top="949" w:right="1440" w:bottom="1440" w:gutter="0" w:footer="0" w:header="0"/>
          <w:type w:val="continuous"/>
        </w:sectPr>
      </w:pPr>
    </w:p>
    <w:bookmarkStart w:id="250" w:name="page251"/>
    <w:bookmarkEnd w:id="250"/>
    <w:p>
      <w:pPr>
        <w:ind w:left="2460" w:right="199" w:hanging="654"/>
        <w:spacing w:after="0" w:line="251" w:lineRule="auto"/>
        <w:tabs>
          <w:tab w:leader="none" w:pos="2285"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 xml:space="preserve">Any Amazon Party may assign this Agreement or any of its rights, interests or obligations under this Agreement to an Affiliate with the necessary resources to perform such Amazon Party’s obligations under the Agreement without having to obtain the prior written consent of Affirm;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Amazon Party remains liable for that Affiliate’s failure to perform any of the assigned obligations.</w:t>
      </w:r>
    </w:p>
    <w:p>
      <w:pPr>
        <w:spacing w:after="0" w:line="181" w:lineRule="exact"/>
        <w:rPr>
          <w:rFonts w:ascii="Times New Roman" w:cs="Times New Roman" w:eastAsia="Times New Roman" w:hAnsi="Times New Roman"/>
          <w:sz w:val="20"/>
          <w:szCs w:val="20"/>
          <w:b w:val="1"/>
          <w:bCs w:val="1"/>
          <w:color w:val="auto"/>
        </w:rPr>
      </w:pPr>
    </w:p>
    <w:p>
      <w:pPr>
        <w:jc w:val="both"/>
        <w:ind w:left="2460" w:right="199" w:hanging="654"/>
        <w:spacing w:after="0" w:line="254" w:lineRule="auto"/>
        <w:tabs>
          <w:tab w:leader="none" w:pos="2463"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Party may assign this Agreement or any of its rights, interests or obligations under this Agreement to a third party upon consummation of a Change of Control transaction with respect to that Party or any ultimate direct or indirect parent corporation or holding company of that Party, in each case, without having to obtain the prior written consent of the other Party.</w:t>
      </w:r>
    </w:p>
    <w:p>
      <w:pPr>
        <w:spacing w:after="0" w:line="202" w:lineRule="exact"/>
        <w:rPr>
          <w:rFonts w:ascii="Times New Roman" w:cs="Times New Roman" w:eastAsia="Times New Roman" w:hAnsi="Times New Roman"/>
          <w:sz w:val="20"/>
          <w:szCs w:val="20"/>
          <w:b w:val="1"/>
          <w:bCs w:val="1"/>
          <w:color w:val="auto"/>
        </w:rPr>
      </w:pPr>
    </w:p>
    <w:p>
      <w:pPr>
        <w:ind w:left="2460" w:right="199" w:hanging="654"/>
        <w:spacing w:after="0" w:line="250" w:lineRule="auto"/>
        <w:tabs>
          <w:tab w:leader="none" w:pos="2312"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terms of this Agreement will be binding upon and inure to the benefit of the Parties’ respective successors and assigns permitted under this Section 18.3. Except as provided in this Section 18.3, any purported assignment of this Agreement or a Party’s rights, interests or obligations under this Agreement without the prior written consent of Affirm (in the case of any Amazon Party) or Amazon Services (in the case of Affirm) to the Agreement will be void.</w:t>
      </w:r>
    </w:p>
    <w:p>
      <w:pPr>
        <w:spacing w:after="0" w:line="176" w:lineRule="exact"/>
        <w:rPr>
          <w:sz w:val="20"/>
          <w:szCs w:val="20"/>
          <w:color w:val="auto"/>
        </w:rPr>
      </w:pPr>
    </w:p>
    <w:p>
      <w:pPr>
        <w:jc w:val="both"/>
        <w:ind w:left="1120" w:right="199" w:firstLine="648"/>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18.4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Unless otherwise specified in this Agreement, any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required or permitted by this Agreement to be given to one Party by the other Party will be deemed served, given and received (A) when personally delivered to that Party or (B) if deposited in the mail (registered or certified mail, recorded delivery mail, postage prepaid and return receipt requested) or sent prepaid by commercial courier, either (1) when received or (2) upon expiration of five days from the date of mailing or sending, whichever is earlier, in each case in the case of this clause (B) if addressed to the recipient at the address shown below for the Party to whom such notice is given, or addressed to any other person or address of which the Party to receive such notice has notified the Party giving such notice in accordance with this Section 18.4:</w:t>
      </w: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If to an Amazon Party:</w:t>
      </w:r>
    </w:p>
    <w:p>
      <w:pPr>
        <w:spacing w:after="0" w:line="2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Amazon.com Services LLC 333</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Boren Avenue N Seattle, WA</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98109</w:t>
      </w:r>
    </w:p>
    <w:p>
      <w:pPr>
        <w:spacing w:after="0" w:line="1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Attn: US GIL – Program Manager with a</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copy to:</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Amazon.com, Inc. 2021</w:t>
      </w:r>
    </w:p>
    <w:p>
      <w:pPr>
        <w:ind w:left="1140"/>
        <w:spacing w:after="0" w:line="221"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Seattle, WA 98121</w:t>
      </w:r>
    </w:p>
    <w:p>
      <w:pPr>
        <w:spacing w:after="0" w:line="101" w:lineRule="exact"/>
        <w:rPr>
          <w:sz w:val="20"/>
          <w:szCs w:val="20"/>
          <w:color w:val="auto"/>
        </w:rPr>
      </w:pPr>
    </w:p>
    <w:p>
      <w:pPr>
        <w:ind w:left="1140"/>
        <w:spacing w:after="0"/>
        <w:tabs>
          <w:tab w:leader="none" w:pos="178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Legal Department</w:t>
      </w:r>
    </w:p>
    <w:p>
      <w:pPr>
        <w:sectPr>
          <w:pgSz w:w="11900" w:h="16838" w:orient="portrait"/>
          <w:cols w:equalWidth="0" w:num="1">
            <w:col w:w="9019"/>
          </w:cols>
          <w:pgMar w:left="1440" w:top="1179"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9019"/>
          </w:cols>
          <w:pgMar w:left="1440" w:top="1179" w:right="1440" w:bottom="1440" w:gutter="0" w:footer="0" w:header="0"/>
          <w:type w:val="continuous"/>
        </w:sectPr>
      </w:pPr>
    </w:p>
    <w:bookmarkStart w:id="251" w:name="page252"/>
    <w:bookmarkEnd w:id="251"/>
    <w:p>
      <w:pPr>
        <w:ind w:left="1140"/>
        <w:spacing w:after="0"/>
        <w:rPr>
          <w:sz w:val="20"/>
          <w:szCs w:val="20"/>
          <w:color w:val="auto"/>
        </w:rPr>
      </w:pPr>
      <w:r>
        <w:rPr>
          <w:rFonts w:ascii="Times New Roman" w:cs="Times New Roman" w:eastAsia="Times New Roman" w:hAnsi="Times New Roman"/>
          <w:sz w:val="22"/>
          <w:szCs w:val="22"/>
          <w:color w:val="auto"/>
        </w:rPr>
        <w:t>If to Affirm:</w:t>
      </w:r>
    </w:p>
    <w:p>
      <w:pPr>
        <w:spacing w:after="0" w:line="1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650 California St.,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San</w:t>
      </w:r>
    </w:p>
    <w:p>
      <w:pPr>
        <w:ind w:left="1140"/>
        <w:spacing w:after="0"/>
        <w:rPr>
          <w:sz w:val="20"/>
          <w:szCs w:val="20"/>
          <w:color w:val="auto"/>
        </w:rPr>
      </w:pPr>
      <w:r>
        <w:rPr>
          <w:rFonts w:ascii="Times New Roman" w:cs="Times New Roman" w:eastAsia="Times New Roman" w:hAnsi="Times New Roman"/>
          <w:sz w:val="22"/>
          <w:szCs w:val="22"/>
          <w:color w:val="auto"/>
        </w:rPr>
        <w:t>Francisco, CA 94108</w:t>
      </w:r>
    </w:p>
    <w:p>
      <w:pPr>
        <w:spacing w:after="0" w:line="2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legalnotices@affirm.com</w:t>
      </w:r>
    </w:p>
    <w:p>
      <w:pPr>
        <w:spacing w:after="0" w:line="247" w:lineRule="exact"/>
        <w:rPr>
          <w:sz w:val="20"/>
          <w:szCs w:val="20"/>
          <w:color w:val="auto"/>
        </w:rPr>
      </w:pPr>
    </w:p>
    <w:p>
      <w:pPr>
        <w:jc w:val="both"/>
        <w:ind w:left="1120" w:right="199" w:firstLine="454"/>
        <w:spacing w:after="0" w:line="257" w:lineRule="auto"/>
        <w:rPr>
          <w:sz w:val="20"/>
          <w:szCs w:val="20"/>
          <w:color w:val="auto"/>
        </w:rPr>
      </w:pPr>
      <w:r>
        <w:rPr>
          <w:rFonts w:ascii="Times New Roman" w:cs="Times New Roman" w:eastAsia="Times New Roman" w:hAnsi="Times New Roman"/>
          <w:sz w:val="22"/>
          <w:szCs w:val="22"/>
          <w:color w:val="auto"/>
        </w:rPr>
        <w:t>Notices from Affirm to Amazon Services in the event of any incident regarding Information Security Policy under Exhibit B will be sent by email to security@amazon.com and amazon-issuance-partner-urgent@amazon.com.</w:t>
      </w:r>
    </w:p>
    <w:p>
      <w:pPr>
        <w:spacing w:after="0" w:line="213" w:lineRule="exact"/>
        <w:rPr>
          <w:sz w:val="20"/>
          <w:szCs w:val="20"/>
          <w:color w:val="auto"/>
        </w:rPr>
      </w:pPr>
    </w:p>
    <w:p>
      <w:pPr>
        <w:jc w:val="both"/>
        <w:ind w:left="1120" w:right="199" w:firstLine="454"/>
        <w:spacing w:after="0" w:line="251" w:lineRule="auto"/>
        <w:rPr>
          <w:sz w:val="20"/>
          <w:szCs w:val="20"/>
          <w:color w:val="auto"/>
        </w:rPr>
      </w:pPr>
      <w:r>
        <w:rPr>
          <w:rFonts w:ascii="Times New Roman" w:cs="Times New Roman" w:eastAsia="Times New Roman" w:hAnsi="Times New Roman"/>
          <w:sz w:val="22"/>
          <w:szCs w:val="22"/>
          <w:color w:val="auto"/>
        </w:rPr>
        <w:t>In each case that the Agreement expressly provides that notice may be delivered via email but does not specify the recipient, such notice must be sent to the email addresses of the receiving Party’s Program Manager and Steering Committee members in order to be effective. Notices sent by email will be deemed delivered at the time and date they were sent, unless the intended recipient can demonstrate that the email was never received or received at a later time or date.</w:t>
      </w:r>
    </w:p>
    <w:p>
      <w:pPr>
        <w:spacing w:after="0" w:line="204"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18.5 </w:t>
      </w:r>
      <w:r>
        <w:rPr>
          <w:rFonts w:ascii="Times New Roman" w:cs="Times New Roman" w:eastAsia="Times New Roman" w:hAnsi="Times New Roman"/>
          <w:sz w:val="21"/>
          <w:szCs w:val="21"/>
          <w:b w:val="1"/>
          <w:bCs w:val="1"/>
          <w:color w:val="auto"/>
        </w:rPr>
        <w:t>Relationship of Parties; No Joint Venture</w:t>
      </w:r>
      <w:r>
        <w:rPr>
          <w:rFonts w:ascii="Times New Roman" w:cs="Times New Roman" w:eastAsia="Times New Roman" w:hAnsi="Times New Roman"/>
          <w:sz w:val="21"/>
          <w:szCs w:val="21"/>
          <w:color w:val="auto"/>
        </w:rPr>
        <w:t>. This Agreement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create a joint venture, partnership, agency relationship or other formal business relationship or entity of any kind between the Amazon Parties, on the one hand, and Affirm, on the other hand, or an obligation to form any such relationship or entity. Each of the Amazon Parties, on the one hand, and Affirm, on the other hand, will act as an independent contractor and not as an agent of the other Party for any purpose, and neither the Amazon Parties, on the one hand, and Affirm, on the other hand, will have the authority to bind the other Party or Parties, as the case may be.</w:t>
      </w:r>
    </w:p>
    <w:p>
      <w:pPr>
        <w:spacing w:after="0" w:line="162" w:lineRule="exact"/>
        <w:rPr>
          <w:sz w:val="20"/>
          <w:szCs w:val="20"/>
          <w:color w:val="auto"/>
        </w:rPr>
      </w:pPr>
    </w:p>
    <w:p>
      <w:pPr>
        <w:jc w:val="both"/>
        <w:ind w:left="1120" w:right="199"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18.6 </w:t>
      </w:r>
      <w:r>
        <w:rPr>
          <w:rFonts w:ascii="Times New Roman" w:cs="Times New Roman" w:eastAsia="Times New Roman" w:hAnsi="Times New Roman"/>
          <w:sz w:val="21"/>
          <w:szCs w:val="21"/>
          <w:b w:val="1"/>
          <w:bCs w:val="1"/>
          <w:color w:val="auto"/>
        </w:rPr>
        <w:t>No Third Party Beneficiaries</w:t>
      </w:r>
      <w:r>
        <w:rPr>
          <w:rFonts w:ascii="Times New Roman" w:cs="Times New Roman" w:eastAsia="Times New Roman" w:hAnsi="Times New Roman"/>
          <w:sz w:val="21"/>
          <w:szCs w:val="21"/>
          <w:color w:val="auto"/>
        </w:rPr>
        <w:t>. Except as provided in Article 14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Indemnification</w:t>
      </w:r>
      <w:r>
        <w:rPr>
          <w:rFonts w:ascii="Times New Roman" w:cs="Times New Roman" w:eastAsia="Times New Roman" w:hAnsi="Times New Roman"/>
          <w:sz w:val="21"/>
          <w:szCs w:val="21"/>
          <w:color w:val="auto"/>
        </w:rPr>
        <w:t>) with respect to each Indemnified Party, nothing expressed or implied in this Agreement is intended or will be construed to confer upon or give any person other than the Amazon Parties and Affirm (and any of their respective successors and assigns permitted under this Agreement), any rights or remedies by reason of this Agreement.</w:t>
      </w:r>
    </w:p>
    <w:p>
      <w:pPr>
        <w:spacing w:after="0" w:line="200" w:lineRule="exact"/>
        <w:rPr>
          <w:sz w:val="20"/>
          <w:szCs w:val="20"/>
          <w:color w:val="auto"/>
        </w:rPr>
      </w:pPr>
    </w:p>
    <w:p>
      <w:pPr>
        <w:spacing w:after="0" w:line="224" w:lineRule="exact"/>
        <w:rPr>
          <w:sz w:val="20"/>
          <w:szCs w:val="20"/>
          <w:color w:val="auto"/>
        </w:rPr>
      </w:pPr>
    </w:p>
    <w:p>
      <w:pPr>
        <w:jc w:val="both"/>
        <w:ind w:left="1120" w:right="19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18.7 </w:t>
      </w:r>
      <w:r>
        <w:rPr>
          <w:rFonts w:ascii="Times New Roman" w:cs="Times New Roman" w:eastAsia="Times New Roman" w:hAnsi="Times New Roman"/>
          <w:sz w:val="21"/>
          <w:szCs w:val="21"/>
          <w:b w:val="1"/>
          <w:bCs w:val="1"/>
          <w:color w:val="auto"/>
        </w:rPr>
        <w:t>No Implied Waiver</w:t>
      </w:r>
      <w:r>
        <w:rPr>
          <w:rFonts w:ascii="Times New Roman" w:cs="Times New Roman" w:eastAsia="Times New Roman" w:hAnsi="Times New Roman"/>
          <w:sz w:val="21"/>
          <w:szCs w:val="21"/>
          <w:color w:val="auto"/>
        </w:rPr>
        <w:t>. No failure by a Party to insist upon strict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performance of any term or obligation set forth in this Agreement, or to exercise any right or remedy under this Agreement, nor acceptance by a Party of full or partial performance during continuance of a breach, will constitute a waiver of any such term, obligation, right or remedy or a waiver of any such breach by the Party entitled to rely upon such term or performance of such obligation, to assert such right or remedy, or to act upon such breach. No waiver of a Party’s rights under the Agreement is effective unless evidenced by a writing signed by that Party.</w:t>
      </w:r>
    </w:p>
    <w:p>
      <w:pPr>
        <w:spacing w:after="0" w:line="162" w:lineRule="exact"/>
        <w:rPr>
          <w:sz w:val="20"/>
          <w:szCs w:val="20"/>
          <w:color w:val="auto"/>
        </w:rPr>
      </w:pPr>
    </w:p>
    <w:p>
      <w:pPr>
        <w:jc w:val="both"/>
        <w:ind w:left="1120" w:right="199" w:firstLine="648"/>
        <w:spacing w:after="0" w:line="313" w:lineRule="auto"/>
        <w:rPr>
          <w:sz w:val="20"/>
          <w:szCs w:val="20"/>
          <w:color w:val="auto"/>
        </w:rPr>
      </w:pPr>
      <w:r>
        <w:rPr>
          <w:rFonts w:ascii="Times New Roman" w:cs="Times New Roman" w:eastAsia="Times New Roman" w:hAnsi="Times New Roman"/>
          <w:sz w:val="20"/>
          <w:szCs w:val="20"/>
          <w:b w:val="1"/>
          <w:bCs w:val="1"/>
          <w:color w:val="auto"/>
        </w:rPr>
        <w:t xml:space="preserve">18.8 </w:t>
      </w:r>
      <w:r>
        <w:rPr>
          <w:rFonts w:ascii="Times New Roman" w:cs="Times New Roman" w:eastAsia="Times New Roman" w:hAnsi="Times New Roman"/>
          <w:sz w:val="21"/>
          <w:szCs w:val="21"/>
          <w:b w:val="1"/>
          <w:bCs w:val="1"/>
          <w:color w:val="auto"/>
        </w:rPr>
        <w:t>Remedies Cumulative</w:t>
      </w:r>
      <w:r>
        <w:rPr>
          <w:rFonts w:ascii="Times New Roman" w:cs="Times New Roman" w:eastAsia="Times New Roman" w:hAnsi="Times New Roman"/>
          <w:sz w:val="21"/>
          <w:szCs w:val="21"/>
          <w:color w:val="auto"/>
        </w:rPr>
        <w:t>. Except as otherwise expressly provided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Agreement, the rights, obligations and remedies provided for each</w:t>
      </w:r>
    </w:p>
    <w:p>
      <w:pPr>
        <w:sectPr>
          <w:pgSz w:w="11900" w:h="16838" w:orient="portrait"/>
          <w:cols w:equalWidth="0" w:num="1">
            <w:col w:w="9019"/>
          </w:cols>
          <w:pgMar w:left="1440" w:top="1057" w:right="1440"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9019"/>
          </w:cols>
          <w:pgMar w:left="1440" w:top="1057" w:right="1440" w:bottom="1440" w:gutter="0" w:footer="0" w:header="0"/>
          <w:type w:val="continuous"/>
        </w:sectPr>
      </w:pPr>
    </w:p>
    <w:bookmarkStart w:id="252" w:name="page253"/>
    <w:bookmarkEnd w:id="252"/>
    <w:p>
      <w:pPr>
        <w:jc w:val="both"/>
        <w:ind w:left="1120" w:right="199"/>
        <w:spacing w:after="0" w:line="257" w:lineRule="auto"/>
        <w:rPr>
          <w:sz w:val="20"/>
          <w:szCs w:val="20"/>
          <w:color w:val="auto"/>
        </w:rPr>
      </w:pPr>
      <w:r>
        <w:rPr>
          <w:rFonts w:ascii="Times New Roman" w:cs="Times New Roman" w:eastAsia="Times New Roman" w:hAnsi="Times New Roman"/>
          <w:sz w:val="22"/>
          <w:szCs w:val="22"/>
          <w:color w:val="auto"/>
        </w:rPr>
        <w:t>Party in this Agreement are cumulative and in addition to any and all of its other rights, obligations and remedies provided for in this Agreement or under Applicable Law, whether express, implied, in fact or in law.</w:t>
      </w:r>
    </w:p>
    <w:p>
      <w:pPr>
        <w:spacing w:after="0" w:line="169" w:lineRule="exact"/>
        <w:rPr>
          <w:sz w:val="20"/>
          <w:szCs w:val="20"/>
          <w:color w:val="auto"/>
        </w:rPr>
      </w:pPr>
    </w:p>
    <w:p>
      <w:pPr>
        <w:jc w:val="both"/>
        <w:ind w:left="1120" w:right="199" w:firstLine="648"/>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18.9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The Parties intend every provision of this Agreement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severable. If any provision of this Agreement or the application of any provision to any person or to any circumstance is determined to be invalid or unenforceable, then such determination will not affect any other provision of this Agreement or the application of such provision to any other person or circumstance, all of which other provisions will remain in full force and effect. Any provision of this Agreement held to be invalid or unenforceable will be automatically terminated and performance by the Parties of that provision will be waived. To the extent permitted by Applicable Law, the provision held to be invalid or unenforceable will be replaced by a valid and enforceable provision that comes closest to the intention underlying the invalid or unenforceable provision.</w:t>
      </w:r>
    </w:p>
    <w:p>
      <w:pPr>
        <w:spacing w:after="0" w:line="165" w:lineRule="exact"/>
        <w:rPr>
          <w:sz w:val="20"/>
          <w:szCs w:val="20"/>
          <w:color w:val="auto"/>
        </w:rPr>
      </w:pPr>
    </w:p>
    <w:p>
      <w:pPr>
        <w:jc w:val="both"/>
        <w:ind w:left="1120" w:right="199" w:firstLine="648"/>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18.10 </w:t>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Agreement may be executed simultaneously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number of counterparts, each of which may be deemed an original but all of which together constitute one and the same agreement. The Parties may execute and deliver signatures to this Agreement electronically, including by facsimile or portable document format (PDF) file.</w:t>
      </w:r>
    </w:p>
    <w:p>
      <w:pPr>
        <w:spacing w:after="0" w:line="159" w:lineRule="exact"/>
        <w:rPr>
          <w:sz w:val="20"/>
          <w:szCs w:val="20"/>
          <w:color w:val="auto"/>
        </w:rPr>
      </w:pPr>
    </w:p>
    <w:p>
      <w:pPr>
        <w:jc w:val="both"/>
        <w:ind w:left="1120" w:right="19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18.11 </w:t>
      </w:r>
      <w:r>
        <w:rPr>
          <w:rFonts w:ascii="Times New Roman" w:cs="Times New Roman" w:eastAsia="Times New Roman" w:hAnsi="Times New Roman"/>
          <w:sz w:val="21"/>
          <w:szCs w:val="21"/>
          <w:b w:val="1"/>
          <w:bCs w:val="1"/>
          <w:color w:val="auto"/>
        </w:rPr>
        <w:t>Governing Law and Forum</w:t>
      </w:r>
      <w:r>
        <w:rPr>
          <w:rFonts w:ascii="Times New Roman" w:cs="Times New Roman" w:eastAsia="Times New Roman" w:hAnsi="Times New Roman"/>
          <w:sz w:val="21"/>
          <w:szCs w:val="21"/>
          <w:color w:val="auto"/>
        </w:rPr>
        <w:t>. This Agreement is governed by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State of Washington, without reference to its conflict of law rules. Each Party agrees to exclusive personal jurisdiction and venue in the federal and state courts in King County, Washington for any dispute arising out of this Agreement. With respect to any proceeding or action arising out of or in any way relating to this Agreement (whether in contract, tort, equity or otherwise), the Parties knowingly, intentionally and irrevocably waive their right to trial by jury.</w:t>
      </w:r>
    </w:p>
    <w:p>
      <w:pPr>
        <w:spacing w:after="0" w:line="165" w:lineRule="exact"/>
        <w:rPr>
          <w:sz w:val="20"/>
          <w:szCs w:val="20"/>
          <w:color w:val="auto"/>
        </w:rPr>
      </w:pPr>
    </w:p>
    <w:p>
      <w:pPr>
        <w:jc w:val="both"/>
        <w:ind w:left="1120" w:right="199"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18.12 </w:t>
      </w:r>
      <w:r>
        <w:rPr>
          <w:rFonts w:ascii="Times New Roman" w:cs="Times New Roman" w:eastAsia="Times New Roman" w:hAnsi="Times New Roman"/>
          <w:sz w:val="21"/>
          <w:szCs w:val="21"/>
          <w:b w:val="1"/>
          <w:bCs w:val="1"/>
          <w:color w:val="auto"/>
        </w:rPr>
        <w:t>Entire Agreement; Amendments</w:t>
      </w:r>
      <w:r>
        <w:rPr>
          <w:rFonts w:ascii="Times New Roman" w:cs="Times New Roman" w:eastAsia="Times New Roman" w:hAnsi="Times New Roman"/>
          <w:sz w:val="21"/>
          <w:szCs w:val="21"/>
          <w:color w:val="auto"/>
        </w:rPr>
        <w:t>. Each Party has read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understands it and agrees to be bound by its terms and conditions. This Agreement constitutes the entire agreement between the Parties relating to the Program and the other matters discussed in this Agreement, supersedes all prior oral or written agreements among the Parties with respect to the Program and such matters and now constitutes the complete and exclusive statement of the terms and conditions among the Parties with respect to the Program and such matters. This Agreement cannot be altered, amended, modified or supplemented except in a writing executed by a duly authorized representative of each Party.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9019"/>
          </w:cols>
          <w:pgMar w:left="1440" w:top="1179" w:right="1440" w:bottom="1440" w:gutter="0" w:footer="0" w:header="0"/>
        </w:sectPr>
      </w:pPr>
    </w:p>
    <w:bookmarkStart w:id="253" w:name="page254"/>
    <w:bookmarkEnd w:id="253"/>
    <w:p>
      <w:pPr>
        <w:ind w:right="759"/>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which is effective as of the Effective Date.</w:t>
      </w:r>
    </w:p>
    <w:p>
      <w:pPr>
        <w:sectPr>
          <w:pgSz w:w="11900" w:h="16838" w:orient="portrait"/>
          <w:cols w:equalWidth="0" w:num="1">
            <w:col w:w="9159"/>
          </w:cols>
          <w:pgMar w:left="1300" w:top="1408"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AFFIRM, INC.</w:t>
      </w:r>
    </w:p>
    <w:p>
      <w:pPr>
        <w:spacing w:after="0" w:line="3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 Pat Suh</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Pat Suh</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SVP Revenue</w:t>
      </w:r>
    </w:p>
    <w:p>
      <w:pPr>
        <w:spacing w:after="0" w:line="225" w:lineRule="exact"/>
        <w:rPr>
          <w:sz w:val="20"/>
          <w:szCs w:val="20"/>
          <w:color w:val="auto"/>
        </w:rPr>
      </w:pPr>
    </w:p>
    <w:p>
      <w:pPr>
        <w:sectPr>
          <w:pgSz w:w="11900" w:h="16838" w:orient="portrait"/>
          <w:cols w:equalWidth="0" w:num="2">
            <w:col w:w="4800" w:space="260"/>
            <w:col w:w="4099"/>
          </w:cols>
          <w:pgMar w:left="1300" w:top="1408" w:right="1440" w:bottom="1440" w:gutter="0" w:footer="0" w:header="0"/>
          <w:type w:val="continuous"/>
        </w:sectPr>
      </w:pPr>
    </w:p>
    <w:p>
      <w:pPr>
        <w:spacing w:after="0" w:line="1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Amazon.com Services LLC</w:t>
      </w:r>
    </w:p>
    <w:p>
      <w:pPr>
        <w:spacing w:after="0" w:line="251" w:lineRule="exact"/>
        <w:rPr>
          <w:sz w:val="20"/>
          <w:szCs w:val="20"/>
          <w:color w:val="auto"/>
        </w:rPr>
      </w:pPr>
    </w:p>
    <w:p>
      <w:pPr>
        <w:ind w:left="3820"/>
        <w:spacing w:after="0"/>
        <w:tabs>
          <w:tab w:leader="none" w:pos="50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Arial" w:cs="Arial" w:eastAsia="Arial" w:hAnsi="Arial"/>
          <w:sz w:val="16"/>
          <w:szCs w:val="16"/>
          <w:color w:val="auto"/>
        </w:rPr>
        <w:t>/s/ David Williams</w:t>
      </w:r>
    </w:p>
    <w:p>
      <w:pPr>
        <w:spacing w:after="0" w:line="29" w:lineRule="exact"/>
        <w:rPr>
          <w:sz w:val="20"/>
          <w:szCs w:val="20"/>
          <w:color w:val="auto"/>
        </w:rPr>
      </w:pPr>
    </w:p>
    <w:p>
      <w:pPr>
        <w:ind w:left="3820"/>
        <w:spacing w:after="0"/>
        <w:tabs>
          <w:tab w:leader="none" w:pos="52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Arial" w:cs="Arial" w:eastAsia="Arial" w:hAnsi="Arial"/>
          <w:sz w:val="16"/>
          <w:szCs w:val="16"/>
          <w:color w:val="auto"/>
        </w:rPr>
        <w:t>David Williams</w:t>
      </w:r>
    </w:p>
    <w:p>
      <w:pPr>
        <w:spacing w:after="0" w:line="17" w:lineRule="exact"/>
        <w:rPr>
          <w:sz w:val="20"/>
          <w:szCs w:val="20"/>
          <w:color w:val="auto"/>
        </w:rPr>
      </w:pPr>
    </w:p>
    <w:p>
      <w:pPr>
        <w:jc w:val="both"/>
        <w:ind w:left="3820"/>
        <w:spacing w:after="0"/>
        <w:tabs>
          <w:tab w:leader="none" w:pos="5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Arial" w:cs="Arial" w:eastAsia="Arial" w:hAnsi="Arial"/>
          <w:sz w:val="16"/>
          <w:szCs w:val="16"/>
          <w:color w:val="auto"/>
        </w:rPr>
        <w:t>VP Payment Products</w:t>
      </w:r>
    </w:p>
    <w:p>
      <w:pPr>
        <w:spacing w:after="0" w:line="3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Amazon Payments, INC.</w:t>
      </w:r>
    </w:p>
    <w:p>
      <w:pPr>
        <w:spacing w:after="0" w:line="239" w:lineRule="exact"/>
        <w:rPr>
          <w:sz w:val="20"/>
          <w:szCs w:val="20"/>
          <w:color w:val="auto"/>
        </w:rPr>
      </w:pPr>
    </w:p>
    <w:p>
      <w:pPr>
        <w:ind w:left="3820"/>
        <w:spacing w:after="0"/>
        <w:tabs>
          <w:tab w:leader="none" w:pos="50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Arial" w:cs="Arial" w:eastAsia="Arial" w:hAnsi="Arial"/>
          <w:sz w:val="16"/>
          <w:szCs w:val="16"/>
          <w:color w:val="auto"/>
        </w:rPr>
        <w:t>/s/ David Williams</w:t>
      </w:r>
    </w:p>
    <w:p>
      <w:pPr>
        <w:spacing w:after="0" w:line="29" w:lineRule="exact"/>
        <w:rPr>
          <w:sz w:val="20"/>
          <w:szCs w:val="20"/>
          <w:color w:val="auto"/>
        </w:rPr>
      </w:pPr>
    </w:p>
    <w:p>
      <w:pPr>
        <w:ind w:left="3820"/>
        <w:spacing w:after="0"/>
        <w:tabs>
          <w:tab w:leader="none" w:pos="52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Arial" w:cs="Arial" w:eastAsia="Arial" w:hAnsi="Arial"/>
          <w:sz w:val="16"/>
          <w:szCs w:val="16"/>
          <w:color w:val="auto"/>
        </w:rPr>
        <w:t>David Williams</w:t>
      </w:r>
    </w:p>
    <w:p>
      <w:pPr>
        <w:spacing w:after="0" w:line="17" w:lineRule="exact"/>
        <w:rPr>
          <w:sz w:val="20"/>
          <w:szCs w:val="20"/>
          <w:color w:val="auto"/>
        </w:rPr>
      </w:pPr>
    </w:p>
    <w:p>
      <w:pPr>
        <w:jc w:val="both"/>
        <w:ind w:left="3820"/>
        <w:spacing w:after="0"/>
        <w:tabs>
          <w:tab w:leader="none" w:pos="5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Arial" w:cs="Arial" w:eastAsia="Arial" w:hAnsi="Arial"/>
          <w:sz w:val="16"/>
          <w:szCs w:val="16"/>
          <w:color w:val="auto"/>
        </w:rPr>
        <w:t>VP Payment Products</w:t>
      </w:r>
    </w:p>
    <w:p>
      <w:pPr>
        <w:sectPr>
          <w:pgSz w:w="11900" w:h="16838" w:orient="portrait"/>
          <w:cols w:equalWidth="0" w:num="1">
            <w:col w:w="9159"/>
          </w:cols>
          <w:pgMar w:left="1300" w:top="1408" w:right="1440" w:bottom="1440" w:gutter="0" w:footer="0" w:header="0"/>
          <w:type w:val="continuous"/>
        </w:sectPr>
      </w:pPr>
    </w:p>
    <w:bookmarkStart w:id="254" w:name="page255"/>
    <w:bookmarkEnd w:id="254"/>
    <w:p>
      <w:pPr>
        <w:spacing w:after="0" w:line="2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1.1</w:t>
      </w:r>
      <w:r>
        <w:rPr>
          <w:rFonts w:ascii="Times New Roman" w:cs="Times New Roman" w:eastAsia="Times New Roman" w:hAnsi="Times New Roman"/>
          <w:sz w:val="22"/>
          <w:szCs w:val="22"/>
          <w:b w:val="1"/>
          <w:bCs w:val="1"/>
          <w:color w:val="auto"/>
        </w:rPr>
        <w:t xml:space="preserve"> DEFINITIONS</w:t>
      </w:r>
    </w:p>
    <w:p>
      <w:pPr>
        <w:spacing w:after="0" w:line="112"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A&amp;R Second Warrant</w:t>
      </w:r>
      <w:r>
        <w:rPr>
          <w:rFonts w:ascii="Times New Roman" w:cs="Times New Roman" w:eastAsia="Times New Roman" w:hAnsi="Times New Roman"/>
          <w:sz w:val="22"/>
          <w:szCs w:val="22"/>
          <w:color w:val="auto"/>
        </w:rPr>
        <w:t>” means the Amended and Restated Warrant to Purchase Class A Common Stock dated October 27, 2023 by and between Affirm Holdings, Inc. and Amazon.com Services LLC, as restated and amended from time to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Amazon Data</w:t>
      </w:r>
      <w:r>
        <w:rPr>
          <w:rFonts w:ascii="Times New Roman" w:cs="Times New Roman" w:eastAsia="Times New Roman" w:hAnsi="Times New Roman"/>
          <w:sz w:val="22"/>
          <w:szCs w:val="22"/>
          <w:color w:val="auto"/>
        </w:rPr>
        <w:t>” means, collectively, [***].</w:t>
      </w:r>
    </w:p>
    <w:p>
      <w:pPr>
        <w:spacing w:after="0" w:line="220" w:lineRule="exact"/>
        <w:rPr>
          <w:sz w:val="20"/>
          <w:szCs w:val="20"/>
          <w:color w:val="auto"/>
        </w:rPr>
      </w:pPr>
    </w:p>
    <w:p>
      <w:pPr>
        <w:jc w:val="both"/>
        <w:ind w:right="19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Site</w:t>
      </w:r>
      <w:r>
        <w:rPr>
          <w:rFonts w:ascii="Times New Roman" w:cs="Times New Roman" w:eastAsia="Times New Roman" w:hAnsi="Times New Roman"/>
          <w:sz w:val="22"/>
          <w:szCs w:val="22"/>
          <w:color w:val="auto"/>
        </w:rPr>
        <w:t>” means the URL(s) and the mobile version thereof (app and browser) maintained by or on behalf of (x) each Covered Amazon Affiliate that has entered into the necessary agreement to join this Agreement as a Party, (y) Amazon CA Affiliate [***], if it has entered into separate agreements with Affirm or any Affiliate of Affirm [***].</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Adverse Change</w:t>
      </w:r>
      <w:r>
        <w:rPr>
          <w:rFonts w:ascii="Times New Roman" w:cs="Times New Roman" w:eastAsia="Times New Roman" w:hAnsi="Times New Roman"/>
          <w:sz w:val="22"/>
          <w:szCs w:val="22"/>
          <w:color w:val="auto"/>
        </w:rPr>
        <w:t>” has the meaning set forth in Section 16.5(A).</w:t>
      </w:r>
    </w:p>
    <w:p>
      <w:pPr>
        <w:spacing w:after="0" w:line="220" w:lineRule="exact"/>
        <w:rPr>
          <w:sz w:val="20"/>
          <w:szCs w:val="20"/>
          <w:color w:val="auto"/>
        </w:rPr>
      </w:pPr>
    </w:p>
    <w:p>
      <w:pPr>
        <w:jc w:val="both"/>
        <w:ind w:right="199"/>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from and after the Effective Date, with respect to (A) any Amazon Party, any person or entity that directly or indirectly Controls, is Controlled by, or is under common Control with such Amazon Party, (B) Affirm, any person or entity that directly or indirectly Controls, is Controlled by, or is under common Control with Affirm.</w:t>
      </w:r>
    </w:p>
    <w:p>
      <w:pPr>
        <w:spacing w:after="0" w:line="202" w:lineRule="exact"/>
        <w:rPr>
          <w:sz w:val="20"/>
          <w:szCs w:val="20"/>
          <w:color w:val="auto"/>
        </w:rPr>
      </w:pPr>
    </w:p>
    <w:p>
      <w:pPr>
        <w:ind w:right="1039"/>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w:t>
      </w:r>
      <w:r>
        <w:rPr>
          <w:rFonts w:ascii="Times New Roman" w:cs="Times New Roman" w:eastAsia="Times New Roman" w:hAnsi="Times New Roman"/>
          <w:sz w:val="22"/>
          <w:szCs w:val="22"/>
          <w:color w:val="auto"/>
        </w:rPr>
        <w:t>” has the meaning set forth in the introductory paragraph and, subject to Section 18.3, includes any successors or assigns.</w:t>
      </w:r>
    </w:p>
    <w:p>
      <w:pPr>
        <w:spacing w:after="0" w:line="151"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Customer Information</w:t>
      </w:r>
      <w:r>
        <w:rPr>
          <w:rFonts w:ascii="Times New Roman" w:cs="Times New Roman" w:eastAsia="Times New Roman" w:hAnsi="Times New Roman"/>
          <w:sz w:val="22"/>
          <w:szCs w:val="22"/>
          <w:color w:val="auto"/>
        </w:rPr>
        <w:t>” means all Application Data and all other information required to fulfill the terms of this Agreement related to Eligible Applicants and Approved Customers collected and compiled by Affirm or on Affirm’s behalf or provided to Affirm by an Eligible Applicant or Approved Customer [***]. Affirm Customer Information does not include Amazon Transaction Information, Additional Amazon Data, Amazon Customer Information or Amazon Developed Information, though Affirm Customer Information may be duplicative of Amazon Transaction Data, Additional Amazon Data or Amazon Customer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Financial Covenants</w:t>
      </w:r>
      <w:r>
        <w:rPr>
          <w:rFonts w:ascii="Times New Roman" w:cs="Times New Roman" w:eastAsia="Times New Roman" w:hAnsi="Times New Roman"/>
          <w:sz w:val="22"/>
          <w:szCs w:val="22"/>
          <w:color w:val="auto"/>
        </w:rPr>
        <w:t xml:space="preserve">” has the meaning set forth in Section 2 of </w:t>
      </w:r>
      <w:r>
        <w:rPr>
          <w:rFonts w:ascii="Times New Roman" w:cs="Times New Roman" w:eastAsia="Times New Roman" w:hAnsi="Times New Roman"/>
          <w:sz w:val="22"/>
          <w:szCs w:val="22"/>
          <w:u w:val="single" w:color="auto"/>
          <w:color w:val="auto"/>
        </w:rPr>
        <w:t>Schedule 7.3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199"/>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Fraud Data</w:t>
      </w:r>
      <w:r>
        <w:rPr>
          <w:rFonts w:ascii="Times New Roman" w:cs="Times New Roman" w:eastAsia="Times New Roman" w:hAnsi="Times New Roman"/>
          <w:sz w:val="22"/>
          <w:szCs w:val="22"/>
          <w:color w:val="auto"/>
        </w:rPr>
        <w:t>” means, for each Amazon Customer applying for Program Credit, (i) such Amazon Customer’s [***], and (ii) such other information collected or assembled by any Amazon Party as may be mutually agreed by the Parties, in each case, regarding such Amazon Customer or such Amazon Customer’s Amazon account.</w:t>
      </w:r>
    </w:p>
    <w:p>
      <w:pPr>
        <w:spacing w:after="0" w:line="189" w:lineRule="exact"/>
        <w:rPr>
          <w:sz w:val="20"/>
          <w:szCs w:val="20"/>
          <w:color w:val="auto"/>
        </w:rPr>
      </w:pPr>
    </w:p>
    <w:p>
      <w:pPr>
        <w:ind w:right="3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Affirm-Hosted Solution</w:t>
      </w:r>
      <w:r>
        <w:rPr>
          <w:rFonts w:ascii="Times New Roman" w:cs="Times New Roman" w:eastAsia="Times New Roman" w:hAnsi="Times New Roman"/>
          <w:sz w:val="22"/>
          <w:szCs w:val="22"/>
          <w:color w:val="auto"/>
        </w:rPr>
        <w:t>” means an Affirm-hosted checkout experience initiated through server-side calls to Affirm's direct checkout API.</w:t>
      </w:r>
    </w:p>
    <w:p>
      <w:pPr>
        <w:spacing w:after="0" w:line="176" w:lineRule="exact"/>
        <w:rPr>
          <w:sz w:val="20"/>
          <w:szCs w:val="20"/>
          <w:color w:val="auto"/>
        </w:rPr>
      </w:pPr>
    </w:p>
    <w:p>
      <w:pPr>
        <w:ind w:right="6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MDR</w:t>
      </w:r>
      <w:r>
        <w:rPr>
          <w:rFonts w:ascii="Times New Roman" w:cs="Times New Roman" w:eastAsia="Times New Roman" w:hAnsi="Times New Roman"/>
          <w:sz w:val="22"/>
          <w:szCs w:val="22"/>
          <w:color w:val="auto"/>
        </w:rPr>
        <w:t>” means the formula, unilaterally controlled and set by Affirm for each Processed Merchant, used to calculate the amount payable by a Processed Merchant to Amazon Payments in connection with the issuance of each Program Credit.</w:t>
      </w:r>
    </w:p>
    <w:p>
      <w:pPr>
        <w:sectPr>
          <w:pgSz w:w="11900" w:h="16838" w:orient="portrait"/>
          <w:cols w:equalWidth="0" w:num="1">
            <w:col w:w="9159"/>
          </w:cols>
          <w:pgMar w:left="1300" w:top="1440" w:right="1440" w:bottom="1440" w:gutter="0" w:footer="0" w:header="0"/>
        </w:sectPr>
      </w:pPr>
    </w:p>
    <w:bookmarkStart w:id="255" w:name="page256"/>
    <w:bookmarkEnd w:id="255"/>
    <w:p>
      <w:pPr>
        <w:ind w:right="1139"/>
        <w:spacing w:after="0" w:line="3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MDR Threshold</w:t>
      </w:r>
      <w:r>
        <w:rPr>
          <w:rFonts w:ascii="Times New Roman" w:cs="Times New Roman" w:eastAsia="Times New Roman" w:hAnsi="Times New Roman"/>
          <w:sz w:val="22"/>
          <w:szCs w:val="22"/>
          <w:color w:val="auto"/>
        </w:rPr>
        <w:t xml:space="preserve">” means the applicable rate, expressed as a percentage, set forth in Table 2.1-A, Table 2.1-B, or Table 2.1-C, as applicable, in </w:t>
      </w:r>
      <w:r>
        <w:rPr>
          <w:rFonts w:ascii="Times New Roman" w:cs="Times New Roman" w:eastAsia="Times New Roman" w:hAnsi="Times New Roman"/>
          <w:sz w:val="22"/>
          <w:szCs w:val="22"/>
          <w:u w:val="single" w:color="auto"/>
          <w:color w:val="auto"/>
        </w:rPr>
        <w:t>Schedule 2.3(A)(2)</w:t>
      </w:r>
      <w:r>
        <w:rPr>
          <w:rFonts w:ascii="Times New Roman" w:cs="Times New Roman" w:eastAsia="Times New Roman" w:hAnsi="Times New Roman"/>
          <w:sz w:val="22"/>
          <w:szCs w:val="2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Program Application Hosting Services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Promotion</w:t>
      </w:r>
      <w:r>
        <w:rPr>
          <w:rFonts w:ascii="Times New Roman" w:cs="Times New Roman" w:eastAsia="Times New Roman" w:hAnsi="Times New Roman"/>
          <w:sz w:val="22"/>
          <w:szCs w:val="22"/>
          <w:color w:val="auto"/>
        </w:rPr>
        <w:t xml:space="preserve">” has the meaning set forth in Section (A) of </w:t>
      </w:r>
      <w:r>
        <w:rPr>
          <w:rFonts w:ascii="Times New Roman" w:cs="Times New Roman" w:eastAsia="Times New Roman" w:hAnsi="Times New Roman"/>
          <w:sz w:val="22"/>
          <w:szCs w:val="22"/>
          <w:u w:val="single" w:color="auto"/>
          <w:color w:val="auto"/>
        </w:rPr>
        <w:t>Schedule 5.3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Site</w:t>
      </w:r>
      <w:r>
        <w:rPr>
          <w:rFonts w:ascii="Times New Roman" w:cs="Times New Roman" w:eastAsia="Times New Roman" w:hAnsi="Times New Roman"/>
          <w:sz w:val="22"/>
          <w:szCs w:val="22"/>
          <w:color w:val="auto"/>
        </w:rPr>
        <w:t>” means www.affirm.com and the mobile version thereof (app and browser), or any successor URL designated by Affirm in writing from time to time to Amazon that is owned and maintained by Affirm.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Suggestions</w:t>
      </w:r>
      <w:r>
        <w:rPr>
          <w:rFonts w:ascii="Times New Roman" w:cs="Times New Roman" w:eastAsia="Times New Roman" w:hAnsi="Times New Roman"/>
          <w:sz w:val="22"/>
          <w:szCs w:val="22"/>
          <w:color w:val="auto"/>
        </w:rPr>
        <w:t>” has the meaning set forth in Section 12.4(A)(5).</w:t>
      </w:r>
    </w:p>
    <w:p>
      <w:pPr>
        <w:spacing w:after="0" w:line="206"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Systems</w:t>
      </w:r>
      <w:r>
        <w:rPr>
          <w:rFonts w:ascii="Times New Roman" w:cs="Times New Roman" w:eastAsia="Times New Roman" w:hAnsi="Times New Roman"/>
          <w:sz w:val="22"/>
          <w:szCs w:val="22"/>
          <w:color w:val="auto"/>
        </w:rPr>
        <w:t>” means the combination of computer hardware, software and telecommunications facilities operated by or on behalf of Affirm that perform Affirm’s obligations under the Program and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Trademark Guidelines</w:t>
      </w:r>
      <w:r>
        <w:rPr>
          <w:rFonts w:ascii="Times New Roman" w:cs="Times New Roman" w:eastAsia="Times New Roman" w:hAnsi="Times New Roman"/>
          <w:sz w:val="22"/>
          <w:szCs w:val="22"/>
          <w:color w:val="auto"/>
        </w:rPr>
        <w:t>” means the guidelines set forth on Schedule 12.1.</w:t>
      </w:r>
    </w:p>
    <w:p>
      <w:pPr>
        <w:spacing w:after="0" w:line="220" w:lineRule="exact"/>
        <w:rPr>
          <w:sz w:val="20"/>
          <w:szCs w:val="20"/>
          <w:color w:val="auto"/>
        </w:rPr>
      </w:pPr>
    </w:p>
    <w:p>
      <w:pPr>
        <w:jc w:val="both"/>
        <w:ind w:right="19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Affirm Trademarks</w:t>
      </w:r>
      <w:r>
        <w:rPr>
          <w:rFonts w:ascii="Times New Roman" w:cs="Times New Roman" w:eastAsia="Times New Roman" w:hAnsi="Times New Roman"/>
          <w:sz w:val="22"/>
          <w:szCs w:val="22"/>
          <w:color w:val="auto"/>
        </w:rPr>
        <w:t>” means the Trademarks of Affirm and its Affiliates listed on Schedule 12.1 that Affirm authorizes for use by Amazon in accordance with Section 12.1.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Daily Settlement Amount</w:t>
      </w:r>
      <w:r>
        <w:rPr>
          <w:rFonts w:ascii="Times New Roman" w:cs="Times New Roman" w:eastAsia="Times New Roman" w:hAnsi="Times New Roman"/>
          <w:sz w:val="22"/>
          <w:szCs w:val="22"/>
          <w:color w:val="auto"/>
        </w:rPr>
        <w:t>” has the meaning set forth in Section 6.10(F).</w:t>
      </w:r>
    </w:p>
    <w:p>
      <w:pPr>
        <w:spacing w:after="0" w:line="233"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Data</w:t>
      </w:r>
      <w:r>
        <w:rPr>
          <w:rFonts w:ascii="Times New Roman" w:cs="Times New Roman" w:eastAsia="Times New Roman" w:hAnsi="Times New Roman"/>
          <w:sz w:val="22"/>
          <w:szCs w:val="22"/>
          <w:color w:val="auto"/>
        </w:rPr>
        <w:t>” means the aggregate, statistical or other non-personally identifiable information provided by Affirm to Amazon Services regarding Program Credit, Prequalification Application and Approved Customers under this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introductory paragraph.</w:t>
      </w:r>
    </w:p>
    <w:p>
      <w:pPr>
        <w:spacing w:after="0" w:line="220" w:lineRule="exact"/>
        <w:rPr>
          <w:sz w:val="20"/>
          <w:szCs w:val="20"/>
          <w:color w:val="auto"/>
        </w:rPr>
      </w:pPr>
    </w:p>
    <w:p>
      <w:pPr>
        <w:ind w:right="89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w:t>
      </w:r>
      <w:r>
        <w:rPr>
          <w:rFonts w:ascii="Times New Roman" w:cs="Times New Roman" w:eastAsia="Times New Roman" w:hAnsi="Times New Roman"/>
          <w:sz w:val="22"/>
          <w:szCs w:val="22"/>
          <w:color w:val="auto"/>
        </w:rPr>
        <w:t>” has the meaning set forth in the introductory paragraph and, subject to Section 18.3, includes any successors or assigns.</w:t>
      </w:r>
    </w:p>
    <w:p>
      <w:pPr>
        <w:spacing w:after="0" w:line="137" w:lineRule="exact"/>
        <w:rPr>
          <w:sz w:val="20"/>
          <w:szCs w:val="20"/>
          <w:color w:val="auto"/>
        </w:rPr>
      </w:pPr>
    </w:p>
    <w:p>
      <w:pPr>
        <w:jc w:val="both"/>
        <w:ind w:right="19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Amazon Affiliate Site(s)</w:t>
      </w:r>
      <w:r>
        <w:rPr>
          <w:rFonts w:ascii="Times New Roman" w:cs="Times New Roman" w:eastAsia="Times New Roman" w:hAnsi="Times New Roman"/>
          <w:sz w:val="21"/>
          <w:szCs w:val="21"/>
          <w:color w:val="auto"/>
        </w:rPr>
        <w:t>” means any website or websites or portions of such website or websites, or any physical store, kiosk or site, in each case, owned, operated or controlled by a Covered Amazon Affiliate, as specified in the applicable Covered Affiliate Counterpart, where Customers may purchase items from such Covered Amazon Affiliate, Affiliates of such Covered Amazon Affiliate, or any unaffiliated third party merchants selling goods or services on such website or websites or physical location. Notwithstanding the foregoing, the initial inclusion of any physical store, location, kiosk, or site as an Amazon Affiliate Site will be subject to the Parties’ mutual agreement on certain policies and procedures regarding the manner in which the Amazon Parties and their Personnel may market and offer the Program to Amazon Customers at physical stores, locations, kiosks, or sites generally.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Application Data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CA Affiliate</w:t>
      </w:r>
      <w:r>
        <w:rPr>
          <w:rFonts w:ascii="Times New Roman" w:cs="Times New Roman" w:eastAsia="Times New Roman" w:hAnsi="Times New Roman"/>
          <w:sz w:val="22"/>
          <w:szCs w:val="22"/>
          <w:color w:val="auto"/>
        </w:rPr>
        <w:t>” means Amazon.com.ca ULC (formerly known as Amazon.com.ca, Inc.), its successors or assignees, which is the Amazon Affiliate that operates the website www.amazon.ca and the mobile version thereof (app and browser).</w:t>
      </w:r>
    </w:p>
    <w:p>
      <w:pPr>
        <w:sectPr>
          <w:pgSz w:w="11900" w:h="16838" w:orient="portrait"/>
          <w:cols w:equalWidth="0" w:num="1">
            <w:col w:w="9159"/>
          </w:cols>
          <w:pgMar w:left="1300" w:top="959" w:right="1440" w:bottom="1440" w:gutter="0" w:footer="0" w:header="0"/>
        </w:sectPr>
      </w:pPr>
    </w:p>
    <w:bookmarkStart w:id="256" w:name="page257"/>
    <w:bookmarkEnd w:id="256"/>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Concession</w:t>
      </w:r>
      <w:r>
        <w:rPr>
          <w:rFonts w:ascii="Times New Roman" w:cs="Times New Roman" w:eastAsia="Times New Roman" w:hAnsi="Times New Roman"/>
          <w:sz w:val="22"/>
          <w:szCs w:val="22"/>
          <w:color w:val="auto"/>
        </w:rPr>
        <w:t>” means (i) any partial or full refund of order costs, such as the purchase price or the shipping cost or (ii) any other concessions, in each case provided to Approved Customers by an Amazon Party in connection with Purchased Goods in a Basket.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Customer</w:t>
      </w:r>
      <w:r>
        <w:rPr>
          <w:rFonts w:ascii="Times New Roman" w:cs="Times New Roman" w:eastAsia="Times New Roman" w:hAnsi="Times New Roman"/>
          <w:sz w:val="22"/>
          <w:szCs w:val="22"/>
          <w:color w:val="auto"/>
        </w:rPr>
        <w:t>” means any customer associated with a Participating Site. “</w:t>
      </w:r>
      <w:r>
        <w:rPr>
          <w:rFonts w:ascii="Times New Roman" w:cs="Times New Roman" w:eastAsia="Times New Roman" w:hAnsi="Times New Roman"/>
          <w:sz w:val="22"/>
          <w:szCs w:val="22"/>
          <w:b w:val="1"/>
          <w:bCs w:val="1"/>
          <w:color w:val="auto"/>
        </w:rPr>
        <w:t>Amazon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Customer Dispute</w:t>
      </w:r>
      <w:r>
        <w:rPr>
          <w:rFonts w:ascii="Times New Roman" w:cs="Times New Roman" w:eastAsia="Times New Roman" w:hAnsi="Times New Roman"/>
          <w:sz w:val="22"/>
          <w:szCs w:val="22"/>
          <w:color w:val="auto"/>
        </w:rPr>
        <w:t>” has the meaning set forth in Section 4.3(A).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Customer Information</w:t>
      </w:r>
      <w:r>
        <w:rPr>
          <w:rFonts w:ascii="Times New Roman" w:cs="Times New Roman" w:eastAsia="Times New Roman" w:hAnsi="Times New Roman"/>
          <w:sz w:val="22"/>
          <w:szCs w:val="22"/>
          <w:color w:val="auto"/>
        </w:rPr>
        <w:t>” means for each Amazon Customer applying for Program Credit,</w:t>
      </w:r>
    </w:p>
    <w:p>
      <w:pPr>
        <w:spacing w:after="0" w:line="32" w:lineRule="exact"/>
        <w:rPr>
          <w:sz w:val="20"/>
          <w:szCs w:val="20"/>
          <w:color w:val="auto"/>
        </w:rPr>
      </w:pPr>
    </w:p>
    <w:p>
      <w:pPr>
        <w:ind w:right="199"/>
        <w:spacing w:after="0" w:line="261" w:lineRule="auto"/>
        <w:tabs>
          <w:tab w:leader="none" w:pos="29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 (iii) such other information collected or assembled by any Amazon Party regarding Amazon Customers on or through the Participating Site.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Developed Information</w:t>
      </w:r>
      <w:r>
        <w:rPr>
          <w:rFonts w:ascii="Times New Roman" w:cs="Times New Roman" w:eastAsia="Times New Roman" w:hAnsi="Times New Roman"/>
          <w:sz w:val="22"/>
          <w:szCs w:val="22"/>
          <w:color w:val="auto"/>
        </w:rPr>
        <w:t>” has the meaning set forth in Section 9.1(B).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Fraud Data</w:t>
      </w:r>
      <w:r>
        <w:rPr>
          <w:rFonts w:ascii="Times New Roman" w:cs="Times New Roman" w:eastAsia="Times New Roman" w:hAnsi="Times New Roman"/>
          <w:sz w:val="22"/>
          <w:szCs w:val="22"/>
          <w:color w:val="auto"/>
        </w:rPr>
        <w:t>” means, for each Amazon Customer applying for Program Credit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Parties</w:t>
      </w:r>
      <w:r>
        <w:rPr>
          <w:rFonts w:ascii="Times New Roman" w:cs="Times New Roman" w:eastAsia="Times New Roman" w:hAnsi="Times New Roman"/>
          <w:sz w:val="22"/>
          <w:szCs w:val="22"/>
          <w:color w:val="auto"/>
        </w:rPr>
        <w:t>” means, collectively, Amazon Services, Amazon Payments, and all Covered Amazon Affiliates, and “</w:t>
      </w:r>
      <w:r>
        <w:rPr>
          <w:rFonts w:ascii="Times New Roman" w:cs="Times New Roman" w:eastAsia="Times New Roman" w:hAnsi="Times New Roman"/>
          <w:sz w:val="22"/>
          <w:szCs w:val="22"/>
          <w:b w:val="1"/>
          <w:bCs w:val="1"/>
          <w:color w:val="auto"/>
        </w:rPr>
        <w:t>Amazon Party</w:t>
      </w:r>
      <w:r>
        <w:rPr>
          <w:rFonts w:ascii="Times New Roman" w:cs="Times New Roman" w:eastAsia="Times New Roman" w:hAnsi="Times New Roman"/>
          <w:sz w:val="22"/>
          <w:szCs w:val="22"/>
          <w:color w:val="auto"/>
        </w:rPr>
        <w:t>” means any of Amazon Services, Amazon Payments, or a Covered Amazon Affiliate individually, as the context may require.</w:t>
      </w:r>
    </w:p>
    <w:p>
      <w:pPr>
        <w:spacing w:after="0" w:line="153"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Pay</w:t>
      </w:r>
      <w:r>
        <w:rPr>
          <w:rFonts w:ascii="Times New Roman" w:cs="Times New Roman" w:eastAsia="Times New Roman" w:hAnsi="Times New Roman"/>
          <w:sz w:val="22"/>
          <w:szCs w:val="22"/>
          <w:color w:val="auto"/>
        </w:rPr>
        <w:t>” means the online payment service operated by Amazon Payments or its Affiliate that enables Amazon Payments or such Affiliate to process payments for transactions of buyers on Processed Merchant Sites.</w:t>
      </w:r>
    </w:p>
    <w:p>
      <w:pPr>
        <w:spacing w:after="0" w:line="189"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Pay Widget</w:t>
      </w:r>
      <w:r>
        <w:rPr>
          <w:rFonts w:ascii="Times New Roman" w:cs="Times New Roman" w:eastAsia="Times New Roman" w:hAnsi="Times New Roman"/>
          <w:sz w:val="22"/>
          <w:szCs w:val="22"/>
          <w:color w:val="auto"/>
        </w:rPr>
        <w:t>” means any banner, table, popup, screen, button, widget, portlet or module located on a Processed Merchant Site, the content of which is controlled by Amazon Payments or its Affiliates.</w:t>
      </w:r>
    </w:p>
    <w:p>
      <w:pPr>
        <w:spacing w:after="0" w:line="193" w:lineRule="exact"/>
        <w:rPr>
          <w:sz w:val="20"/>
          <w:szCs w:val="20"/>
          <w:color w:val="auto"/>
        </w:rPr>
      </w:pPr>
    </w:p>
    <w:p>
      <w:pPr>
        <w:ind w:right="1139"/>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Payments</w:t>
      </w:r>
      <w:r>
        <w:rPr>
          <w:rFonts w:ascii="Times New Roman" w:cs="Times New Roman" w:eastAsia="Times New Roman" w:hAnsi="Times New Roman"/>
          <w:sz w:val="22"/>
          <w:szCs w:val="22"/>
          <w:color w:val="auto"/>
        </w:rPr>
        <w:t>” has the meaning set forth in the introductory paragraph and, subject to Section 18.3, includes any successors or assigns.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Program Support Funding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7.1.</w:t>
      </w:r>
    </w:p>
    <w:p>
      <w:pPr>
        <w:spacing w:after="0" w:line="220" w:lineRule="exact"/>
        <w:rPr>
          <w:sz w:val="20"/>
          <w:szCs w:val="20"/>
          <w:color w:val="auto"/>
        </w:rPr>
      </w:pPr>
    </w:p>
    <w:p>
      <w:pPr>
        <w:ind w:right="57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Services</w:t>
      </w:r>
      <w:r>
        <w:rPr>
          <w:rFonts w:ascii="Times New Roman" w:cs="Times New Roman" w:eastAsia="Times New Roman" w:hAnsi="Times New Roman"/>
          <w:sz w:val="22"/>
          <w:szCs w:val="22"/>
          <w:color w:val="auto"/>
        </w:rPr>
        <w:t>” has the meaning set forth in the introductory paragraph and, subject to Section 18.3, includes any successors or assigns.</w:t>
      </w:r>
    </w:p>
    <w:p>
      <w:pPr>
        <w:spacing w:after="0" w:line="137" w:lineRule="exact"/>
        <w:rPr>
          <w:sz w:val="20"/>
          <w:szCs w:val="20"/>
          <w:color w:val="auto"/>
        </w:rPr>
      </w:pPr>
    </w:p>
    <w:p>
      <w:pPr>
        <w:jc w:val="both"/>
        <w:ind w:right="19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Amazon Site</w:t>
      </w:r>
      <w:r>
        <w:rPr>
          <w:rFonts w:ascii="Times New Roman" w:cs="Times New Roman" w:eastAsia="Times New Roman" w:hAnsi="Times New Roman"/>
          <w:sz w:val="21"/>
          <w:szCs w:val="21"/>
          <w:color w:val="auto"/>
        </w:rPr>
        <w:t>” means the website www.amazon.com and the mobile version thereof (app and browser), or any successor URL designated by Amazon for customers in the Territory. Amazon Site does not include any other URL maintained by or on behalf of Amazon or its Affiliates. For the avoidance of doubt and without limiting the generality of the foregoing, Amazon Site does not include</w:t>
      </w:r>
    </w:p>
    <w:p>
      <w:pPr>
        <w:spacing w:after="0" w:line="1" w:lineRule="exact"/>
        <w:rPr>
          <w:sz w:val="20"/>
          <w:szCs w:val="20"/>
          <w:color w:val="auto"/>
        </w:rPr>
      </w:pPr>
    </w:p>
    <w:p>
      <w:pPr>
        <w:jc w:val="both"/>
        <w:ind w:right="199"/>
        <w:spacing w:after="0" w:line="245" w:lineRule="auto"/>
        <w:tabs>
          <w:tab w:leader="none" w:pos="396"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existing or future Affiliate websites principally serving geographic regions outside of the Territory (e.g., </w:t>
      </w:r>
      <w:r>
        <w:rPr>
          <w:rFonts w:ascii="Times New Roman" w:cs="Times New Roman" w:eastAsia="Times New Roman" w:hAnsi="Times New Roman"/>
          <w:sz w:val="22"/>
          <w:szCs w:val="22"/>
          <w:u w:val="single" w:color="auto"/>
          <w:color w:val="0000FF"/>
        </w:rPr>
        <w:t>www.amazon.ca</w:t>
      </w:r>
      <w:r>
        <w:rPr>
          <w:rFonts w:ascii="Times New Roman" w:cs="Times New Roman" w:eastAsia="Times New Roman" w:hAnsi="Times New Roman"/>
          <w:sz w:val="22"/>
          <w:szCs w:val="22"/>
          <w:color w:val="auto"/>
        </w:rPr>
        <w:t xml:space="preserve">), (B) any existing or future affiliated websites principally serving the Territory but operating under a separate url (e.g., </w:t>
      </w:r>
      <w:r>
        <w:rPr>
          <w:rFonts w:ascii="Times New Roman" w:cs="Times New Roman" w:eastAsia="Times New Roman" w:hAnsi="Times New Roman"/>
          <w:sz w:val="22"/>
          <w:szCs w:val="22"/>
          <w:u w:val="single" w:color="auto"/>
          <w:color w:val="0000FF"/>
        </w:rPr>
        <w:t>www.zappos.com</w:t>
      </w:r>
      <w:r>
        <w:rPr>
          <w:rFonts w:ascii="Times New Roman" w:cs="Times New Roman" w:eastAsia="Times New Roman" w:hAnsi="Times New Roman"/>
          <w:sz w:val="22"/>
          <w:szCs w:val="22"/>
          <w:color w:val="auto"/>
        </w:rPr>
        <w:t>), or (C) any existing or future websites owned by Amazon or its Affiliates and hosted on</w:t>
      </w:r>
    </w:p>
    <w:p>
      <w:pPr>
        <w:sectPr>
          <w:pgSz w:w="11900" w:h="16838" w:orient="portrait"/>
          <w:cols w:equalWidth="0" w:num="1">
            <w:col w:w="9159"/>
          </w:cols>
          <w:pgMar w:left="1300" w:top="1161" w:right="1440" w:bottom="1440" w:gutter="0" w:footer="0" w:header="0"/>
        </w:sectPr>
      </w:pPr>
    </w:p>
    <w:bookmarkStart w:id="257" w:name="page258"/>
    <w:bookmarkEnd w:id="257"/>
    <w:p>
      <w:pPr>
        <w:jc w:val="both"/>
        <w:ind w:right="1280"/>
        <w:spacing w:after="0" w:line="284" w:lineRule="auto"/>
        <w:rPr>
          <w:sz w:val="20"/>
          <w:szCs w:val="20"/>
          <w:color w:val="auto"/>
        </w:rPr>
      </w:pPr>
      <w:r>
        <w:rPr>
          <w:rFonts w:ascii="Times New Roman" w:cs="Times New Roman" w:eastAsia="Times New Roman" w:hAnsi="Times New Roman"/>
          <w:sz w:val="22"/>
          <w:szCs w:val="22"/>
          <w:color w:val="auto"/>
        </w:rPr>
        <w:t xml:space="preserve">www.amazon.com but designated with a distinct third level domain name (e.g., </w:t>
      </w:r>
      <w:r>
        <w:rPr>
          <w:rFonts w:ascii="Times New Roman" w:cs="Times New Roman" w:eastAsia="Times New Roman" w:hAnsi="Times New Roman"/>
          <w:sz w:val="22"/>
          <w:szCs w:val="22"/>
          <w:u w:val="single" w:color="auto"/>
          <w:color w:val="0000FF"/>
        </w:rPr>
        <w:t>www.aws.amazon.com</w:t>
      </w:r>
      <w:r>
        <w:rPr>
          <w:rFonts w:ascii="Times New Roman" w:cs="Times New Roman" w:eastAsia="Times New Roman" w:hAnsi="Times New Roman"/>
          <w:sz w:val="22"/>
          <w:szCs w:val="22"/>
          <w:color w:val="000000"/>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Suggestions</w:t>
      </w:r>
      <w:r>
        <w:rPr>
          <w:rFonts w:ascii="Times New Roman" w:cs="Times New Roman" w:eastAsia="Times New Roman" w:hAnsi="Times New Roman"/>
          <w:sz w:val="22"/>
          <w:szCs w:val="22"/>
          <w:color w:val="auto"/>
        </w:rPr>
        <w:t>” has the meaning set forth in Section 12.4(A)(5).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Trademark Guidelines</w:t>
      </w:r>
      <w:r>
        <w:rPr>
          <w:rFonts w:ascii="Times New Roman" w:cs="Times New Roman" w:eastAsia="Times New Roman" w:hAnsi="Times New Roman"/>
          <w:sz w:val="22"/>
          <w:szCs w:val="22"/>
          <w:color w:val="auto"/>
        </w:rPr>
        <w:t xml:space="preserve">” means the guidelines set forth on </w:t>
      </w:r>
      <w:r>
        <w:rPr>
          <w:rFonts w:ascii="Times New Roman" w:cs="Times New Roman" w:eastAsia="Times New Roman" w:hAnsi="Times New Roman"/>
          <w:sz w:val="22"/>
          <w:szCs w:val="22"/>
          <w:u w:val="single" w:color="auto"/>
          <w:color w:val="auto"/>
        </w:rPr>
        <w:t>Schedule 12.2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940"/>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Trademarks</w:t>
      </w:r>
      <w:r>
        <w:rPr>
          <w:rFonts w:ascii="Times New Roman" w:cs="Times New Roman" w:eastAsia="Times New Roman" w:hAnsi="Times New Roman"/>
          <w:sz w:val="22"/>
          <w:szCs w:val="22"/>
          <w:color w:val="auto"/>
        </w:rPr>
        <w:t xml:space="preserve">” means the Trademarks of Amazon and its Affiliates listed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12.2</w:t>
      </w:r>
      <w:r>
        <w:rPr>
          <w:rFonts w:ascii="Times New Roman" w:cs="Times New Roman" w:eastAsia="Times New Roman" w:hAnsi="Times New Roman"/>
          <w:sz w:val="22"/>
          <w:szCs w:val="22"/>
          <w:color w:val="auto"/>
        </w:rPr>
        <w:t xml:space="preserve"> that Amazon authorizes for use by Affirm in accordance with Section 12.2.</w:t>
      </w:r>
    </w:p>
    <w:p>
      <w:pPr>
        <w:spacing w:after="0" w:line="151" w:lineRule="exact"/>
        <w:rPr>
          <w:sz w:val="20"/>
          <w:szCs w:val="20"/>
          <w:color w:val="auto"/>
        </w:rPr>
      </w:pPr>
    </w:p>
    <w:p>
      <w:pPr>
        <w:jc w:val="both"/>
        <w:ind w:right="128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Amazon Transaction Data</w:t>
      </w:r>
      <w:r>
        <w:rPr>
          <w:rFonts w:ascii="Times New Roman" w:cs="Times New Roman" w:eastAsia="Times New Roman" w:hAnsi="Times New Roman"/>
          <w:sz w:val="22"/>
          <w:szCs w:val="22"/>
          <w:color w:val="auto"/>
        </w:rPr>
        <w:t>” means for each purchase made by an Amazon Customer applying for Program Credit, (i) the purchase amount, (ii) the currency used for such purchase; (iii) the reference number associated with such transaction or such applicant provided by Amazon to Affirm; and (iv) such other transaction related data or information transmitted by Amazon to Affirm that the parties mutually agree is necessary for Affirm to provide services related to the Program as contemplated by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right="140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API</w:t>
      </w:r>
      <w:r>
        <w:rPr>
          <w:rFonts w:ascii="Times New Roman" w:cs="Times New Roman" w:eastAsia="Times New Roman" w:hAnsi="Times New Roman"/>
          <w:sz w:val="22"/>
          <w:szCs w:val="22"/>
          <w:color w:val="auto"/>
        </w:rPr>
        <w:t>” means application programming interface, a message format used by an application program to communicate with a program that provides services for it.</w:t>
      </w:r>
    </w:p>
    <w:p>
      <w:pPr>
        <w:spacing w:after="0" w:line="149" w:lineRule="exact"/>
        <w:rPr>
          <w:sz w:val="20"/>
          <w:szCs w:val="20"/>
          <w:color w:val="auto"/>
        </w:rPr>
      </w:pPr>
    </w:p>
    <w:p>
      <w:pPr>
        <w:jc w:val="both"/>
        <w:ind w:right="128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(i) any law, code, ordinance, statute, treaty, rule, regulation, order, judgment, permit, writ, consent, approval, authorization, injunction, ruling, official directive, decree, decision or other determination or finding of, or agreement with, any arbitrator, court or other Governmental Authority, and (ii) any written guidance or requirements published or otherwise provided directly to a Party by any Governmental Authority, in each case that is applicable to, or binding upon, a Party or to which such Party is subject.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Application Data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Application Process</w:t>
      </w:r>
      <w:r>
        <w:rPr>
          <w:rFonts w:ascii="Times New Roman" w:cs="Times New Roman" w:eastAsia="Times New Roman" w:hAnsi="Times New Roman"/>
          <w:sz w:val="22"/>
          <w:szCs w:val="22"/>
          <w:color w:val="auto"/>
        </w:rPr>
        <w:t>” has the meaning set forth in Section 3.1.</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Customer</w:t>
      </w:r>
      <w:r>
        <w:rPr>
          <w:rFonts w:ascii="Times New Roman" w:cs="Times New Roman" w:eastAsia="Times New Roman" w:hAnsi="Times New Roman"/>
          <w:sz w:val="22"/>
          <w:szCs w:val="22"/>
          <w:color w:val="auto"/>
        </w:rPr>
        <w:t>” means an Eligible Applicant whose application for Program Credit is approved by Affirm and for whom a loan is established in accordance with the terms of this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APR</w:t>
      </w:r>
      <w:r>
        <w:rPr>
          <w:rFonts w:ascii="Times New Roman" w:cs="Times New Roman" w:eastAsia="Times New Roman" w:hAnsi="Times New Roman"/>
          <w:sz w:val="22"/>
          <w:szCs w:val="22"/>
          <w:color w:val="auto"/>
        </w:rPr>
        <w:t>” means annual percentage rate subject to any requirements under Applicable Law.</w:t>
      </w:r>
    </w:p>
    <w:p>
      <w:pPr>
        <w:spacing w:after="0" w:line="233" w:lineRule="exact"/>
        <w:rPr>
          <w:sz w:val="20"/>
          <w:szCs w:val="20"/>
          <w:color w:val="auto"/>
        </w:rPr>
      </w:pPr>
    </w:p>
    <w:p>
      <w:pPr>
        <w:ind w:right="128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means any third party financial institution permitted to offer Program Credit that has entered into an agreement with Affirm to provide Program Credit pursuant to the terms of the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Basket</w:t>
      </w:r>
      <w:r>
        <w:rPr>
          <w:rFonts w:ascii="Times New Roman" w:cs="Times New Roman" w:eastAsia="Times New Roman" w:hAnsi="Times New Roman"/>
          <w:sz w:val="22"/>
          <w:szCs w:val="22"/>
          <w:color w:val="auto"/>
        </w:rPr>
        <w:t>” means the group of Eligible Products selected for purchase by an Approved Customer.</w:t>
      </w:r>
    </w:p>
    <w:p>
      <w:pPr>
        <w:spacing w:after="0" w:line="247" w:lineRule="exact"/>
        <w:rPr>
          <w:sz w:val="20"/>
          <w:szCs w:val="20"/>
          <w:color w:val="auto"/>
        </w:rPr>
      </w:pPr>
    </w:p>
    <w:p>
      <w:pPr>
        <w:ind w:right="128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Basket Amount</w:t>
      </w:r>
      <w:r>
        <w:rPr>
          <w:rFonts w:ascii="Times New Roman" w:cs="Times New Roman" w:eastAsia="Times New Roman" w:hAnsi="Times New Roman"/>
          <w:sz w:val="22"/>
          <w:szCs w:val="22"/>
          <w:color w:val="auto"/>
        </w:rPr>
        <w:t>” means the total amount due to Amazon in a Basket and to be financed by Affirm pursuant to a Program Credit, including any shipping, handling, taxes or fees.</w:t>
      </w:r>
    </w:p>
    <w:p>
      <w:pPr>
        <w:spacing w:after="0" w:line="163" w:lineRule="exact"/>
        <w:rPr>
          <w:sz w:val="20"/>
          <w:szCs w:val="20"/>
          <w:color w:val="auto"/>
        </w:rPr>
      </w:pPr>
    </w:p>
    <w:p>
      <w:pPr>
        <w:ind w:right="2400"/>
        <w:spacing w:after="0" w:line="3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Monday through Friday, excluding public and bank holidays in the Territory.</w:t>
      </w:r>
    </w:p>
    <w:p>
      <w:pPr>
        <w:sectPr>
          <w:pgSz w:w="11900" w:h="16838" w:orient="portrait"/>
          <w:cols w:equalWidth="0" w:num="1">
            <w:col w:w="10240"/>
          </w:cols>
          <w:pgMar w:left="1300" w:top="1165" w:right="359" w:bottom="1440" w:gutter="0" w:footer="0" w:header="0"/>
        </w:sectPr>
      </w:pPr>
    </w:p>
    <w:bookmarkStart w:id="258" w:name="page259"/>
    <w:bookmarkEnd w:id="258"/>
    <w:p>
      <w:pPr>
        <w:jc w:val="both"/>
        <w:ind w:right="199"/>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xml:space="preserve">” means, with respect to a party, any (A) merger, share exchange or similar transaction in which the holders of a majority of the voting power of the outstanding equity securities of such party or its ultimate direct or indirect parent corporation or holding company immediately prior to such transaction hold less than a majority of the voting power of the equity securities of the surviving or successor corporation immediately following the closing of such transaction, or (B) sale of all or substantially all of the assets of such party or its ultimate direct or indirect parent corporation or holding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a Change of Control will be deemed not to have occurred if the ultimate parent corporation or holding company as of the Effective Date (“</w:t>
      </w:r>
      <w:r>
        <w:rPr>
          <w:rFonts w:ascii="Times New Roman" w:cs="Times New Roman" w:eastAsia="Times New Roman" w:hAnsi="Times New Roman"/>
          <w:sz w:val="22"/>
          <w:szCs w:val="22"/>
          <w:b w:val="1"/>
          <w:bCs w:val="1"/>
          <w:color w:val="auto"/>
        </w:rPr>
        <w:t>Ultimate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of such party continues to hold directly or indirectly, a majority of the outstanding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of such party or if the Ultimate Parent continues to own directly or indirectly, all or substantially all of the assets of such party.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has the meaning set forth in Section 14.1.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right="199"/>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all nonpublic information disclosed by any Amazon Party, its Affiliates, or their respective Personnel (on the one hand), or Affirm, its Affiliates or their respective Personnel (on the other hand) (collectively,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to the other Party, its Affiliates or any Personnel of any of them (collectively,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in connection with this Agreement or the Program that is designated as confidential or that, given the nature of the information or the circumstances surrounding its disclosure, reasonably should be considered confidential. “Confidential Information” includes (A) nonpublic information relating to the Disclosing Party’s technology, products, services, processes, data, customers, business plans and methods, promotional and marketing activities, finances and other business affairs, (B) third-party information that the Disclosing Party is obligated to keep confidential, and (C) the nature, content and existence of any discussions or negotiations among the Parties.</w:t>
      </w:r>
    </w:p>
    <w:p>
      <w:pPr>
        <w:spacing w:after="0" w:line="177" w:lineRule="exact"/>
        <w:rPr>
          <w:sz w:val="20"/>
          <w:szCs w:val="20"/>
          <w:color w:val="auto"/>
        </w:rPr>
      </w:pPr>
    </w:p>
    <w:p>
      <w:pPr>
        <w:jc w:val="both"/>
        <w:ind w:right="199"/>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Contract Quarter</w:t>
      </w:r>
      <w:r>
        <w:rPr>
          <w:rFonts w:ascii="Times New Roman" w:cs="Times New Roman" w:eastAsia="Times New Roman" w:hAnsi="Times New Roman"/>
          <w:sz w:val="21"/>
          <w:szCs w:val="21"/>
          <w:color w:val="auto"/>
        </w:rPr>
        <w:t>” means each consecutive three month period during the Term, it being understood that the first “Contract Quarter” under this Agreement will include any stub period from and including the Effective Date through and including the end of the calendar month in which the Effective Date occurred, in addition to the next three consecutive whole months following the Effective Date.</w:t>
      </w:r>
    </w:p>
    <w:p>
      <w:pPr>
        <w:spacing w:after="0" w:line="151" w:lineRule="exact"/>
        <w:rPr>
          <w:sz w:val="20"/>
          <w:szCs w:val="20"/>
          <w:color w:val="auto"/>
        </w:rPr>
      </w:pPr>
    </w:p>
    <w:p>
      <w:pPr>
        <w:jc w:val="both"/>
        <w:ind w:right="19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 Year</w:t>
      </w:r>
      <w:r>
        <w:rPr>
          <w:rFonts w:ascii="Times New Roman" w:cs="Times New Roman" w:eastAsia="Times New Roman" w:hAnsi="Times New Roman"/>
          <w:sz w:val="22"/>
          <w:szCs w:val="22"/>
          <w:color w:val="auto"/>
        </w:rPr>
        <w:t>” means each consecutive twelve months period during the Term as measured from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the month in which the Effective Date occurred, it being understood that the final “Contract Year” under this Agreement may be a portion of a twelve month period if the Term does not end at the end of a full twelve month period.</w:t>
      </w:r>
    </w:p>
    <w:p>
      <w:pPr>
        <w:spacing w:after="0" w:line="190" w:lineRule="exact"/>
        <w:rPr>
          <w:sz w:val="20"/>
          <w:szCs w:val="20"/>
          <w:color w:val="auto"/>
        </w:rPr>
      </w:pPr>
    </w:p>
    <w:p>
      <w:pPr>
        <w:jc w:val="both"/>
        <w:ind w:right="199"/>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the possession, directly or indirectly, of the power to vote 50% or more of the securities or other ownership interests that have ordinary voting power for the election of directors or other persons performing similar functions of any entity, or to direct or cause the direction of the management and policies of such entity, whether through ownership of voting ownership interests or securities or by contract or otherwise.</w:t>
      </w:r>
    </w:p>
    <w:p>
      <w:pPr>
        <w:spacing w:after="0" w:line="68"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Affiliate Counterpart</w:t>
      </w:r>
      <w:r>
        <w:rPr>
          <w:rFonts w:ascii="Times New Roman" w:cs="Times New Roman" w:eastAsia="Times New Roman" w:hAnsi="Times New Roman"/>
          <w:sz w:val="22"/>
          <w:szCs w:val="22"/>
          <w:color w:val="auto"/>
        </w:rPr>
        <w:t xml:space="preserve">” means a document in the form of </w:t>
      </w:r>
      <w:r>
        <w:rPr>
          <w:rFonts w:ascii="Times New Roman" w:cs="Times New Roman" w:eastAsia="Times New Roman" w:hAnsi="Times New Roman"/>
          <w:sz w:val="22"/>
          <w:szCs w:val="22"/>
          <w:u w:val="single" w:color="auto"/>
          <w:color w:val="auto"/>
        </w:rPr>
        <w:t>Schedule 1.3</w:t>
      </w:r>
      <w:r>
        <w:rPr>
          <w:rFonts w:ascii="Times New Roman" w:cs="Times New Roman" w:eastAsia="Times New Roman" w:hAnsi="Times New Roman"/>
          <w:sz w:val="22"/>
          <w:szCs w:val="22"/>
          <w:color w:val="auto"/>
        </w:rPr>
        <w:t xml:space="preserve"> to this Agreement executed by a Covered Amazon Affiliate, pursuant to which such Covered Amazon Affiliate becomes a party to this Agreement.</w:t>
      </w:r>
    </w:p>
    <w:p>
      <w:pPr>
        <w:sectPr>
          <w:pgSz w:w="11900" w:h="16838" w:orient="portrait"/>
          <w:cols w:equalWidth="0" w:num="1">
            <w:col w:w="9159"/>
          </w:cols>
          <w:pgMar w:left="1300" w:top="1161" w:right="1440" w:bottom="1440" w:gutter="0" w:footer="0" w:header="0"/>
        </w:sectPr>
      </w:pPr>
    </w:p>
    <w:bookmarkStart w:id="259" w:name="page260"/>
    <w:bookmarkEnd w:id="259"/>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Amazon Affiliate</w:t>
      </w:r>
      <w:r>
        <w:rPr>
          <w:rFonts w:ascii="Times New Roman" w:cs="Times New Roman" w:eastAsia="Times New Roman" w:hAnsi="Times New Roman"/>
          <w:sz w:val="22"/>
          <w:szCs w:val="22"/>
          <w:color w:val="auto"/>
        </w:rPr>
        <w:t>” means each Affiliate of Amazon Services that becomes a party to this Agreement, as set forth on its respective Covered Affiliate Counterpart, pursuant to Section 1.3. For the avoidance of doubt, Amazon Services and Amazon Payments are not Covered Amazon Affiliates.</w:t>
      </w:r>
    </w:p>
    <w:p>
      <w:pPr>
        <w:spacing w:after="0" w:line="180" w:lineRule="exact"/>
        <w:rPr>
          <w:sz w:val="20"/>
          <w:szCs w:val="20"/>
          <w:color w:val="auto"/>
        </w:rPr>
      </w:pPr>
    </w:p>
    <w:p>
      <w:pPr>
        <w:jc w:val="both"/>
        <w:ind w:right="199"/>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Card</w:t>
      </w:r>
      <w:r>
        <w:rPr>
          <w:rFonts w:ascii="Times New Roman" w:cs="Times New Roman" w:eastAsia="Times New Roman" w:hAnsi="Times New Roman"/>
          <w:sz w:val="22"/>
          <w:szCs w:val="22"/>
          <w:color w:val="auto"/>
        </w:rPr>
        <w:t>” means a card or other device, including a unique digitally generated card number, expiration date and security code as a proxy for a physical card, that (A) is issued by a bank, financial institution or other authorized entity and (B) enables a cardholder or account holder to purchase goods or services through a revolving line of credit.</w:t>
      </w:r>
    </w:p>
    <w:p>
      <w:pPr>
        <w:spacing w:after="0" w:line="162"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Underwriting Policy</w:t>
      </w:r>
      <w:r>
        <w:rPr>
          <w:rFonts w:ascii="Times New Roman" w:cs="Times New Roman" w:eastAsia="Times New Roman" w:hAnsi="Times New Roman"/>
          <w:sz w:val="22"/>
          <w:szCs w:val="22"/>
          <w:color w:val="auto"/>
        </w:rPr>
        <w:t>” means the rules, scorecard or other criteria as applicable to an originator of the Program Credit used by Affirm or Bank when making a decision whether to accept a Program Application.</w:t>
      </w:r>
    </w:p>
    <w:p>
      <w:pPr>
        <w:spacing w:after="0" w:line="180" w:lineRule="exact"/>
        <w:rPr>
          <w:sz w:val="20"/>
          <w:szCs w:val="20"/>
          <w:color w:val="auto"/>
        </w:rPr>
      </w:pPr>
    </w:p>
    <w:p>
      <w:pPr>
        <w:ind w:right="1299"/>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 Rev Share</w:t>
      </w:r>
      <w:r>
        <w:rPr>
          <w:rFonts w:ascii="Times New Roman" w:cs="Times New Roman" w:eastAsia="Times New Roman" w:hAnsi="Times New Roman"/>
          <w:sz w:val="22"/>
          <w:szCs w:val="22"/>
          <w:color w:val="auto"/>
        </w:rPr>
        <w:t>” means the product of the Custom Rev Share Rate and the applicable Program Credit.</w:t>
      </w:r>
    </w:p>
    <w:p>
      <w:pPr>
        <w:spacing w:after="0" w:line="137"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 Rev Share Rate</w:t>
      </w:r>
      <w:r>
        <w:rPr>
          <w:rFonts w:ascii="Times New Roman" w:cs="Times New Roman" w:eastAsia="Times New Roman" w:hAnsi="Times New Roman"/>
          <w:sz w:val="22"/>
          <w:szCs w:val="22"/>
          <w:color w:val="auto"/>
        </w:rPr>
        <w:t>” means the applicable rate, expressed as a percentage which the Parties may mutually agree to from time to time in writing (email sufficient) for an applicable Processed Merchant or Processed Merchants and for a specified amount of time. Any Custom Rev Share agreed to by the Parties in writing (email sufficient) will supersede the Pricing Options in Section 2.1 of Schedule 2.3(A)(2).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Customer Service Standards</w:t>
      </w:r>
      <w:r>
        <w:rPr>
          <w:rFonts w:ascii="Times New Roman" w:cs="Times New Roman" w:eastAsia="Times New Roman" w:hAnsi="Times New Roman"/>
          <w:sz w:val="22"/>
          <w:szCs w:val="22"/>
          <w:color w:val="auto"/>
        </w:rPr>
        <w:t>” has the meaning set forth in Section 4.1.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Delayed Item</w:t>
      </w:r>
      <w:r>
        <w:rPr>
          <w:rFonts w:ascii="Times New Roman" w:cs="Times New Roman" w:eastAsia="Times New Roman" w:hAnsi="Times New Roman"/>
          <w:sz w:val="22"/>
          <w:szCs w:val="22"/>
          <w:color w:val="auto"/>
        </w:rPr>
        <w:t>” has the meaning set forth in Section 6.10(E).</w:t>
      </w:r>
    </w:p>
    <w:p>
      <w:pPr>
        <w:spacing w:after="0" w:line="139" w:lineRule="exact"/>
        <w:rPr>
          <w:sz w:val="20"/>
          <w:szCs w:val="20"/>
          <w:color w:val="auto"/>
        </w:rPr>
      </w:pPr>
    </w:p>
    <w:p>
      <w:pPr>
        <w:ind w:right="1039"/>
        <w:spacing w:after="0" w:line="3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Derivative Work</w:t>
      </w:r>
      <w:r>
        <w:rPr>
          <w:rFonts w:ascii="Times New Roman" w:cs="Times New Roman" w:eastAsia="Times New Roman" w:hAnsi="Times New Roman"/>
          <w:sz w:val="21"/>
          <w:szCs w:val="21"/>
          <w:color w:val="auto"/>
        </w:rPr>
        <w:t>” means any modification, enhancement, extension, translation, adaptation, annotation, compilation, collective work, or derivative work based on another 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Developing Party</w:t>
      </w:r>
      <w:r>
        <w:rPr>
          <w:rFonts w:ascii="Times New Roman" w:cs="Times New Roman" w:eastAsia="Times New Roman" w:hAnsi="Times New Roman"/>
          <w:sz w:val="22"/>
          <w:szCs w:val="22"/>
          <w:color w:val="auto"/>
        </w:rPr>
        <w:t>” has the meaning set forth in Section 12.4(A)(2).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has the meaning set forth in the definition of “Confidential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has the meaning set forth in Section 6.1(D).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has the meaning set forth in the introductory paragraph.</w:t>
      </w:r>
    </w:p>
    <w:p>
      <w:pPr>
        <w:spacing w:after="0" w:line="233" w:lineRule="exact"/>
        <w:rPr>
          <w:sz w:val="20"/>
          <w:szCs w:val="20"/>
          <w:color w:val="auto"/>
        </w:rPr>
      </w:pPr>
    </w:p>
    <w:p>
      <w:pPr>
        <w:jc w:val="both"/>
        <w:ind w:right="199"/>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Applicant</w:t>
      </w:r>
      <w:r>
        <w:rPr>
          <w:rFonts w:ascii="Times New Roman" w:cs="Times New Roman" w:eastAsia="Times New Roman" w:hAnsi="Times New Roman"/>
          <w:sz w:val="22"/>
          <w:szCs w:val="22"/>
          <w:color w:val="auto"/>
        </w:rPr>
        <w:t>” means an Amazon Customer with a Verified Address in the Territory over 18 years of age who completes and submits an application for Prequalification Application or Program Credit, as applicable, and meets Affirm’s or Bank’s underwriting criteria pursuant to the applicable Credit Underwriting Policy.</w:t>
      </w:r>
    </w:p>
    <w:p>
      <w:pPr>
        <w:spacing w:after="0" w:line="175"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Products</w:t>
      </w:r>
      <w:r>
        <w:rPr>
          <w:rFonts w:ascii="Times New Roman" w:cs="Times New Roman" w:eastAsia="Times New Roman" w:hAnsi="Times New Roman"/>
          <w:sz w:val="22"/>
          <w:szCs w:val="22"/>
          <w:color w:val="auto"/>
        </w:rPr>
        <w:t xml:space="preserve">” means any goods or services sold by Amazon Services, a Covered Amazon Affiliate, a third party seller operating on or through the Amazon Site, or a Processed Merchant, in each case on or through a Participating Site, that the Amazon Parties in their sole discretion permit an Approved Customer to finance using Program Credit. The Amazon Parties will use commercially reasonable efforts to exclude from the definition of “Eligible Products” any products that are listed in Affirm’s Prohibited Businesses Policy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With respect to Processed Merchants, Affirm acknowledges that Amazon Payments may not be</w:t>
      </w:r>
    </w:p>
    <w:p>
      <w:pPr>
        <w:sectPr>
          <w:pgSz w:w="11900" w:h="16838" w:orient="portrait"/>
          <w:cols w:equalWidth="0" w:num="1">
            <w:col w:w="9159"/>
          </w:cols>
          <w:pgMar w:left="1300" w:top="1161" w:right="1440" w:bottom="1440" w:gutter="0" w:footer="0" w:header="0"/>
        </w:sectPr>
      </w:pPr>
    </w:p>
    <w:bookmarkStart w:id="260" w:name="page261"/>
    <w:bookmarkEnd w:id="260"/>
    <w:p>
      <w:pPr>
        <w:jc w:val="both"/>
        <w:ind w:right="199"/>
        <w:spacing w:after="0" w:line="271" w:lineRule="auto"/>
        <w:rPr>
          <w:sz w:val="20"/>
          <w:szCs w:val="20"/>
          <w:color w:val="auto"/>
        </w:rPr>
      </w:pPr>
      <w:r>
        <w:rPr>
          <w:rFonts w:ascii="Times New Roman" w:cs="Times New Roman" w:eastAsia="Times New Roman" w:hAnsi="Times New Roman"/>
          <w:sz w:val="22"/>
          <w:szCs w:val="22"/>
          <w:color w:val="auto"/>
        </w:rPr>
        <w:t>able to monitor for third-party gift card purchases, provided that the Parties agree to collaborate in good faith to address any money laundering and fraud concerns.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Customer Application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Agreement</w:t>
      </w:r>
      <w:r>
        <w:rPr>
          <w:rFonts w:ascii="Times New Roman" w:cs="Times New Roman" w:eastAsia="Times New Roman" w:hAnsi="Times New Roman"/>
          <w:sz w:val="22"/>
          <w:szCs w:val="22"/>
          <w:color w:val="auto"/>
        </w:rPr>
        <w:t>” has the meaning set forth in the introductory paragraph.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Term</w:t>
      </w:r>
      <w:r>
        <w:rPr>
          <w:rFonts w:ascii="Times New Roman" w:cs="Times New Roman" w:eastAsia="Times New Roman" w:hAnsi="Times New Roman"/>
          <w:sz w:val="22"/>
          <w:szCs w:val="22"/>
          <w:color w:val="auto"/>
        </w:rPr>
        <w:t>” has the meaning set forth in Section 16.1.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Decision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Finance Manager</w:t>
      </w:r>
      <w:r>
        <w:rPr>
          <w:rFonts w:ascii="Times New Roman" w:cs="Times New Roman" w:eastAsia="Times New Roman" w:hAnsi="Times New Roman"/>
          <w:sz w:val="22"/>
          <w:szCs w:val="22"/>
          <w:color w:val="auto"/>
        </w:rPr>
        <w:t>” has the meaning set forth in Section 6.1(A).</w:t>
      </w:r>
    </w:p>
    <w:p>
      <w:pPr>
        <w:spacing w:after="0" w:line="220" w:lineRule="exact"/>
        <w:rPr>
          <w:sz w:val="20"/>
          <w:szCs w:val="20"/>
          <w:color w:val="auto"/>
        </w:rPr>
      </w:pPr>
    </w:p>
    <w:p>
      <w:pPr>
        <w:jc w:val="both"/>
        <w:ind w:right="19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Financing Terms</w:t>
      </w:r>
      <w:r>
        <w:rPr>
          <w:rFonts w:ascii="Times New Roman" w:cs="Times New Roman" w:eastAsia="Times New Roman" w:hAnsi="Times New Roman"/>
          <w:sz w:val="21"/>
          <w:szCs w:val="21"/>
          <w:color w:val="auto"/>
        </w:rPr>
        <w:t xml:space="preserve">” means as of the Effective Date, [***] terms which may be offered to Eligible Applicants in connection with any Program Credit, or any other term that may be proposed by Amazon pursuant to </w:t>
      </w:r>
      <w:r>
        <w:rPr>
          <w:rFonts w:ascii="Times New Roman" w:cs="Times New Roman" w:eastAsia="Times New Roman" w:hAnsi="Times New Roman"/>
          <w:sz w:val="21"/>
          <w:szCs w:val="21"/>
          <w:u w:val="single" w:color="auto"/>
          <w:color w:val="auto"/>
        </w:rPr>
        <w:t>Schedule 2.3(A)(1)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 2.3(A)(2)</w:t>
      </w:r>
      <w:r>
        <w:rPr>
          <w:rFonts w:ascii="Times New Roman" w:cs="Times New Roman" w:eastAsia="Times New Roman" w:hAnsi="Times New Roman"/>
          <w:sz w:val="21"/>
          <w:szCs w:val="21"/>
          <w:color w:val="auto"/>
        </w:rPr>
        <w:t xml:space="preserve"> (for Program Credits issued for purchases on Processed Merchant Sites), or otherwise agreed upon between the Parties after the Effective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 Event</w:t>
      </w:r>
      <w:r>
        <w:rPr>
          <w:rFonts w:ascii="Times New Roman" w:cs="Times New Roman" w:eastAsia="Times New Roman" w:hAnsi="Times New Roman"/>
          <w:sz w:val="22"/>
          <w:szCs w:val="22"/>
          <w:color w:val="auto"/>
        </w:rPr>
        <w:t>” has the meaning set forth in Section 6.13.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 Order Cancellation</w:t>
      </w:r>
      <w:r>
        <w:rPr>
          <w:rFonts w:ascii="Times New Roman" w:cs="Times New Roman" w:eastAsia="Times New Roman" w:hAnsi="Times New Roman"/>
          <w:sz w:val="22"/>
          <w:szCs w:val="22"/>
          <w:color w:val="auto"/>
        </w:rPr>
        <w:t>” has the meaning set forth in Section 6.11(B).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 Order Cancellation Date</w:t>
      </w:r>
      <w:r>
        <w:rPr>
          <w:rFonts w:ascii="Times New Roman" w:cs="Times New Roman" w:eastAsia="Times New Roman" w:hAnsi="Times New Roman"/>
          <w:sz w:val="22"/>
          <w:szCs w:val="22"/>
          <w:color w:val="auto"/>
        </w:rPr>
        <w:t>” has the meaning set forth in Section 6.11(B).</w:t>
      </w:r>
    </w:p>
    <w:p>
      <w:pPr>
        <w:spacing w:after="0" w:line="220"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xml:space="preserve"> means any state regulator, state banking department, state credit department, the Federal Deposit Insurance Corporation, the Federal Reserve Board, the Office of the Comptroller of the Currency, the Consumer Financial Protection Bureau, the Federal Trade Commission and any other domestic governmental agency, in each case to the extent having jurisdiction over the Program Credits, Affirm, or any Amazon Party.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Independently Developed Works</w:t>
      </w:r>
      <w:r>
        <w:rPr>
          <w:rFonts w:ascii="Times New Roman" w:cs="Times New Roman" w:eastAsia="Times New Roman" w:hAnsi="Times New Roman"/>
          <w:sz w:val="22"/>
          <w:szCs w:val="22"/>
          <w:color w:val="auto"/>
        </w:rPr>
        <w:t>” has the meaning set forth in Section 12.4(A)(2). “</w:t>
      </w:r>
      <w:r>
        <w:rPr>
          <w:rFonts w:ascii="Times New Roman" w:cs="Times New Roman" w:eastAsia="Times New Roman" w:hAnsi="Times New Roman"/>
          <w:sz w:val="22"/>
          <w:szCs w:val="22"/>
          <w:b w:val="1"/>
          <w:bCs w:val="1"/>
          <w:color w:val="auto"/>
        </w:rPr>
        <w:t>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 Policy</w:t>
      </w:r>
      <w:r>
        <w:rPr>
          <w:rFonts w:ascii="Times New Roman" w:cs="Times New Roman" w:eastAsia="Times New Roman" w:hAnsi="Times New Roman"/>
          <w:sz w:val="22"/>
          <w:szCs w:val="22"/>
          <w:color w:val="auto"/>
        </w:rPr>
        <w:t>” has the meaning set forth in Section 6.6.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has the meaning set forth in Section 16.1.</w:t>
      </w:r>
    </w:p>
    <w:p>
      <w:pPr>
        <w:spacing w:after="0" w:line="233" w:lineRule="exact"/>
        <w:rPr>
          <w:sz w:val="20"/>
          <w:szCs w:val="20"/>
          <w:color w:val="auto"/>
        </w:rPr>
      </w:pPr>
    </w:p>
    <w:p>
      <w:pPr>
        <w:jc w:val="both"/>
        <w:ind w:right="19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Insolvent</w:t>
      </w:r>
      <w:r>
        <w:rPr>
          <w:rFonts w:ascii="Times New Roman" w:cs="Times New Roman" w:eastAsia="Times New Roman" w:hAnsi="Times New Roman"/>
          <w:sz w:val="22"/>
          <w:szCs w:val="22"/>
          <w:color w:val="auto"/>
        </w:rPr>
        <w:t>” means the failure of a person or entity to pay its debts in the ordinary course of business, the inability of a person or entity to pay its debts as they come due, the condition whereby the sum of a person’s or an entity’s debts is greater than the sum of its assets, or the appointment of an administrator or receiver in respect of such person or entity.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Installment Credit Agreement</w:t>
      </w:r>
      <w:r>
        <w:rPr>
          <w:rFonts w:ascii="Times New Roman" w:cs="Times New Roman" w:eastAsia="Times New Roman" w:hAnsi="Times New Roman"/>
          <w:sz w:val="22"/>
          <w:szCs w:val="22"/>
          <w:color w:val="auto"/>
        </w:rPr>
        <w:t>” has the meaning set forth in Section 2.6.</w:t>
      </w:r>
    </w:p>
    <w:p>
      <w:pPr>
        <w:spacing w:after="0" w:line="220"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Installment Credit Financing Program</w:t>
      </w:r>
      <w:r>
        <w:rPr>
          <w:rFonts w:ascii="Times New Roman" w:cs="Times New Roman" w:eastAsia="Times New Roman" w:hAnsi="Times New Roman"/>
          <w:sz w:val="22"/>
          <w:szCs w:val="22"/>
          <w:color w:val="auto"/>
        </w:rPr>
        <w:t>” means any program or service by which Affirm, either directly, through its Affiliate(s), or in partnership with a licensed financial institution, offers unsecured closed-end installment loans to consumers for the purpose of enabling such consumers to finance purchases of goods and services, and the terms of such installment loans require the borrower to pay off the balance of each loan in full over time by making periodic installment payments; it being understood that any program or service that provides general</w:t>
      </w:r>
    </w:p>
    <w:p>
      <w:pPr>
        <w:sectPr>
          <w:pgSz w:w="11900" w:h="16838" w:orient="portrait"/>
          <w:cols w:equalWidth="0" w:num="1">
            <w:col w:w="9159"/>
          </w:cols>
          <w:pgMar w:left="1300" w:top="1179" w:right="1440" w:bottom="1440" w:gutter="0" w:footer="0" w:header="0"/>
        </w:sectPr>
      </w:pPr>
    </w:p>
    <w:bookmarkStart w:id="261" w:name="page262"/>
    <w:bookmarkEnd w:id="261"/>
    <w:p>
      <w:pPr>
        <w:jc w:val="both"/>
        <w:ind w:right="199"/>
        <w:spacing w:after="0" w:line="284" w:lineRule="auto"/>
        <w:rPr>
          <w:sz w:val="20"/>
          <w:szCs w:val="20"/>
          <w:color w:val="auto"/>
        </w:rPr>
      </w:pPr>
      <w:r>
        <w:rPr>
          <w:rFonts w:ascii="Times New Roman" w:cs="Times New Roman" w:eastAsia="Times New Roman" w:hAnsi="Times New Roman"/>
          <w:sz w:val="22"/>
          <w:szCs w:val="22"/>
          <w:color w:val="auto"/>
        </w:rPr>
        <w:t>purpose credit to individuals is not an “Installment Credit Financing Program” for purposes of this Agreement.</w:t>
      </w:r>
    </w:p>
    <w:p>
      <w:pPr>
        <w:spacing w:after="0" w:line="126"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Installments Product</w:t>
      </w:r>
      <w:r>
        <w:rPr>
          <w:rFonts w:ascii="Times New Roman" w:cs="Times New Roman" w:eastAsia="Times New Roman" w:hAnsi="Times New Roman"/>
          <w:sz w:val="22"/>
          <w:szCs w:val="22"/>
          <w:color w:val="auto"/>
        </w:rPr>
        <w:t>” means a closed-end installment loan for customers to finance the purchase of Eligible Products at 0% or 10-36% APR with various loan terms originated by Bank or Affirm’s Affiliate.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Instant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Instant Decision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Instant Decline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Instant Pend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9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means all intellectual property, industrial and other proprietary rights, protected or protectable, under the laws of the Territory, or any other country, or any political subdivision of the Territory, or any other country, including Trademarks, copyrights (including without limitation the rights of reproduction, distribution, communication to the public, renting and lending), trade secrets, Confidential Information, domain names or registrations, patents, patent applications, and rights in any inventions, discoveries, devices, processes, designs, techniques, database rights, ideas and know-how, whether or not reduced to practice, as well as applications and the right to apply for any of the foregoing.</w:t>
      </w:r>
    </w:p>
    <w:p>
      <w:pPr>
        <w:spacing w:after="0" w:line="197" w:lineRule="exact"/>
        <w:rPr>
          <w:sz w:val="20"/>
          <w:szCs w:val="20"/>
          <w:color w:val="auto"/>
        </w:rPr>
      </w:pPr>
    </w:p>
    <w:p>
      <w:pPr>
        <w:jc w:val="both"/>
        <w:ind w:right="19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Credit Terms</w:t>
      </w:r>
      <w:r>
        <w:rPr>
          <w:rFonts w:ascii="Times New Roman" w:cs="Times New Roman" w:eastAsia="Times New Roman" w:hAnsi="Times New Roman"/>
          <w:sz w:val="22"/>
          <w:szCs w:val="22"/>
          <w:color w:val="auto"/>
        </w:rPr>
        <w:t xml:space="preserve">” means key terms, pricing and fees set forth in Section 1 of </w:t>
      </w:r>
      <w:r>
        <w:rPr>
          <w:rFonts w:ascii="Times New Roman" w:cs="Times New Roman" w:eastAsia="Times New Roman" w:hAnsi="Times New Roman"/>
          <w:sz w:val="22"/>
          <w:szCs w:val="22"/>
          <w:u w:val="single" w:color="auto"/>
          <w:color w:val="auto"/>
        </w:rPr>
        <w:t>Schedule 2.3(A)(1)</w:t>
      </w:r>
      <w:r>
        <w:rPr>
          <w:rFonts w:ascii="Times New Roman" w:cs="Times New Roman" w:eastAsia="Times New Roman" w:hAnsi="Times New Roman"/>
          <w:sz w:val="22"/>
          <w:szCs w:val="22"/>
          <w:color w:val="auto"/>
        </w:rPr>
        <w:t xml:space="preserve"> or, for Program Credits issued for purchases on Processed Merchant Sites, </w:t>
      </w:r>
      <w:r>
        <w:rPr>
          <w:rFonts w:ascii="Times New Roman" w:cs="Times New Roman" w:eastAsia="Times New Roman" w:hAnsi="Times New Roman"/>
          <w:sz w:val="22"/>
          <w:szCs w:val="22"/>
          <w:u w:val="single" w:color="auto"/>
          <w:color w:val="auto"/>
        </w:rPr>
        <w:t>Schedule 2.3(A)(2)</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Shopping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Materials</w:t>
      </w:r>
      <w:r>
        <w:rPr>
          <w:rFonts w:ascii="Times New Roman" w:cs="Times New Roman" w:eastAsia="Times New Roman" w:hAnsi="Times New Roman"/>
          <w:sz w:val="22"/>
          <w:szCs w:val="22"/>
          <w:color w:val="auto"/>
        </w:rPr>
        <w:t>” means text, images, photographs, artwork, graphics, sound, music, video, and multimedia recordings and programs and other media and materials (whether analog or digital) provided by a Party for use in the design, marketing and promotion of the Program.</w:t>
      </w:r>
    </w:p>
    <w:p>
      <w:pPr>
        <w:spacing w:after="0" w:line="189"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Merchant GMS</w:t>
      </w:r>
      <w:r>
        <w:rPr>
          <w:rFonts w:ascii="Times New Roman" w:cs="Times New Roman" w:eastAsia="Times New Roman" w:hAnsi="Times New Roman"/>
          <w:sz w:val="22"/>
          <w:szCs w:val="22"/>
          <w:color w:val="auto"/>
        </w:rPr>
        <w:t>” means, with respect to any Processed Merchant, Amazon’s estimate of the value of payments, net of refunds and price adjustments, successfully completed through any of such Processed Merchant’s payment processing services.</w:t>
      </w:r>
    </w:p>
    <w:p>
      <w:pPr>
        <w:spacing w:after="0" w:line="180" w:lineRule="exact"/>
        <w:rPr>
          <w:sz w:val="20"/>
          <w:szCs w:val="20"/>
          <w:color w:val="auto"/>
        </w:rPr>
      </w:pPr>
    </w:p>
    <w:p>
      <w:pPr>
        <w:jc w:val="both"/>
        <w:ind w:right="199"/>
        <w:spacing w:after="0" w:line="3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Minimum Basket Amount</w:t>
      </w:r>
      <w:r>
        <w:rPr>
          <w:rFonts w:ascii="Times New Roman" w:cs="Times New Roman" w:eastAsia="Times New Roman" w:hAnsi="Times New Roman"/>
          <w:sz w:val="22"/>
          <w:szCs w:val="22"/>
          <w:color w:val="auto"/>
        </w:rPr>
        <w:t>” means the minimum Basket Amount for a Basket to be eligible for financing under the Program, as agreed by Amazon and Affirm from time to time.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User Acquired</w:t>
      </w:r>
      <w:r>
        <w:rPr>
          <w:rFonts w:ascii="Times New Roman" w:cs="Times New Roman" w:eastAsia="Times New Roman" w:hAnsi="Times New Roman"/>
          <w:sz w:val="22"/>
          <w:szCs w:val="22"/>
          <w:color w:val="auto"/>
        </w:rPr>
        <w:t>” means either an (A) Approved Customer whose Program Credit is the first with respect to the Amazon Site and any Additional Sites or (B) Applying Beneficial Owner with respect to any Approved Business Customer whose Business Program Credit (as jointly obtained by such Applying Beneficial Owner and Approved Business Customer) is the first with respect to the Amazon Business Site. For the avoidance of doubt, if any individual satisfies the</w:t>
      </w:r>
    </w:p>
    <w:p>
      <w:pPr>
        <w:sectPr>
          <w:pgSz w:w="11900" w:h="16838" w:orient="portrait"/>
          <w:cols w:equalWidth="0" w:num="1">
            <w:col w:w="9159"/>
          </w:cols>
          <w:pgMar w:left="1300" w:top="1165" w:right="1440" w:bottom="1440" w:gutter="0" w:footer="0" w:header="0"/>
        </w:sectPr>
      </w:pPr>
    </w:p>
    <w:bookmarkStart w:id="262" w:name="page263"/>
    <w:bookmarkEnd w:id="262"/>
    <w:p>
      <w:pPr>
        <w:jc w:val="both"/>
        <w:ind w:right="199"/>
        <w:spacing w:after="0" w:line="253" w:lineRule="auto"/>
        <w:rPr>
          <w:sz w:val="20"/>
          <w:szCs w:val="20"/>
          <w:color w:val="auto"/>
        </w:rPr>
      </w:pPr>
      <w:r>
        <w:rPr>
          <w:rFonts w:ascii="Times New Roman" w:cs="Times New Roman" w:eastAsia="Times New Roman" w:hAnsi="Times New Roman"/>
          <w:sz w:val="22"/>
          <w:szCs w:val="22"/>
          <w:color w:val="auto"/>
        </w:rPr>
        <w:t>criteria in both of the foregoing clauses (A) and (B), then such individual shall be counted as only one New User Acquired. For purpose of this definition, “Applying Beneficial Owner”, “Amazon Business Customers”, “Amazon Business Site” and “Business Program Credit” shall have the meaning assigned to such terms in certain Amazon Business Installment Financing Agreement dated October 27, 2023, by and between Affirm and Amazon Services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Operations Manager</w:t>
      </w:r>
      <w:r>
        <w:rPr>
          <w:rFonts w:ascii="Times New Roman" w:cs="Times New Roman" w:eastAsia="Times New Roman" w:hAnsi="Times New Roman"/>
          <w:sz w:val="22"/>
          <w:szCs w:val="22"/>
          <w:color w:val="auto"/>
        </w:rPr>
        <w:t>” has the meaning set forth in Section 6.1(A).</w:t>
      </w:r>
    </w:p>
    <w:p>
      <w:pPr>
        <w:spacing w:after="0" w:line="220" w:lineRule="exact"/>
        <w:rPr>
          <w:sz w:val="20"/>
          <w:szCs w:val="20"/>
          <w:color w:val="auto"/>
        </w:rPr>
      </w:pPr>
    </w:p>
    <w:p>
      <w:pPr>
        <w:jc w:val="both"/>
        <w:ind w:right="19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Finance Products</w:t>
      </w:r>
      <w:r>
        <w:rPr>
          <w:rFonts w:ascii="Times New Roman" w:cs="Times New Roman" w:eastAsia="Times New Roman" w:hAnsi="Times New Roman"/>
          <w:sz w:val="22"/>
          <w:szCs w:val="22"/>
          <w:color w:val="auto"/>
        </w:rPr>
        <w:t>” means any charge program, debit program, open or closed loop credit card program, stored value or prepaid program, loyalty program or reward program currency, gift card or gift certificate program, or any other payment instrument, method or device, excluding any Installment Credit Financing Programs.</w:t>
      </w:r>
    </w:p>
    <w:p>
      <w:pPr>
        <w:spacing w:after="0" w:line="168" w:lineRule="exact"/>
        <w:rPr>
          <w:sz w:val="20"/>
          <w:szCs w:val="20"/>
          <w:color w:val="auto"/>
        </w:rPr>
      </w:pPr>
    </w:p>
    <w:p>
      <w:pPr>
        <w:jc w:val="both"/>
        <w:ind w:right="19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Early Repayment</w:t>
      </w:r>
      <w:r>
        <w:rPr>
          <w:rFonts w:ascii="Times New Roman" w:cs="Times New Roman" w:eastAsia="Times New Roman" w:hAnsi="Times New Roman"/>
          <w:sz w:val="22"/>
          <w:szCs w:val="22"/>
          <w:color w:val="auto"/>
        </w:rPr>
        <w:t>” means an amount deemed to have been paid by an Approved Customer for application as a partial early repayment of the Program Credit issued to such Approved Customer.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Order Cancellation</w:t>
      </w:r>
      <w:r>
        <w:rPr>
          <w:rFonts w:ascii="Times New Roman" w:cs="Times New Roman" w:eastAsia="Times New Roman" w:hAnsi="Times New Roman"/>
          <w:sz w:val="22"/>
          <w:szCs w:val="22"/>
          <w:color w:val="auto"/>
        </w:rPr>
        <w:t>” has the meaning set forth in Section 6.11(C).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Order Cancellation Date</w:t>
      </w:r>
      <w:r>
        <w:rPr>
          <w:rFonts w:ascii="Times New Roman" w:cs="Times New Roman" w:eastAsia="Times New Roman" w:hAnsi="Times New Roman"/>
          <w:sz w:val="22"/>
          <w:szCs w:val="22"/>
          <w:color w:val="auto"/>
        </w:rPr>
        <w:t>” has the meaning set forth in Section 6.11(C).</w:t>
      </w:r>
    </w:p>
    <w:p>
      <w:pPr>
        <w:spacing w:after="0" w:line="220" w:lineRule="exact"/>
        <w:rPr>
          <w:sz w:val="20"/>
          <w:szCs w:val="20"/>
          <w:color w:val="auto"/>
        </w:rPr>
      </w:pPr>
    </w:p>
    <w:p>
      <w:pPr>
        <w:jc w:val="both"/>
        <w:ind w:right="153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Payment</w:t>
      </w:r>
      <w:r>
        <w:rPr>
          <w:rFonts w:ascii="Times New Roman" w:cs="Times New Roman" w:eastAsia="Times New Roman" w:hAnsi="Times New Roman"/>
          <w:sz w:val="22"/>
          <w:szCs w:val="22"/>
          <w:color w:val="auto"/>
        </w:rPr>
        <w:t>” has the meaning set forth in Section 6.10(E). The Parties agree that the amount of a Partial Payment will not exceed [***] of an Approved Customer’s Requested Loan Amount.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right="19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Participating Site</w:t>
      </w:r>
      <w:r>
        <w:rPr>
          <w:rFonts w:ascii="Times New Roman" w:cs="Times New Roman" w:eastAsia="Times New Roman" w:hAnsi="Times New Roman"/>
          <w:sz w:val="22"/>
          <w:szCs w:val="22"/>
          <w:color w:val="auto"/>
        </w:rPr>
        <w:t>” means (i) the Amazon Site, (ii) each Amazon Affiliate Site, (iii) each Processed Merchant Site, and (iv) each other website or application where Amazon Customers may purchase Eligible Products and through which Affirm and Amazon agree to provide Program Credit in accordance with the terms of this Agreement.</w:t>
      </w:r>
    </w:p>
    <w:p>
      <w:pPr>
        <w:spacing w:after="0" w:line="181" w:lineRule="exact"/>
        <w:rPr>
          <w:sz w:val="20"/>
          <w:szCs w:val="20"/>
          <w:color w:val="auto"/>
        </w:rPr>
      </w:pPr>
    </w:p>
    <w:p>
      <w:pPr>
        <w:ind w:right="1159"/>
        <w:spacing w:after="0" w:line="3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has the meaning set forth in the introductory paragraph and, subject to Section 18.3, includes any successors or assigns.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right="259"/>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Standards</w:t>
      </w:r>
      <w:r>
        <w:rPr>
          <w:rFonts w:ascii="Times New Roman" w:cs="Times New Roman" w:eastAsia="Times New Roman" w:hAnsi="Times New Roman"/>
          <w:sz w:val="22"/>
          <w:szCs w:val="22"/>
          <w:color w:val="auto"/>
        </w:rPr>
        <w:t xml:space="preserve">” means, collectively, the Technical Support Standards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 the Customer Service Standards, and Technical Service Standards.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Standards Report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07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Personnel</w:t>
      </w:r>
      <w:r>
        <w:rPr>
          <w:rFonts w:ascii="Times New Roman" w:cs="Times New Roman" w:eastAsia="Times New Roman" w:hAnsi="Times New Roman"/>
          <w:sz w:val="22"/>
          <w:szCs w:val="22"/>
          <w:color w:val="auto"/>
        </w:rPr>
        <w:t>” means, with respect to a Party, such Party’s and its Affiliates’ directors, officers, employees, permitted contractors and subcontractors, representatives and agents.</w:t>
      </w:r>
    </w:p>
    <w:p>
      <w:pPr>
        <w:spacing w:after="0" w:line="149" w:lineRule="exact"/>
        <w:rPr>
          <w:sz w:val="20"/>
          <w:szCs w:val="20"/>
          <w:color w:val="auto"/>
        </w:rPr>
      </w:pPr>
    </w:p>
    <w:p>
      <w:pPr>
        <w:ind w:right="25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2 Opportunities</w:t>
      </w:r>
      <w:r>
        <w:rPr>
          <w:rFonts w:ascii="Times New Roman" w:cs="Times New Roman" w:eastAsia="Times New Roman" w:hAnsi="Times New Roman"/>
          <w:sz w:val="22"/>
          <w:szCs w:val="22"/>
          <w:color w:val="auto"/>
        </w:rPr>
        <w:t xml:space="preserve">” means the opportunities for developing the scope of the Program as set forth in </w:t>
      </w:r>
      <w:r>
        <w:rPr>
          <w:rFonts w:ascii="Times New Roman" w:cs="Times New Roman" w:eastAsia="Times New Roman" w:hAnsi="Times New Roman"/>
          <w:sz w:val="22"/>
          <w:szCs w:val="22"/>
          <w:u w:val="single" w:color="auto"/>
          <w:color w:val="auto"/>
        </w:rPr>
        <w:t>Schedule 5.4</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Pre-Existing Works</w:t>
      </w:r>
      <w:r>
        <w:rPr>
          <w:rFonts w:ascii="Times New Roman" w:cs="Times New Roman" w:eastAsia="Times New Roman" w:hAnsi="Times New Roman"/>
          <w:sz w:val="22"/>
          <w:szCs w:val="22"/>
          <w:color w:val="auto"/>
        </w:rPr>
        <w:t>” has the meaning set forth in Section 12.4(A)(1).</w:t>
      </w:r>
    </w:p>
    <w:p>
      <w:pPr>
        <w:sectPr>
          <w:pgSz w:w="11900" w:h="16838" w:orient="portrait"/>
          <w:cols w:equalWidth="0" w:num="1">
            <w:col w:w="9159"/>
          </w:cols>
          <w:pgMar w:left="1300" w:top="1165"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Prequalified Amount</w:t>
      </w:r>
      <w:r>
        <w:rPr>
          <w:rFonts w:ascii="Times New Roman" w:cs="Times New Roman" w:eastAsia="Times New Roman" w:hAnsi="Times New Roman"/>
          <w:sz w:val="22"/>
          <w:szCs w:val="22"/>
          <w:color w:val="auto"/>
        </w:rPr>
        <w:t>” has the meaning set forth in Section 2.5(A).</w:t>
      </w:r>
    </w:p>
    <w:p>
      <w:pPr>
        <w:spacing w:after="0" w:line="220"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Prequalification Application</w:t>
      </w:r>
      <w:r>
        <w:rPr>
          <w:rFonts w:ascii="Times New Roman" w:cs="Times New Roman" w:eastAsia="Times New Roman" w:hAnsi="Times New Roman"/>
          <w:sz w:val="22"/>
          <w:szCs w:val="22"/>
          <w:color w:val="auto"/>
        </w:rPr>
        <w:t>” means the process of an Amazon Customer submitting an application on the Amazon Site in order for Affirm to determine their qualified spending amount with Affirm before such Amazon Customer applies for Program Credits. For the avoidance of doubt, an Amazon Customer is not required to complete a Prequalification Application in order to apply for Program Credit(s).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Prequalification Approval Valid Period</w:t>
      </w:r>
      <w:r>
        <w:rPr>
          <w:rFonts w:ascii="Times New Roman" w:cs="Times New Roman" w:eastAsia="Times New Roman" w:hAnsi="Times New Roman"/>
          <w:sz w:val="22"/>
          <w:szCs w:val="22"/>
          <w:color w:val="auto"/>
        </w:rPr>
        <w:t>” has the meaning set forth in Section 2.5(A).</w:t>
      </w:r>
    </w:p>
    <w:p>
      <w:pPr>
        <w:spacing w:after="0" w:line="233" w:lineRule="exact"/>
        <w:rPr>
          <w:sz w:val="20"/>
          <w:szCs w:val="20"/>
          <w:color w:val="auto"/>
        </w:rPr>
      </w:pPr>
    </w:p>
    <w:p>
      <w:pPr>
        <w:jc w:val="both"/>
        <w:ind w:right="199"/>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Pricing Options</w:t>
      </w:r>
      <w:r>
        <w:rPr>
          <w:rFonts w:ascii="Times New Roman" w:cs="Times New Roman" w:eastAsia="Times New Roman" w:hAnsi="Times New Roman"/>
          <w:sz w:val="21"/>
          <w:szCs w:val="21"/>
          <w:color w:val="auto"/>
        </w:rPr>
        <w:t xml:space="preserve">” means, with respect to each Program Credit of an applicable Financing Term,(i) the Subsidy payable by Amazon to Affirm, and (ii) the applicable APR charged to the Approved Customer by Affirm, in each case as set forth in Section 2 of </w:t>
      </w:r>
      <w:r>
        <w:rPr>
          <w:rFonts w:ascii="Times New Roman" w:cs="Times New Roman" w:eastAsia="Times New Roman" w:hAnsi="Times New Roman"/>
          <w:sz w:val="21"/>
          <w:szCs w:val="21"/>
          <w:u w:val="single" w:color="auto"/>
          <w:color w:val="auto"/>
        </w:rPr>
        <w:t>Schedule 2.3(A)(1)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Schedule 2.3(A)(2)</w:t>
      </w:r>
      <w:r>
        <w:rPr>
          <w:rFonts w:ascii="Times New Roman" w:cs="Times New Roman" w:eastAsia="Times New Roman" w:hAnsi="Times New Roman"/>
          <w:sz w:val="21"/>
          <w:szCs w:val="21"/>
          <w:color w:val="auto"/>
        </w:rPr>
        <w:t>, as applicable, that Amazon may choose from, in Amazon’s sole discretion, to market the Program.</w:t>
      </w:r>
    </w:p>
    <w:p>
      <w:pPr>
        <w:spacing w:after="0" w:line="186" w:lineRule="exact"/>
        <w:rPr>
          <w:sz w:val="20"/>
          <w:szCs w:val="20"/>
          <w:color w:val="auto"/>
        </w:rPr>
      </w:pPr>
    </w:p>
    <w:p>
      <w:pPr>
        <w:jc w:val="both"/>
        <w:ind w:right="19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Approval</w:t>
      </w:r>
      <w:r>
        <w:rPr>
          <w:rFonts w:ascii="Times New Roman" w:cs="Times New Roman" w:eastAsia="Times New Roman" w:hAnsi="Times New Roman"/>
          <w:sz w:val="22"/>
          <w:szCs w:val="22"/>
          <w:color w:val="auto"/>
        </w:rPr>
        <w:t>” means the prior written approval of a Party, which approval will not be unreasonably conditioned, withheld or delayed. Written requests and responses requiring “Prior Approval” may be made by a person authorized to do so in accordance with this Agreement, provided that any Party relying on an approval will retain records of the approval.</w:t>
      </w:r>
    </w:p>
    <w:p>
      <w:pPr>
        <w:spacing w:after="0" w:line="168" w:lineRule="exact"/>
        <w:rPr>
          <w:sz w:val="20"/>
          <w:szCs w:val="20"/>
          <w:color w:val="auto"/>
        </w:rPr>
      </w:pPr>
    </w:p>
    <w:p>
      <w:pPr>
        <w:jc w:val="both"/>
        <w:ind w:right="21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Processed Merchant</w:t>
      </w:r>
      <w:r>
        <w:rPr>
          <w:rFonts w:ascii="Times New Roman" w:cs="Times New Roman" w:eastAsia="Times New Roman" w:hAnsi="Times New Roman"/>
          <w:sz w:val="22"/>
          <w:szCs w:val="22"/>
          <w:color w:val="auto"/>
        </w:rPr>
        <w:t>” means any person or entity that has entered into an agreement with Amazon Payments or any of its Affiliates, pursuant to which Amazon Pay will be presented to buyers as a payment option on such person’s or entity’s websites or mobile applications.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Processed Merchant Customer Dispute</w:t>
      </w:r>
      <w:r>
        <w:rPr>
          <w:rFonts w:ascii="Times New Roman" w:cs="Times New Roman" w:eastAsia="Times New Roman" w:hAnsi="Times New Roman"/>
          <w:sz w:val="22"/>
          <w:szCs w:val="22"/>
          <w:color w:val="auto"/>
        </w:rPr>
        <w:t>” has the meaning set forth in Section 6.11.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Processed Merchant Losses</w:t>
      </w:r>
      <w:r>
        <w:rPr>
          <w:rFonts w:ascii="Times New Roman" w:cs="Times New Roman" w:eastAsia="Times New Roman" w:hAnsi="Times New Roman"/>
          <w:sz w:val="22"/>
          <w:szCs w:val="22"/>
          <w:color w:val="auto"/>
        </w:rPr>
        <w:t>” has the meaning set forth in Section 6.8(E).</w:t>
      </w:r>
    </w:p>
    <w:p>
      <w:pPr>
        <w:spacing w:after="0" w:line="220" w:lineRule="exact"/>
        <w:rPr>
          <w:sz w:val="20"/>
          <w:szCs w:val="20"/>
          <w:color w:val="auto"/>
        </w:rPr>
      </w:pPr>
    </w:p>
    <w:p>
      <w:pPr>
        <w:ind w:right="959"/>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Processed Merchant Site</w:t>
      </w:r>
      <w:r>
        <w:rPr>
          <w:rFonts w:ascii="Times New Roman" w:cs="Times New Roman" w:eastAsia="Times New Roman" w:hAnsi="Times New Roman"/>
          <w:sz w:val="21"/>
          <w:szCs w:val="21"/>
          <w:color w:val="auto"/>
        </w:rPr>
        <w:t>” means any website, portions of any website, or mobile or browser applications that are owned, operated, managed or maintained by a Processed Merchant.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Profit P&amp;L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means, unless otherwise stated, the program that is operated in accordance with the terms of this Agreement under which Affirm determines Prequalified Amount for Eligible Applicant submitting a Prequalification Application, and/or issues Program Credit to Eligible Applicants and administers such Program Credit, and Affirm and the Amazon Parties market and promote the use of such program.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Application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19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Credit</w:t>
      </w:r>
      <w:r>
        <w:rPr>
          <w:rFonts w:ascii="Times New Roman" w:cs="Times New Roman" w:eastAsia="Times New Roman" w:hAnsi="Times New Roman"/>
          <w:sz w:val="22"/>
          <w:szCs w:val="22"/>
          <w:color w:val="auto"/>
        </w:rPr>
        <w:t>” means each credit installment loan advanced to an Approved Customer that is provided by Affirm, in conjunction with Bank, as applicable, pursuant to an Installment Credit Financing Program offered in the Territory in accordance with the terms of this Agreement for the purpose of financing the purchase of Baskets.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Credit Materials</w:t>
      </w:r>
      <w:r>
        <w:rPr>
          <w:rFonts w:ascii="Times New Roman" w:cs="Times New Roman" w:eastAsia="Times New Roman" w:hAnsi="Times New Roman"/>
          <w:sz w:val="22"/>
          <w:szCs w:val="22"/>
          <w:color w:val="auto"/>
        </w:rPr>
        <w:t>” has the meaning set forth in Section 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Launch Date</w:t>
      </w:r>
      <w:r>
        <w:rPr>
          <w:rFonts w:ascii="Times New Roman" w:cs="Times New Roman" w:eastAsia="Times New Roman" w:hAnsi="Times New Roman"/>
          <w:sz w:val="22"/>
          <w:szCs w:val="22"/>
          <w:color w:val="auto"/>
        </w:rPr>
        <w:t>” means August 16, 2021.</w:t>
      </w:r>
    </w:p>
    <w:p>
      <w:pPr>
        <w:sectPr>
          <w:pgSz w:w="11900" w:h="16838" w:orient="portrait"/>
          <w:cols w:equalWidth="0" w:num="1">
            <w:col w:w="9159"/>
          </w:cols>
          <w:pgMar w:left="1300" w:top="1161" w:right="1440" w:bottom="1440" w:gutter="0" w:footer="0" w:header="0"/>
        </w:sectPr>
      </w:pPr>
    </w:p>
    <w:bookmarkStart w:id="264" w:name="page265"/>
    <w:bookmarkEnd w:id="264"/>
    <w:p>
      <w:pPr>
        <w:jc w:val="both"/>
        <w:ind w:right="199"/>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Program Launch Date for Amazon Pay</w:t>
      </w:r>
      <w:r>
        <w:rPr>
          <w:rFonts w:ascii="Times New Roman" w:cs="Times New Roman" w:eastAsia="Times New Roman" w:hAnsi="Times New Roman"/>
          <w:sz w:val="21"/>
          <w:szCs w:val="21"/>
          <w:color w:val="auto"/>
        </w:rPr>
        <w:t>” means the date on which applications for Program Credit are first made available to Amazon Customers using Amazon Pay on a Processed Merchant Site.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 Manager</w:t>
      </w:r>
      <w:r>
        <w:rPr>
          <w:rFonts w:ascii="Times New Roman" w:cs="Times New Roman" w:eastAsia="Times New Roman" w:hAnsi="Times New Roman"/>
          <w:sz w:val="22"/>
          <w:szCs w:val="22"/>
          <w:color w:val="auto"/>
        </w:rPr>
        <w:t>” has the meaning set forth in Section 6.1(A)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Goods</w:t>
      </w:r>
      <w:r>
        <w:rPr>
          <w:rFonts w:ascii="Times New Roman" w:cs="Times New Roman" w:eastAsia="Times New Roman" w:hAnsi="Times New Roman"/>
          <w:sz w:val="22"/>
          <w:szCs w:val="22"/>
          <w:color w:val="auto"/>
        </w:rPr>
        <w:t>” has the meaning set forth in Section 6.10(D).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right="1139"/>
        <w:spacing w:after="0" w:line="4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has the meaning set forth in the definition of “Confidential Information.” “</w:t>
      </w:r>
      <w:r>
        <w:rPr>
          <w:rFonts w:ascii="Times New Roman" w:cs="Times New Roman" w:eastAsia="Times New Roman" w:hAnsi="Times New Roman"/>
          <w:sz w:val="22"/>
          <w:szCs w:val="22"/>
          <w:b w:val="1"/>
          <w:bCs w:val="1"/>
          <w:color w:val="auto"/>
        </w:rPr>
        <w:t>Redundant Facility</w:t>
      </w:r>
      <w:r>
        <w:rPr>
          <w:rFonts w:ascii="Times New Roman" w:cs="Times New Roman" w:eastAsia="Times New Roman" w:hAnsi="Times New Roman"/>
          <w:sz w:val="22"/>
          <w:szCs w:val="22"/>
          <w:color w:val="auto"/>
        </w:rPr>
        <w:t>” has the meaning set forth in Section 6.14.</w:t>
      </w:r>
    </w:p>
    <w:p>
      <w:pPr>
        <w:spacing w:after="0" w:line="1" w:lineRule="exact"/>
        <w:rPr>
          <w:sz w:val="20"/>
          <w:szCs w:val="20"/>
          <w:color w:val="auto"/>
        </w:rPr>
      </w:pPr>
    </w:p>
    <w:p>
      <w:pPr>
        <w:ind w:right="57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Requirements</w:t>
      </w:r>
      <w:r>
        <w:rPr>
          <w:rFonts w:ascii="Times New Roman" w:cs="Times New Roman" w:eastAsia="Times New Roman" w:hAnsi="Times New Roman"/>
          <w:sz w:val="22"/>
          <w:szCs w:val="22"/>
          <w:color w:val="auto"/>
        </w:rPr>
        <w:t>” means the Applicable Laws relating to anti-bribery and anti-corruption, including the U.S. Foreign Corrupt Practices Act of 1977.</w:t>
      </w:r>
    </w:p>
    <w:p>
      <w:pPr>
        <w:spacing w:after="0" w:line="163" w:lineRule="exact"/>
        <w:rPr>
          <w:sz w:val="20"/>
          <w:szCs w:val="20"/>
          <w:color w:val="auto"/>
        </w:rPr>
      </w:pPr>
    </w:p>
    <w:p>
      <w:pPr>
        <w:ind w:right="599"/>
        <w:spacing w:after="0" w:line="3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Remittance File</w:t>
      </w:r>
      <w:r>
        <w:rPr>
          <w:rFonts w:ascii="Times New Roman" w:cs="Times New Roman" w:eastAsia="Times New Roman" w:hAnsi="Times New Roman"/>
          <w:sz w:val="21"/>
          <w:szCs w:val="21"/>
          <w:color w:val="auto"/>
        </w:rPr>
        <w:t xml:space="preserve">” means the remittance file described in Amazon’s Global Installment Lending Settlement Process Document set forth in </w:t>
      </w:r>
      <w:r>
        <w:rPr>
          <w:rFonts w:ascii="Times New Roman" w:cs="Times New Roman" w:eastAsia="Times New Roman" w:hAnsi="Times New Roman"/>
          <w:sz w:val="21"/>
          <w:szCs w:val="21"/>
          <w:u w:val="single" w:color="auto"/>
          <w:color w:val="auto"/>
        </w:rPr>
        <w:t>Schedule 6.10</w:t>
      </w:r>
      <w:r>
        <w:rPr>
          <w:rFonts w:ascii="Times New Roman" w:cs="Times New Roman" w:eastAsia="Times New Roman" w:hAnsi="Times New Roman"/>
          <w:sz w:val="21"/>
          <w:szCs w:val="21"/>
          <w:color w:val="auto"/>
        </w:rPr>
        <w:t>, as updated by Amazon from time to time.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Remittance File Period</w:t>
      </w:r>
      <w:r>
        <w:rPr>
          <w:rFonts w:ascii="Times New Roman" w:cs="Times New Roman" w:eastAsia="Times New Roman" w:hAnsi="Times New Roman"/>
          <w:sz w:val="22"/>
          <w:szCs w:val="22"/>
          <w:color w:val="auto"/>
        </w:rPr>
        <w:t>” has the meaning set forth in Section 6.10(F).</w:t>
      </w:r>
    </w:p>
    <w:p>
      <w:pPr>
        <w:spacing w:after="0" w:line="220" w:lineRule="exact"/>
        <w:rPr>
          <w:sz w:val="20"/>
          <w:szCs w:val="20"/>
          <w:color w:val="auto"/>
        </w:rPr>
      </w:pPr>
    </w:p>
    <w:p>
      <w:pPr>
        <w:jc w:val="both"/>
        <w:ind w:right="19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Application Fields</w:t>
      </w:r>
      <w:r>
        <w:rPr>
          <w:rFonts w:ascii="Times New Roman" w:cs="Times New Roman" w:eastAsia="Times New Roman" w:hAnsi="Times New Roman"/>
          <w:sz w:val="22"/>
          <w:szCs w:val="22"/>
          <w:color w:val="auto"/>
        </w:rPr>
        <w:t>” means an applicant’s phone number, name, email address, date of birth, annual personal income and last four digits of social security number. [***].</w:t>
      </w:r>
    </w:p>
    <w:p>
      <w:pPr>
        <w:spacing w:after="0" w:line="149"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Result Data</w:t>
      </w:r>
      <w:r>
        <w:rPr>
          <w:rFonts w:ascii="Times New Roman" w:cs="Times New Roman" w:eastAsia="Times New Roman" w:hAnsi="Times New Roman"/>
          <w:sz w:val="22"/>
          <w:szCs w:val="22"/>
          <w:color w:val="auto"/>
        </w:rPr>
        <w:t>” means, (i) a unique identifier created by Affirm identifying each transaction, (ii) a unique identifier created by Affirm identifying each Prequalified Amount (with respect to Prequalification Applications) or Program Credit (with respect to the Program Application for Program Credit), and (iii) Affirm’s credit decision with respect to each Program Application, which will be either “Approved” “Declined” or “Pending”.</w:t>
      </w:r>
    </w:p>
    <w:p>
      <w:pPr>
        <w:spacing w:after="0" w:line="173" w:lineRule="exact"/>
        <w:rPr>
          <w:sz w:val="20"/>
          <w:szCs w:val="20"/>
          <w:color w:val="auto"/>
        </w:rPr>
      </w:pPr>
    </w:p>
    <w:p>
      <w:pPr>
        <w:jc w:val="both"/>
        <w:ind w:right="199"/>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Return Policies</w:t>
      </w:r>
      <w:r>
        <w:rPr>
          <w:rFonts w:ascii="Times New Roman" w:cs="Times New Roman" w:eastAsia="Times New Roman" w:hAnsi="Times New Roman"/>
          <w:sz w:val="22"/>
          <w:szCs w:val="22"/>
          <w:color w:val="auto"/>
        </w:rPr>
        <w:t>” means Amazon’s published return policies (including policies relating to the return of defective goods) available at www.amazon.com as of the Effective Date. The Return Policies generally provide for goods to be returned within 30 days following shipping for a full refund, but provide for longer periods of time in certain instances (e.g., winter holidays) or for certain products (e.g., Baby), and also provide that Amazon may in its sole discretion, reasonably extend such period in individual cases. Amazon may revise the return policies in its sole discretion from time to time, including by extending the eligible return window applicable to a specific category of goods or during certain times of year.</w:t>
      </w:r>
    </w:p>
    <w:p>
      <w:pPr>
        <w:spacing w:after="0" w:line="205" w:lineRule="exact"/>
        <w:rPr>
          <w:sz w:val="20"/>
          <w:szCs w:val="20"/>
          <w:color w:val="auto"/>
        </w:rPr>
      </w:pPr>
    </w:p>
    <w:p>
      <w:pPr>
        <w:ind w:right="21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 Share</w:t>
      </w:r>
      <w:r>
        <w:rPr>
          <w:rFonts w:ascii="Times New Roman" w:cs="Times New Roman" w:eastAsia="Times New Roman" w:hAnsi="Times New Roman"/>
          <w:sz w:val="22"/>
          <w:szCs w:val="22"/>
          <w:color w:val="auto"/>
        </w:rPr>
        <w:t>” means (i) the product of the applicable Rev Share Rate and the applicable Program Credit plus (ii) if positive, the [***] the applicable Affirm MDR and the applicable Affirm MDR Threshold and applicable Program Credit on a Processed Merchant Site.</w:t>
      </w:r>
    </w:p>
    <w:p>
      <w:pPr>
        <w:spacing w:after="0" w:line="188" w:lineRule="exact"/>
        <w:rPr>
          <w:sz w:val="20"/>
          <w:szCs w:val="20"/>
          <w:color w:val="auto"/>
        </w:rPr>
      </w:pPr>
    </w:p>
    <w:p>
      <w:pPr>
        <w:ind w:right="23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 Share Rate</w:t>
      </w:r>
      <w:r>
        <w:rPr>
          <w:rFonts w:ascii="Times New Roman" w:cs="Times New Roman" w:eastAsia="Times New Roman" w:hAnsi="Times New Roman"/>
          <w:sz w:val="22"/>
          <w:szCs w:val="22"/>
          <w:color w:val="auto"/>
        </w:rPr>
        <w:t xml:space="preserve">” means the applicable rate, expressed as a percentage, set forth in Table 2.1-A, Table 2.1-B, or Table 2.1-C, as applicable, in </w:t>
      </w:r>
      <w:r>
        <w:rPr>
          <w:rFonts w:ascii="Times New Roman" w:cs="Times New Roman" w:eastAsia="Times New Roman" w:hAnsi="Times New Roman"/>
          <w:sz w:val="22"/>
          <w:szCs w:val="22"/>
          <w:u w:val="single" w:color="auto"/>
          <w:color w:val="auto"/>
        </w:rPr>
        <w:t>Schedule 2.3(A)(2)</w:t>
      </w:r>
      <w:r>
        <w:rPr>
          <w:rFonts w:ascii="Times New Roman" w:cs="Times New Roman" w:eastAsia="Times New Roman" w:hAnsi="Times New Roman"/>
          <w:sz w:val="22"/>
          <w:szCs w:val="22"/>
          <w:color w:val="auto"/>
        </w:rPr>
        <w:t>.</w:t>
      </w:r>
    </w:p>
    <w:p>
      <w:pPr>
        <w:sectPr>
          <w:pgSz w:w="11900" w:h="16838" w:orient="portrait"/>
          <w:cols w:equalWidth="0" w:num="1">
            <w:col w:w="9159"/>
          </w:cols>
          <w:pgMar w:left="1300" w:top="1161"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Sponsor</w:t>
      </w:r>
      <w:r>
        <w:rPr>
          <w:rFonts w:ascii="Times New Roman" w:cs="Times New Roman" w:eastAsia="Times New Roman" w:hAnsi="Times New Roman"/>
          <w:sz w:val="22"/>
          <w:szCs w:val="22"/>
          <w:color w:val="auto"/>
        </w:rPr>
        <w:t>” has the meaning set forth in Section 6.1(A).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Settled Loan Proceeds</w:t>
      </w:r>
      <w:r>
        <w:rPr>
          <w:rFonts w:ascii="Times New Roman" w:cs="Times New Roman" w:eastAsia="Times New Roman" w:hAnsi="Times New Roman"/>
          <w:sz w:val="22"/>
          <w:szCs w:val="22"/>
          <w:color w:val="auto"/>
        </w:rPr>
        <w:t>” has the meaning set forth in Section 6.10(E).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Cutoff Date</w:t>
      </w:r>
      <w:r>
        <w:rPr>
          <w:rFonts w:ascii="Times New Roman" w:cs="Times New Roman" w:eastAsia="Times New Roman" w:hAnsi="Times New Roman"/>
          <w:sz w:val="22"/>
          <w:szCs w:val="22"/>
          <w:color w:val="auto"/>
        </w:rPr>
        <w:t>” has the meaning set forth in Section 6.10(E).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Information</w:t>
      </w:r>
      <w:r>
        <w:rPr>
          <w:rFonts w:ascii="Times New Roman" w:cs="Times New Roman" w:eastAsia="Times New Roman" w:hAnsi="Times New Roman"/>
          <w:sz w:val="22"/>
          <w:szCs w:val="22"/>
          <w:color w:val="auto"/>
        </w:rPr>
        <w:t>” has the meaning set forth in Section 6.10(F).</w:t>
      </w:r>
    </w:p>
    <w:p>
      <w:pPr>
        <w:spacing w:after="0" w:line="125" w:lineRule="exact"/>
        <w:rPr>
          <w:sz w:val="20"/>
          <w:szCs w:val="20"/>
          <w:color w:val="auto"/>
        </w:rPr>
      </w:pPr>
    </w:p>
    <w:p>
      <w:pPr>
        <w:jc w:val="both"/>
        <w:ind w:right="19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Shared Information</w:t>
      </w:r>
      <w:r>
        <w:rPr>
          <w:rFonts w:ascii="Times New Roman" w:cs="Times New Roman" w:eastAsia="Times New Roman" w:hAnsi="Times New Roman"/>
          <w:sz w:val="22"/>
          <w:szCs w:val="22"/>
          <w:color w:val="auto"/>
        </w:rPr>
        <w:t xml:space="preserve">” means [***] with respect to each application made by an Eligible Applicant for Prequalification Application, and each application for or use of, Program Credit, as applicable, including information contained in any report set forth in </w:t>
      </w:r>
      <w:r>
        <w:rPr>
          <w:rFonts w:ascii="Times New Roman" w:cs="Times New Roman" w:eastAsia="Times New Roman" w:hAnsi="Times New Roman"/>
          <w:sz w:val="22"/>
          <w:szCs w:val="22"/>
          <w:u w:val="single" w:color="auto"/>
          <w:color w:val="auto"/>
        </w:rPr>
        <w:t>Schedule 13.1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Software Security Review</w:t>
      </w:r>
      <w:r>
        <w:rPr>
          <w:rFonts w:ascii="Times New Roman" w:cs="Times New Roman" w:eastAsia="Times New Roman" w:hAnsi="Times New Roman"/>
          <w:sz w:val="22"/>
          <w:szCs w:val="22"/>
          <w:color w:val="auto"/>
        </w:rPr>
        <w:t>” has the meaning set forth in Section 9.8(A).</w:t>
      </w:r>
    </w:p>
    <w:p>
      <w:pPr>
        <w:spacing w:after="0" w:line="220"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Purpose</w:t>
      </w:r>
      <w:r>
        <w:rPr>
          <w:rFonts w:ascii="Times New Roman" w:cs="Times New Roman" w:eastAsia="Times New Roman" w:hAnsi="Times New Roman"/>
          <w:sz w:val="22"/>
          <w:szCs w:val="22"/>
          <w:color w:val="auto"/>
        </w:rPr>
        <w:t>” means, with respect to Amazon Customer Information provided by any Amazon Party to Affirm, one or more of the following purposes as specified by such Amazon Party to Affirm, in each case in connection with the Program: (i) preventing or detecting fraud, (ii) handling customer service contacts by Approved Customers and/or (iii) identifying and authenticating claims by Approved Customers to the extent required by Applicable Law, provided that (ii) and (iii) will only apply to product categories of Purchased Goods.</w:t>
      </w:r>
    </w:p>
    <w:p>
      <w:pPr>
        <w:spacing w:after="0" w:line="175" w:lineRule="exact"/>
        <w:rPr>
          <w:sz w:val="20"/>
          <w:szCs w:val="20"/>
          <w:color w:val="auto"/>
        </w:rPr>
      </w:pPr>
    </w:p>
    <w:p>
      <w:pPr>
        <w:jc w:val="both"/>
        <w:ind w:right="19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Splitpay Product</w:t>
      </w:r>
      <w:r>
        <w:rPr>
          <w:rFonts w:ascii="Times New Roman" w:cs="Times New Roman" w:eastAsia="Times New Roman" w:hAnsi="Times New Roman"/>
          <w:sz w:val="22"/>
          <w:szCs w:val="22"/>
          <w:color w:val="auto"/>
        </w:rPr>
        <w:t>” means a closed-end installment loan for Customers to finance the purchase of Eligible Products at 0% APR, which will be repaid by Customer either (A) in four or fewer bi-weekly installments over an eight-week loan term, or (b) in three or fewer monthly installments over a three-month loan term originated by Affirm’s Affiliate, Affirm Loan Services, LLC.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Exclusivity Clause</w:t>
      </w:r>
      <w:r>
        <w:rPr>
          <w:rFonts w:ascii="Times New Roman" w:cs="Times New Roman" w:eastAsia="Times New Roman" w:hAnsi="Times New Roman"/>
          <w:sz w:val="22"/>
          <w:szCs w:val="22"/>
          <w:color w:val="auto"/>
        </w:rPr>
        <w:t xml:space="preserve">” has the meaning set forth in Section 3.3 of </w:t>
      </w:r>
      <w:r>
        <w:rPr>
          <w:rFonts w:ascii="Times New Roman" w:cs="Times New Roman" w:eastAsia="Times New Roman" w:hAnsi="Times New Roman"/>
          <w:sz w:val="22"/>
          <w:szCs w:val="22"/>
          <w:u w:val="single" w:color="auto"/>
          <w:color w:val="auto"/>
        </w:rPr>
        <w:t>Schedule 2.3(A)(2)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199"/>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Steering Committee</w:t>
      </w:r>
      <w:r>
        <w:rPr>
          <w:rFonts w:ascii="Times New Roman" w:cs="Times New Roman" w:eastAsia="Times New Roman" w:hAnsi="Times New Roman"/>
          <w:sz w:val="22"/>
          <w:szCs w:val="22"/>
          <w:color w:val="auto"/>
        </w:rPr>
        <w:t>” means the joint working committee of the Parties having the responsibilities set forth in this Agreement, including in Article 6 (</w:t>
      </w:r>
      <w:r>
        <w:rPr>
          <w:rFonts w:ascii="Times New Roman" w:cs="Times New Roman" w:eastAsia="Times New Roman" w:hAnsi="Times New Roman"/>
          <w:sz w:val="22"/>
          <w:szCs w:val="22"/>
          <w:i w:val="1"/>
          <w:iCs w:val="1"/>
          <w:color w:val="auto"/>
        </w:rPr>
        <w:t>Administration of Program</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Stop Shipment Notice Period</w:t>
      </w:r>
      <w:r>
        <w:rPr>
          <w:rFonts w:ascii="Times New Roman" w:cs="Times New Roman" w:eastAsia="Times New Roman" w:hAnsi="Times New Roman"/>
          <w:sz w:val="22"/>
          <w:szCs w:val="22"/>
          <w:color w:val="auto"/>
        </w:rPr>
        <w:t>” has the meaning set forth in Section 6.8(E).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Subcontractor</w:t>
      </w:r>
      <w:r>
        <w:rPr>
          <w:rFonts w:ascii="Times New Roman" w:cs="Times New Roman" w:eastAsia="Times New Roman" w:hAnsi="Times New Roman"/>
          <w:sz w:val="22"/>
          <w:szCs w:val="22"/>
          <w:color w:val="auto"/>
        </w:rPr>
        <w:t>” has the meaning set forth in Section 6.6.</w:t>
      </w:r>
    </w:p>
    <w:p>
      <w:pPr>
        <w:spacing w:after="0" w:line="125" w:lineRule="exact"/>
        <w:rPr>
          <w:sz w:val="20"/>
          <w:szCs w:val="20"/>
          <w:color w:val="auto"/>
        </w:rPr>
      </w:pPr>
    </w:p>
    <w:p>
      <w:pPr>
        <w:jc w:val="both"/>
        <w:ind w:right="19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Subsidy</w:t>
      </w:r>
      <w:r>
        <w:rPr>
          <w:rFonts w:ascii="Times New Roman" w:cs="Times New Roman" w:eastAsia="Times New Roman" w:hAnsi="Times New Roman"/>
          <w:sz w:val="21"/>
          <w:szCs w:val="21"/>
          <w:color w:val="auto"/>
        </w:rPr>
        <w:t xml:space="preserve">” means the amount payable by Amazon to Affirm as a cost or subsidy in connection with the issuance of each Program Credit that is offered with 0% APR to the applicable Approved Customer, which will be the sum of (1) the product of (w) the principal amount of any such Program Credit (which, for the avoidance of doubt, is net of any applicable Partial Payment)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(x) the applicable percentage provided in the selected Subsidy Option column under the Pricing Options or the Adjusted Subsidy Rate, as applicable, for such Program Credit, as provided in Section 2 of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2.3(A)(1)</w:t>
      </w:r>
      <w:r>
        <w:rPr>
          <w:rFonts w:ascii="Times New Roman" w:cs="Times New Roman" w:eastAsia="Times New Roman" w:hAnsi="Times New Roman"/>
          <w:sz w:val="21"/>
          <w:szCs w:val="21"/>
          <w:color w:val="auto"/>
        </w:rPr>
        <w:t xml:space="preserve"> or Section 2 of </w:t>
      </w:r>
      <w:r>
        <w:rPr>
          <w:rFonts w:ascii="Times New Roman" w:cs="Times New Roman" w:eastAsia="Times New Roman" w:hAnsi="Times New Roman"/>
          <w:sz w:val="21"/>
          <w:szCs w:val="21"/>
          <w:u w:val="single" w:color="auto"/>
          <w:color w:val="auto"/>
        </w:rPr>
        <w:t>Schedule 2.3(A)(2)</w:t>
      </w:r>
      <w:r>
        <w:rPr>
          <w:rFonts w:ascii="Times New Roman" w:cs="Times New Roman" w:eastAsia="Times New Roman" w:hAnsi="Times New Roman"/>
          <w:sz w:val="21"/>
          <w:szCs w:val="21"/>
          <w:color w:val="auto"/>
        </w:rPr>
        <w:t xml:space="preserve">, as applicable;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 any [***], as applicable.</w:t>
      </w:r>
    </w:p>
    <w:p>
      <w:pPr>
        <w:spacing w:after="0" w:line="179" w:lineRule="exact"/>
        <w:rPr>
          <w:sz w:val="20"/>
          <w:szCs w:val="20"/>
          <w:color w:val="auto"/>
        </w:rPr>
      </w:pPr>
    </w:p>
    <w:p>
      <w:pPr>
        <w:ind w:right="819"/>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Technical Service Standards</w:t>
      </w:r>
      <w:r>
        <w:rPr>
          <w:rFonts w:ascii="Times New Roman" w:cs="Times New Roman" w:eastAsia="Times New Roman" w:hAnsi="Times New Roman"/>
          <w:sz w:val="22"/>
          <w:szCs w:val="22"/>
          <w:color w:val="auto"/>
        </w:rPr>
        <w:t xml:space="preserve">” means the technical service standards for Affirm’s performance under this Agreement set forth in Section 2 of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w:t>
      </w:r>
    </w:p>
    <w:p>
      <w:pPr>
        <w:sectPr>
          <w:pgSz w:w="11900" w:h="16838" w:orient="portrait"/>
          <w:cols w:equalWidth="0" w:num="1">
            <w:col w:w="9159"/>
          </w:cols>
          <w:pgMar w:left="1300" w:top="1165" w:right="1440" w:bottom="1440" w:gutter="0" w:footer="0" w:header="0"/>
        </w:sectPr>
      </w:pPr>
    </w:p>
    <w:bookmarkStart w:id="266" w:name="page267"/>
    <w:bookmarkEnd w:id="266"/>
    <w:p>
      <w:pPr>
        <w:jc w:val="both"/>
        <w:ind w:right="19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Technical Specifications</w:t>
      </w:r>
      <w:r>
        <w:rPr>
          <w:rFonts w:ascii="Times New Roman" w:cs="Times New Roman" w:eastAsia="Times New Roman" w:hAnsi="Times New Roman"/>
          <w:sz w:val="22"/>
          <w:szCs w:val="22"/>
          <w:color w:val="auto"/>
        </w:rPr>
        <w:t>” means the written technical specification documents agreed upon by the Parties that describe and establish testing procedures and other technical requirements in greater detail than this Agreement to facilitate the operation of the Program on an ongoing basis.</w:t>
      </w:r>
    </w:p>
    <w:p>
      <w:pPr>
        <w:spacing w:after="0" w:line="3" w:lineRule="exact"/>
        <w:rPr>
          <w:sz w:val="20"/>
          <w:szCs w:val="20"/>
          <w:color w:val="auto"/>
        </w:rPr>
      </w:pPr>
    </w:p>
    <w:p>
      <w:pPr>
        <w:jc w:val="both"/>
        <w:ind w:right="219"/>
        <w:spacing w:after="0" w:line="259" w:lineRule="auto"/>
        <w:rPr>
          <w:sz w:val="20"/>
          <w:szCs w:val="20"/>
          <w:color w:val="auto"/>
        </w:rPr>
      </w:pPr>
      <w:r>
        <w:rPr>
          <w:rFonts w:ascii="Times New Roman" w:cs="Times New Roman" w:eastAsia="Times New Roman" w:hAnsi="Times New Roman"/>
          <w:sz w:val="22"/>
          <w:szCs w:val="22"/>
          <w:color w:val="auto"/>
        </w:rPr>
        <w:t>For the avoidance of doubt, Affirm and Amazon Services may mutually agree to amend the Technical Specifications throughout the Term.</w:t>
      </w:r>
    </w:p>
    <w:p>
      <w:pPr>
        <w:spacing w:after="0" w:line="153" w:lineRule="exact"/>
        <w:rPr>
          <w:sz w:val="20"/>
          <w:szCs w:val="20"/>
          <w:color w:val="auto"/>
        </w:rPr>
      </w:pPr>
    </w:p>
    <w:p>
      <w:pPr>
        <w:jc w:val="both"/>
        <w:ind w:right="19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Technical Support Standards</w:t>
      </w:r>
      <w:r>
        <w:rPr>
          <w:rFonts w:ascii="Times New Roman" w:cs="Times New Roman" w:eastAsia="Times New Roman" w:hAnsi="Times New Roman"/>
          <w:sz w:val="22"/>
          <w:szCs w:val="22"/>
          <w:color w:val="auto"/>
        </w:rPr>
        <w:t xml:space="preserve">” means the technical support standards specified in </w:t>
      </w:r>
      <w:r>
        <w:rPr>
          <w:rFonts w:ascii="Times New Roman" w:cs="Times New Roman" w:eastAsia="Times New Roman" w:hAnsi="Times New Roman"/>
          <w:sz w:val="22"/>
          <w:szCs w:val="22"/>
          <w:u w:val="single" w:color="auto"/>
          <w:color w:val="auto"/>
        </w:rPr>
        <w:t>Schedule 2.1</w:t>
      </w:r>
      <w:r>
        <w:rPr>
          <w:rFonts w:ascii="Times New Roman" w:cs="Times New Roman" w:eastAsia="Times New Roman" w:hAnsi="Times New Roman"/>
          <w:sz w:val="22"/>
          <w:szCs w:val="22"/>
          <w:color w:val="auto"/>
        </w:rPr>
        <w:t xml:space="preserve"> in accordance with which Affirm will provide technical support to Amazon.</w:t>
      </w:r>
    </w:p>
    <w:p>
      <w:pPr>
        <w:spacing w:after="0" w:line="149"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Technology</w:t>
      </w:r>
      <w:r>
        <w:rPr>
          <w:rFonts w:ascii="Times New Roman" w:cs="Times New Roman" w:eastAsia="Times New Roman" w:hAnsi="Times New Roman"/>
          <w:sz w:val="22"/>
          <w:szCs w:val="22"/>
          <w:color w:val="auto"/>
        </w:rPr>
        <w:t>” means and includes all specifications, logic, formats, forms, computer code, and software programs (in source code or object code form), tools and utilities, graphics, user interfaces, devices, techniques, algorithms, methods, processes, procedures, templates, interfaces, packaging, formulae, information, drawings, designs, improvements, discoveries, inventions and works (whether or not patentable or copyrightable and whether or not reduced to practice or published), themes, know-how, concepts, technical data, databases and any other technology as well as any related documentation and instructions.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right="19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means the period from and including the Effective Date to the expiration or termination of this Agreement pursuant to Article 16 (</w:t>
      </w:r>
      <w:r>
        <w:rPr>
          <w:rFonts w:ascii="Times New Roman" w:cs="Times New Roman" w:eastAsia="Times New Roman" w:hAnsi="Times New Roman"/>
          <w:sz w:val="22"/>
          <w:szCs w:val="22"/>
          <w:i w:val="1"/>
          <w:iCs w:val="1"/>
          <w:color w:val="auto"/>
        </w:rPr>
        <w:t>Term and Termination</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subject to the exclusions that follow, as of the Scheduled Launch Date, the fifty</w:t>
      </w:r>
    </w:p>
    <w:p>
      <w:pPr>
        <w:spacing w:after="0" w:line="32" w:lineRule="exact"/>
        <w:rPr>
          <w:sz w:val="20"/>
          <w:szCs w:val="20"/>
          <w:color w:val="auto"/>
        </w:rPr>
      </w:pPr>
    </w:p>
    <w:p>
      <w:pPr>
        <w:ind w:right="219"/>
        <w:spacing w:after="0" w:line="248" w:lineRule="auto"/>
        <w:tabs>
          <w:tab w:leader="none" w:pos="46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states of the United States of America, the District of Columbia and certain United States territories and possessions, and no other jurisdiction.</w:t>
      </w:r>
    </w:p>
    <w:p>
      <w:pPr>
        <w:spacing w:after="0" w:line="178"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w:t>
      </w:r>
      <w:r>
        <w:rPr>
          <w:rFonts w:ascii="Times New Roman" w:cs="Times New Roman" w:eastAsia="Times New Roman" w:hAnsi="Times New Roman"/>
          <w:sz w:val="22"/>
          <w:szCs w:val="22"/>
          <w:color w:val="auto"/>
        </w:rPr>
        <w:t>” means any trade name, trademark, service mark, logo, design, emblem, trade dress or other indicia of origin of an entity and any variation of the trade name, trademark, service mark, logo, design, emblem, trade dress or other indicia of origin of an entity that the owner or licensor of the trade name, trademark, service mark, logo, design, emblem, trade dress or other indicia of origin of an entity may approve in writing and any translation of any of the foregoing.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Unauthorized Use Notice</w:t>
      </w:r>
      <w:r>
        <w:rPr>
          <w:rFonts w:ascii="Times New Roman" w:cs="Times New Roman" w:eastAsia="Times New Roman" w:hAnsi="Times New Roman"/>
          <w:sz w:val="22"/>
          <w:szCs w:val="22"/>
          <w:color w:val="auto"/>
        </w:rPr>
        <w:t>” has the meaning set forth in Section 5.1(C).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URL</w:t>
      </w:r>
      <w:r>
        <w:rPr>
          <w:rFonts w:ascii="Times New Roman" w:cs="Times New Roman" w:eastAsia="Times New Roman" w:hAnsi="Times New Roman"/>
          <w:sz w:val="22"/>
          <w:szCs w:val="22"/>
          <w:color w:val="auto"/>
        </w:rPr>
        <w:t>” or “Uniform Resource Locator” means the address of a specific web site or file.</w:t>
      </w:r>
    </w:p>
    <w:p>
      <w:pPr>
        <w:spacing w:after="0" w:line="328" w:lineRule="exact"/>
        <w:rPr>
          <w:sz w:val="20"/>
          <w:szCs w:val="20"/>
          <w:color w:val="auto"/>
        </w:rPr>
      </w:pPr>
    </w:p>
    <w:p>
      <w:pPr>
        <w:jc w:val="both"/>
        <w:ind w:right="19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Verified Address</w:t>
      </w:r>
      <w:r>
        <w:rPr>
          <w:rFonts w:ascii="Times New Roman" w:cs="Times New Roman" w:eastAsia="Times New Roman" w:hAnsi="Times New Roman"/>
          <w:sz w:val="22"/>
          <w:szCs w:val="22"/>
          <w:color w:val="auto"/>
        </w:rPr>
        <w:t>” means the physical address at which Affirm has identified the applicant to be a resident by means of an established electronic background check and search process.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Warranty Partial Order Cancellation</w:t>
      </w:r>
      <w:r>
        <w:rPr>
          <w:rFonts w:ascii="Times New Roman" w:cs="Times New Roman" w:eastAsia="Times New Roman" w:hAnsi="Times New Roman"/>
          <w:sz w:val="22"/>
          <w:szCs w:val="22"/>
          <w:color w:val="auto"/>
        </w:rPr>
        <w:t>” has the meaning set forth in Section 6.11(D).</w:t>
      </w:r>
    </w:p>
    <w:p>
      <w:pPr>
        <w:sectPr>
          <w:pgSz w:w="11900" w:h="16838" w:orient="portrait"/>
          <w:cols w:equalWidth="0" w:num="1">
            <w:col w:w="9159"/>
          </w:cols>
          <w:pgMar w:left="1300" w:top="1148" w:right="1440" w:bottom="1440" w:gutter="0" w:footer="0" w:header="0"/>
        </w:sectPr>
      </w:pPr>
    </w:p>
    <w:bookmarkStart w:id="267" w:name="page268"/>
    <w:bookmarkEnd w:id="267"/>
    <w:p>
      <w:pPr>
        <w:spacing w:after="0" w:line="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22"/>
          <w:szCs w:val="22"/>
          <w:b w:val="1"/>
          <w:bCs w:val="1"/>
          <w:u w:val="single" w:color="auto"/>
          <w:color w:val="auto"/>
        </w:rPr>
        <w:t>SCHEDULE 7.3</w:t>
      </w:r>
    </w:p>
    <w:p>
      <w:pPr>
        <w:spacing w:after="0" w:line="200" w:lineRule="exact"/>
        <w:rPr>
          <w:sz w:val="20"/>
          <w:szCs w:val="20"/>
          <w:color w:val="auto"/>
        </w:rPr>
      </w:pPr>
    </w:p>
    <w:p>
      <w:pPr>
        <w:spacing w:after="0" w:line="276"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22"/>
          <w:szCs w:val="22"/>
          <w:b w:val="1"/>
          <w:bCs w:val="1"/>
          <w:color w:val="auto"/>
        </w:rPr>
        <w:t>FINANCIAL OBLIGATIONS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 w:firstLine="644"/>
        <w:spacing w:after="0" w:line="252" w:lineRule="auto"/>
        <w:tabs>
          <w:tab w:leader="none" w:pos="1045" w:val="left"/>
        </w:tabs>
        <w:numPr>
          <w:ilvl w:val="2"/>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Letter of Credit. </w:t>
      </w:r>
      <w:r>
        <w:rPr>
          <w:rFonts w:ascii="Times New Roman" w:cs="Times New Roman" w:eastAsia="Times New Roman" w:hAnsi="Times New Roman"/>
          <w:sz w:val="22"/>
          <w:szCs w:val="22"/>
          <w:color w:val="auto"/>
        </w:rPr>
        <w:t>By no later than each anniversary of the Program Launch Date during the Term, Affirm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provide Amazon Services with credit support for the Program in the form of an irrevocable standby letter of credit in an amount equal to [***]. [***] on each anniversary of the Program Launch Date, and the Letter of Credit shall be updated accordingly thereafter [***]. The Parties will evaluate the need to provide an additional or replacement letter of credit and Affirm will do so upon the mutual agreement of the Parties. The letter of credit must be electronically issued to Amazon Services’ advising bank and must be maintained in accordance with this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w:t>
      </w:r>
    </w:p>
    <w:p>
      <w:pPr>
        <w:spacing w:after="0" w:line="179" w:lineRule="exact"/>
        <w:rPr>
          <w:rFonts w:ascii="Times New Roman" w:cs="Times New Roman" w:eastAsia="Times New Roman" w:hAnsi="Times New Roman"/>
          <w:sz w:val="22"/>
          <w:szCs w:val="22"/>
          <w:b w:val="1"/>
          <w:bCs w:val="1"/>
          <w:color w:val="auto"/>
        </w:rPr>
      </w:pPr>
    </w:p>
    <w:p>
      <w:pPr>
        <w:jc w:val="both"/>
        <w:ind w:left="4" w:firstLine="644"/>
        <w:spacing w:after="0" w:line="253" w:lineRule="auto"/>
        <w:tabs>
          <w:tab w:leader="none" w:pos="1030" w:val="left"/>
        </w:tabs>
        <w:numPr>
          <w:ilvl w:val="2"/>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Financial Covenants. </w:t>
      </w:r>
      <w:r>
        <w:rPr>
          <w:rFonts w:ascii="Times New Roman" w:cs="Times New Roman" w:eastAsia="Times New Roman" w:hAnsi="Times New Roman"/>
          <w:sz w:val="22"/>
          <w:szCs w:val="22"/>
          <w:color w:val="auto"/>
        </w:rPr>
        <w:t>At all times during the Term, Affirm will be required to maintain (1)[***]of at least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(2) [***] of at least [***], and (3) [***] not to exceed [***] (collectively, the “</w:t>
      </w:r>
      <w:r>
        <w:rPr>
          <w:rFonts w:ascii="Times New Roman" w:cs="Times New Roman" w:eastAsia="Times New Roman" w:hAnsi="Times New Roman"/>
          <w:sz w:val="22"/>
          <w:szCs w:val="22"/>
          <w:b w:val="1"/>
          <w:bCs w:val="1"/>
          <w:color w:val="auto"/>
        </w:rPr>
        <w:t>Affirm Financial Covenants</w:t>
      </w:r>
      <w:r>
        <w:rPr>
          <w:rFonts w:ascii="Times New Roman" w:cs="Times New Roman" w:eastAsia="Times New Roman" w:hAnsi="Times New Roman"/>
          <w:sz w:val="22"/>
          <w:szCs w:val="22"/>
          <w:color w:val="auto"/>
        </w:rPr>
        <w:t>”). [***]. Affirm will provide evidence of compliance with the Affirm Financial Covenants, in form and substance reasonably satisfactory to Amazon Services, [***] during the Term. [***].</w:t>
      </w:r>
    </w:p>
    <w:p>
      <w:pPr>
        <w:spacing w:after="0" w:line="188" w:lineRule="exact"/>
        <w:rPr>
          <w:rFonts w:ascii="Times New Roman" w:cs="Times New Roman" w:eastAsia="Times New Roman" w:hAnsi="Times New Roman"/>
          <w:sz w:val="22"/>
          <w:szCs w:val="22"/>
          <w:b w:val="1"/>
          <w:bCs w:val="1"/>
          <w:color w:val="auto"/>
        </w:rPr>
      </w:pPr>
    </w:p>
    <w:p>
      <w:pPr>
        <w:ind w:left="1024" w:hanging="376"/>
        <w:spacing w:after="0"/>
        <w:tabs>
          <w:tab w:leader="none" w:pos="1024" w:val="left"/>
        </w:tabs>
        <w:numPr>
          <w:ilvl w:val="2"/>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Marketing and Program Support.</w:t>
      </w:r>
    </w:p>
    <w:p>
      <w:pPr>
        <w:spacing w:after="0" w:line="223" w:lineRule="exact"/>
        <w:rPr>
          <w:rFonts w:ascii="Times New Roman" w:cs="Times New Roman" w:eastAsia="Times New Roman" w:hAnsi="Times New Roman"/>
          <w:sz w:val="22"/>
          <w:szCs w:val="22"/>
          <w:b w:val="1"/>
          <w:bCs w:val="1"/>
          <w:color w:val="auto"/>
        </w:rPr>
      </w:pPr>
    </w:p>
    <w:p>
      <w:pPr>
        <w:ind w:left="464" w:hanging="464"/>
        <w:spacing w:after="0"/>
        <w:tabs>
          <w:tab w:leader="none" w:pos="464" w:val="left"/>
        </w:tabs>
        <w:numPr>
          <w:ilvl w:val="0"/>
          <w:numId w:val="2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0"/>
          <w:szCs w:val="20"/>
          <w:b w:val="1"/>
          <w:bCs w:val="1"/>
          <w:color w:val="auto"/>
        </w:rPr>
      </w:pPr>
    </w:p>
    <w:p>
      <w:pPr>
        <w:ind w:left="964" w:hanging="374"/>
        <w:spacing w:after="0"/>
        <w:tabs>
          <w:tab w:leader="none" w:pos="964" w:val="left"/>
        </w:tabs>
        <w:numPr>
          <w:ilvl w:val="1"/>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Innovation Resources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464" w:hanging="464"/>
        <w:spacing w:after="0"/>
        <w:tabs>
          <w:tab w:leader="none" w:pos="464"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p>
    <w:p>
      <w:pPr>
        <w:sectPr>
          <w:pgSz w:w="11900" w:h="16838" w:orient="portrait"/>
          <w:cols w:equalWidth="0" w:num="1">
            <w:col w:w="10264"/>
          </w:cols>
          <w:pgMar w:left="976" w:top="1440" w:right="65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AFFIRM HOLDINGS, INC.</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AMENDED AND RESTATED 2012 STOCK PLAN</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 FOR DIRECTORS</w:t>
      </w:r>
    </w:p>
    <w:p>
      <w:pPr>
        <w:spacing w:after="0" w:line="233"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Affirm Holdings, Inc., a Nevada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pursuant to the Affirm Holdings, Inc. Amended and Restated 2012 Stock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granted to the non- employee director set forth below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as of the date set forth below (the “</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a restricted stock unit award covering the number of units set forth below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each of which represents one (1) share of the Company’s class A common stock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and the shares of Common Stock underlying the RSUs,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The RSUs are subject to all of the terms and conditions set forth in this Notice of Restricted Stock Unit Grant for Directors (the “</w:t>
      </w:r>
      <w:r>
        <w:rPr>
          <w:rFonts w:ascii="Times New Roman" w:cs="Times New Roman" w:eastAsia="Times New Roman" w:hAnsi="Times New Roman"/>
          <w:sz w:val="22"/>
          <w:szCs w:val="22"/>
          <w:b w:val="1"/>
          <w:bCs w:val="1"/>
          <w:color w:val="auto"/>
        </w:rPr>
        <w:t>Grant Notice</w:t>
      </w:r>
      <w:r>
        <w:rPr>
          <w:rFonts w:ascii="Times New Roman" w:cs="Times New Roman" w:eastAsia="Times New Roman" w:hAnsi="Times New Roman"/>
          <w:sz w:val="22"/>
          <w:szCs w:val="22"/>
          <w:color w:val="auto"/>
        </w:rPr>
        <w:t>”) and the Director Restricted Stock Unit Agreement (the “</w:t>
      </w:r>
      <w:r>
        <w:rPr>
          <w:rFonts w:ascii="Times New Roman" w:cs="Times New Roman" w:eastAsia="Times New Roman" w:hAnsi="Times New Roman"/>
          <w:sz w:val="22"/>
          <w:szCs w:val="22"/>
          <w:b w:val="1"/>
          <w:bCs w:val="1"/>
          <w:color w:val="auto"/>
        </w:rPr>
        <w:t>Director RSU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the Plan, both of which are attached hereto and incorporated herein in their entirety. Capitalized terms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explicitly defined in this Grant Notice but defined in the Plan or the Director RSU Agreement will have the same definitions as in the Plan or the Director RSU Agreement. In the event of any conflict between the terms of the Grant Notice and the Plan, the terms of the Plan will control.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Grantee:</w:t>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of Grantee»</w:t>
      </w:r>
    </w:p>
    <w:p>
      <w:pPr>
        <w:sectPr>
          <w:pgSz w:w="11900" w:h="16838" w:orient="portrait"/>
          <w:cols w:equalWidth="0" w:num="1">
            <w:col w:w="11240"/>
          </w:cols>
          <w:pgMar w:left="320" w:top="117" w:right="339" w:bottom="1440" w:gutter="0" w:footer="0" w:header="0"/>
        </w:sectPr>
      </w:pPr>
    </w:p>
    <w:p>
      <w:pPr>
        <w:spacing w:after="0" w:line="2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Board Approval Date: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Board Approval»</w:t>
      </w:r>
    </w:p>
    <w:p>
      <w:pPr>
        <w:spacing w:after="0" w:line="200" w:lineRule="exact"/>
        <w:rPr>
          <w:sz w:val="20"/>
          <w:szCs w:val="20"/>
          <w:color w:val="auto"/>
        </w:rPr>
      </w:pPr>
    </w:p>
    <w:p>
      <w:pPr>
        <w:sectPr>
          <w:pgSz w:w="11900" w:h="16838" w:orient="portrait"/>
          <w:cols w:equalWidth="0" w:num="2">
            <w:col w:w="5180" w:space="720"/>
            <w:col w:w="5340"/>
          </w:cols>
          <w:pgMar w:left="320" w:top="117" w:right="339" w:bottom="1440" w:gutter="0" w:footer="0" w:header="0"/>
          <w:type w:val="continuous"/>
        </w:sectPr>
      </w:pP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Grant»</w:t>
      </w:r>
    </w:p>
    <w:p>
      <w:pPr>
        <w:spacing w:after="0" w:line="200" w:lineRule="exact"/>
        <w:rPr>
          <w:sz w:val="20"/>
          <w:szCs w:val="20"/>
          <w:color w:val="auto"/>
        </w:rPr>
      </w:pPr>
    </w:p>
    <w:p>
      <w:pPr>
        <w:sectPr>
          <w:pgSz w:w="11900" w:h="16838" w:orient="portrait"/>
          <w:cols w:equalWidth="0" w:num="2">
            <w:col w:w="5180" w:space="720"/>
            <w:col w:w="5340"/>
          </w:cols>
          <w:pgMar w:left="320" w:top="117" w:right="339" w:bottom="1440" w:gutter="0" w:footer="0" w:header="0"/>
          <w:type w:val="continuous"/>
        </w:sectPr>
      </w:pP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Total Number of Restricted Stock Units Granted: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Shares»</w:t>
      </w:r>
    </w:p>
    <w:p>
      <w:pPr>
        <w:spacing w:after="0" w:line="200" w:lineRule="exact"/>
        <w:rPr>
          <w:sz w:val="20"/>
          <w:szCs w:val="20"/>
          <w:color w:val="auto"/>
        </w:rPr>
      </w:pPr>
    </w:p>
    <w:p>
      <w:pPr>
        <w:sectPr>
          <w:pgSz w:w="11900" w:h="16838" w:orient="portrait"/>
          <w:cols w:equalWidth="0" w:num="2">
            <w:col w:w="5180" w:space="720"/>
            <w:col w:w="5340"/>
          </w:cols>
          <w:pgMar w:left="320" w:top="117" w:right="339" w:bottom="1440" w:gutter="0" w:footer="0" w:header="0"/>
          <w:type w:val="continuous"/>
        </w:sectPr>
      </w:pP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0" w:lineRule="exact"/>
        <w:rPr>
          <w:sz w:val="20"/>
          <w:szCs w:val="20"/>
          <w:color w:val="auto"/>
        </w:rPr>
      </w:pPr>
    </w:p>
    <w:p>
      <w:pPr>
        <w:sectPr>
          <w:pgSz w:w="11900" w:h="16838" w:orient="portrait"/>
          <w:cols w:equalWidth="0" w:num="2">
            <w:col w:w="5180" w:space="720"/>
            <w:col w:w="5340"/>
          </w:cols>
          <w:pgMar w:left="320" w:top="117" w:right="339" w:bottom="1440" w:gutter="0" w:footer="0" w:header="0"/>
          <w:type w:val="continuous"/>
        </w:sectPr>
      </w:pP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Vesting Schedule: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Schedule»</w:t>
      </w:r>
    </w:p>
    <w:p>
      <w:pPr>
        <w:spacing w:after="0" w:line="200" w:lineRule="exact"/>
        <w:rPr>
          <w:sz w:val="20"/>
          <w:szCs w:val="20"/>
          <w:color w:val="auto"/>
        </w:rPr>
      </w:pPr>
    </w:p>
    <w:p>
      <w:pPr>
        <w:sectPr>
          <w:pgSz w:w="11900" w:h="16838" w:orient="portrait"/>
          <w:cols w:equalWidth="0" w:num="2">
            <w:col w:w="5180" w:space="720"/>
            <w:col w:w="5340"/>
          </w:cols>
          <w:pgMar w:left="320" w:top="117" w:right="339" w:bottom="1440" w:gutter="0" w:footer="0" w:header="0"/>
          <w:type w:val="continuous"/>
        </w:sectPr>
      </w:pPr>
    </w:p>
    <w:p>
      <w:pPr>
        <w:spacing w:after="0" w:line="4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 With respect to each Annual Director RSU Grant, such</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RSUs shall be subject to vesting and shall vest in full upon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the earlier of one year from the “Date of Grant” or the</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Company’s next Annual Meeting of Stockholders following</w:t>
      </w:r>
    </w:p>
    <w:p>
      <w:pPr>
        <w:spacing w:after="0" w:line="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the Date of Grant, subject to Grantee’s Continuous Service</w:t>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Status through such date.</w:t>
      </w:r>
    </w:p>
    <w:p>
      <w:pPr>
        <w:sectPr>
          <w:pgSz w:w="11900" w:h="16838" w:orient="portrait"/>
          <w:cols w:equalWidth="0" w:num="1">
            <w:col w:w="11240"/>
          </w:cols>
          <w:pgMar w:left="320" w:top="117" w:right="339" w:bottom="1440" w:gutter="0" w:footer="0" w:header="0"/>
          <w:type w:val="continuous"/>
        </w:sectPr>
      </w:pPr>
    </w:p>
    <w:bookmarkStart w:id="269" w:name="page270"/>
    <w:bookmarkEnd w:id="269"/>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Vesting Acceleration:</w:t>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In the event of a Change of Control, any unvested portion of</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this award of RSUs shall become immediately vested in full</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as of immediately prior to the effective date of the Change of</w:t>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Control, subject to Grantee’s Continuous Service through</w:t>
      </w:r>
    </w:p>
    <w:p>
      <w:pPr>
        <w:spacing w:after="0" w:line="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the consummation of the Change of Control.</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Issuance Schedule:</w:t>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Upon vesting, RSUs shall be settled in Shares on a date</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determined by the Company, in its sole and absolute</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discretion (but in no event later than two and one-half (2 ½)</w:t>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months after the end of the year in which the vesting date</w:t>
      </w:r>
    </w:p>
    <w:p>
      <w:pPr>
        <w:spacing w:after="0" w:line="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occurs).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Further, notwithstanding anything stated herein, in the</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Director RSU Agreement, the Plan or any other agreement</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applicable to the RSUs, the Company shall have the</w:t>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discretion to settle the RSUs prior to the time set forth</w:t>
      </w:r>
    </w:p>
    <w:p>
      <w:pPr>
        <w:spacing w:after="0" w:line="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herein to the extent permitted by Treasury Regulation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Section 1.409A-3(j)(4).</w:t>
      </w:r>
    </w:p>
    <w:p>
      <w:pPr>
        <w:spacing w:after="0" w:line="31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By your signature and the signature of the Company’s representative below, or by your acceptance of the Director RSU Agreement via the Company’s designated electronic acceptance procedures, you and the Company agree that (i) the RSUs are granted under and governed by the terms and conditions of the Affirm Holdings, Inc. Amended and Restated 2012 Stock Plan and the Director RSU Agreement, both of which are attached and made a part of this document and (ii) the RSUs granted hereby are in full satisfaction of any promise of a grant of stock options and/or restricted stock units to you as may be set forth in an offer letter (or similar agreement) between you and the Company.</w:t>
      </w:r>
    </w:p>
    <w:p>
      <w:pPr>
        <w:spacing w:after="0" w:line="181"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2"/>
          <w:szCs w:val="22"/>
          <w:color w:val="auto"/>
        </w:rPr>
        <w:t>In addition, you agree and acknowledge that your rights to any Shares upon the settlement of the RSUs will be received only when the RSUs vest, that the grant of the RSUs is not as consideration for services you rendered to the Company prior to your Vesting Commencement Date, and that nothing in this Grant Notice or the attached documents should be interpreted as forming or amending any service contract with the Company or confers upon you any right to continue as a director of the Company for any period of time, nor does it interfere in any way with your right or the Company’s right to terminate such directorship at any time, for any reason, with or without cause.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ectPr>
          <w:pgSz w:w="11900" w:h="16838" w:orient="portrait"/>
          <w:cols w:equalWidth="0" w:num="1">
            <w:col w:w="11220"/>
          </w:cols>
          <w:pgMar w:left="320" w:top="1440" w:right="359" w:bottom="1440" w:gutter="0" w:footer="0" w:header="0"/>
        </w:sectPr>
      </w:pPr>
    </w:p>
    <w:bookmarkStart w:id="270" w:name="page271"/>
    <w:bookmarkEnd w:id="270"/>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-13970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1" w:name="page272"/>
    <w:bookmarkEnd w:id="271"/>
    <w:p>
      <w:pPr>
        <w:spacing w:after="0" w:line="200" w:lineRule="exact"/>
        <w:rPr>
          <w:sz w:val="20"/>
          <w:szCs w:val="20"/>
          <w:color w:val="auto"/>
        </w:rPr>
      </w:pPr>
    </w:p>
    <w:p>
      <w:pPr>
        <w:spacing w:after="0" w:line="23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AFFIRM HOLDINGS, INC.</w:t>
      </w:r>
    </w:p>
    <w:p>
      <w:pPr>
        <w:spacing w:after="0" w:line="22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2012 AMENDED AND RESTATED STOCK PLAN</w:t>
      </w:r>
    </w:p>
    <w:p>
      <w:pPr>
        <w:spacing w:after="0" w:line="22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u w:val="single" w:color="auto"/>
          <w:color w:val="auto"/>
        </w:rPr>
        <w:t>DIRECTOR RESTRICTED STOCK UNIT AWARD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your Notice of Restricted Stock Unit Grant for Directors (the “</w:t>
      </w:r>
      <w:r>
        <w:rPr>
          <w:rFonts w:ascii="Times New Roman" w:cs="Times New Roman" w:eastAsia="Times New Roman" w:hAnsi="Times New Roman"/>
          <w:sz w:val="22"/>
          <w:szCs w:val="22"/>
          <w:b w:val="1"/>
          <w:bCs w:val="1"/>
          <w:color w:val="auto"/>
        </w:rPr>
        <w:t>Grant Notice</w:t>
      </w:r>
      <w:r>
        <w:rPr>
          <w:rFonts w:ascii="Times New Roman" w:cs="Times New Roman" w:eastAsia="Times New Roman" w:hAnsi="Times New Roman"/>
          <w:sz w:val="22"/>
          <w:szCs w:val="22"/>
          <w:color w:val="auto"/>
        </w:rPr>
        <w:t>”) and this Director Restricted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 Unit Award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Affirm Holdings, Inc., a Nevada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of Grant set forth in the Grant Notice, a restricted stock unit award covering the number of units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in your Grant Notice (the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each of which represents one (1) share of the Company’s class A common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and the shares of Common Stock underlying the RSUs,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pursuant to the Company’s Amended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Restated 2012 Stock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not explicitly defined in this Agreement but defined in the Plan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Grant Notice shall have the meaning ascribed to them in the Plan or in the Grant Notice. In the event of any conflict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 the terms of this Agreement and the Plan, the terms of the Plan will control.</w:t>
      </w:r>
    </w:p>
    <w:p>
      <w:pPr>
        <w:spacing w:after="0" w:line="192" w:lineRule="exact"/>
        <w:rPr>
          <w:sz w:val="20"/>
          <w:szCs w:val="20"/>
          <w:color w:val="auto"/>
        </w:rPr>
      </w:pPr>
    </w:p>
    <w:p>
      <w:pPr>
        <w:ind w:right="80" w:firstLine="656"/>
        <w:spacing w:after="0" w:line="259" w:lineRule="auto"/>
        <w:tabs>
          <w:tab w:leader="none" w:pos="102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Stockholder Rights</w:t>
      </w:r>
      <w:r>
        <w:rPr>
          <w:rFonts w:ascii="Times New Roman" w:cs="Times New Roman" w:eastAsia="Times New Roman" w:hAnsi="Times New Roman"/>
          <w:sz w:val="22"/>
          <w:szCs w:val="22"/>
          <w:color w:val="auto"/>
        </w:rPr>
        <w:t>. Unless and until such time as Shares are issued pursuant to this Agreement in settlement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RSUs, Grantee shall have no ownership of the Shares allocated to the RSUs, including, without limitation, no right to dividends (or dividend equivalents) or to vote such Shares.</w:t>
      </w:r>
    </w:p>
    <w:p>
      <w:pPr>
        <w:spacing w:after="0" w:line="179" w:lineRule="exact"/>
        <w:rPr>
          <w:rFonts w:ascii="Times New Roman" w:cs="Times New Roman" w:eastAsia="Times New Roman" w:hAnsi="Times New Roman"/>
          <w:sz w:val="22"/>
          <w:szCs w:val="22"/>
          <w:color w:val="auto"/>
        </w:rPr>
      </w:pPr>
    </w:p>
    <w:p>
      <w:pPr>
        <w:ind w:firstLine="656"/>
        <w:spacing w:after="0" w:line="253" w:lineRule="auto"/>
        <w:tabs>
          <w:tab w:leader="none" w:pos="102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Directorship</w:t>
      </w:r>
      <w:r>
        <w:rPr>
          <w:rFonts w:ascii="Times New Roman" w:cs="Times New Roman" w:eastAsia="Times New Roman" w:hAnsi="Times New Roman"/>
          <w:sz w:val="22"/>
          <w:szCs w:val="22"/>
          <w:color w:val="auto"/>
        </w:rPr>
        <w:t>. Except as otherwise provided in the Plan or the Grant Notice, if Grantee’s Continuous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Status terminates at any time for any reason, all RSUs for which vesting is no longer possible under the terms of the Grant Notice and this Agreement shall be forfeited to the Company on the date of such termination of Continuous Service Status, and all rights of Grantee to such RSUs shall immediately terminate at such time.</w:t>
      </w:r>
    </w:p>
    <w:p>
      <w:pPr>
        <w:spacing w:after="0" w:line="175" w:lineRule="exact"/>
        <w:rPr>
          <w:rFonts w:ascii="Times New Roman" w:cs="Times New Roman" w:eastAsia="Times New Roman" w:hAnsi="Times New Roman"/>
          <w:sz w:val="22"/>
          <w:szCs w:val="22"/>
          <w:color w:val="auto"/>
        </w:rPr>
      </w:pPr>
    </w:p>
    <w:p>
      <w:pPr>
        <w:ind w:right="20" w:firstLine="656"/>
        <w:spacing w:after="0" w:line="258" w:lineRule="auto"/>
        <w:tabs>
          <w:tab w:leader="none" w:pos="102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(but in no event later than two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one-half (2 ½) months after the end of the year in which the vesting date occurs), the Company shall issue to Grantee the number of Shares equal to the aggregate number of RSUs that have vested pursuant to Grant Notice on such date and Grantee shall thereafter have all the rights of a stockholder of the Company with respect to such shares.</w:t>
      </w:r>
    </w:p>
    <w:p>
      <w:pPr>
        <w:spacing w:after="0" w:line="167" w:lineRule="exact"/>
        <w:rPr>
          <w:rFonts w:ascii="Times New Roman" w:cs="Times New Roman" w:eastAsia="Times New Roman" w:hAnsi="Times New Roman"/>
          <w:sz w:val="22"/>
          <w:szCs w:val="22"/>
          <w:color w:val="auto"/>
        </w:rPr>
      </w:pPr>
    </w:p>
    <w:p>
      <w:pPr>
        <w:ind w:right="60" w:firstLine="656"/>
        <w:spacing w:after="0" w:line="283" w:lineRule="auto"/>
        <w:tabs>
          <w:tab w:leader="none" w:pos="102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all the terms and conditions of the Plan, including the powers of the Administrator set forth in Section 4 of the Plan. Capitalized terms in this Agreement shall have the meaning specified in the Plan, unless a different meaning is specified herein.</w:t>
      </w:r>
    </w:p>
    <w:p>
      <w:pPr>
        <w:spacing w:after="0" w:line="144"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Responsibility for Taxes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right="100" w:firstLine="1304"/>
        <w:spacing w:after="0" w:line="275" w:lineRule="auto"/>
        <w:tabs>
          <w:tab w:leader="none" w:pos="1746"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the grant, vesting, and settlement of the RSUs, Grantee acknowledges that, regardless of any action taken by the Company, the ultimate liability for all income tax, social security contributions, social insurance, payroll tax, fringe benefits tax, payment on account or other tax-related items (or any equivalent or similar taxes, contributions</w:t>
      </w:r>
    </w:p>
    <w:p>
      <w:pPr>
        <w:sectPr>
          <w:pgSz w:w="11900" w:h="16838" w:orient="portrait"/>
          <w:cols w:equalWidth="0" w:num="1">
            <w:col w:w="11180"/>
          </w:cols>
          <w:pgMar w:left="320" w:top="1440" w:right="399" w:bottom="1440" w:gutter="0" w:footer="0" w:header="0"/>
        </w:sectPr>
      </w:pPr>
    </w:p>
    <w:bookmarkStart w:id="272" w:name="page273"/>
    <w:bookmarkEnd w:id="272"/>
    <w:p>
      <w:pPr>
        <w:spacing w:after="0" w:line="19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or other relevant tax-related items in any relevant jurisdiction) or required deductions, withholdings or payments legally applicable to Grantee and related to the receipt, vesting or settlement of the RSUs, the issuance or subsequent sale of the Shares allocated to the RSUs, or the participation in the Plan (“</w:t>
      </w:r>
      <w:r>
        <w:rPr>
          <w:rFonts w:ascii="Times New Roman" w:cs="Times New Roman" w:eastAsia="Times New Roman" w:hAnsi="Times New Roman"/>
          <w:sz w:val="22"/>
          <w:szCs w:val="22"/>
          <w:b w:val="1"/>
          <w:bCs w:val="1"/>
          <w:color w:val="auto"/>
        </w:rPr>
        <w:t>Tax-Related Items</w:t>
      </w:r>
      <w:r>
        <w:rPr>
          <w:rFonts w:ascii="Times New Roman" w:cs="Times New Roman" w:eastAsia="Times New Roman" w:hAnsi="Times New Roman"/>
          <w:sz w:val="22"/>
          <w:szCs w:val="22"/>
          <w:color w:val="auto"/>
        </w:rPr>
        <w:t>”) is and remains Grantee’s responsibility.</w:t>
      </w:r>
    </w:p>
    <w:p>
      <w:pPr>
        <w:spacing w:after="0" w:line="186"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2"/>
          <w:szCs w:val="22"/>
          <w:color w:val="auto"/>
        </w:rPr>
        <w:t>Grantee further acknowledges and agrees that Grantee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 w:cs="Times New Roman" w:eastAsia="Times New Roman" w:hAnsi="Times New Roman"/>
          <w:sz w:val="22"/>
          <w:szCs w:val="22"/>
          <w:b w:val="1"/>
          <w:bCs w:val="1"/>
          <w:color w:val="auto"/>
        </w:rPr>
        <w:t>Company Group</w:t>
      </w:r>
      <w:r>
        <w:rPr>
          <w:rFonts w:ascii="Times New Roman" w:cs="Times New Roman" w:eastAsia="Times New Roman" w:hAnsi="Times New Roman"/>
          <w:sz w:val="22"/>
          <w:szCs w:val="22"/>
          <w:color w:val="auto"/>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181" w:lineRule="exact"/>
        <w:rPr>
          <w:sz w:val="20"/>
          <w:szCs w:val="20"/>
          <w:color w:val="auto"/>
        </w:rPr>
      </w:pPr>
    </w:p>
    <w:p>
      <w:pPr>
        <w:ind w:right="40" w:firstLine="1304"/>
        <w:spacing w:after="0" w:line="249" w:lineRule="auto"/>
        <w:tabs>
          <w:tab w:leader="none" w:pos="1758"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acknowledges that the Company: (i) makes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does not commit to and is under no obligation to structure the terms of the grant or any aspect of the RSUs to reduce or eliminate Grantee’s liability for Tax-Related Items or achieve any particular tax result. Grantee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Grantee under Applicable Laws.</w:t>
      </w:r>
    </w:p>
    <w:p>
      <w:pPr>
        <w:spacing w:after="0" w:line="181" w:lineRule="exact"/>
        <w:rPr>
          <w:rFonts w:ascii="Times New Roman" w:cs="Times New Roman" w:eastAsia="Times New Roman" w:hAnsi="Times New Roman"/>
          <w:sz w:val="22"/>
          <w:szCs w:val="22"/>
          <w:color w:val="auto"/>
        </w:rPr>
      </w:pPr>
    </w:p>
    <w:p>
      <w:pPr>
        <w:ind w:right="100" w:firstLine="1304"/>
        <w:spacing w:after="0" w:line="253" w:lineRule="auto"/>
        <w:tabs>
          <w:tab w:leader="none" w:pos="1746"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that Grantee may suffer adverse tax consequences as a result of Grantee’s receipt, the vesting and/or settlement of the RSUs, the issuance of Shares allocated to the RSUs and/or the disposition of such Shares. Grantee represents that Grantee has consulted any tax consultants Grantee deems advisable in connection with the receipt of the RSUs, the vesting and/or settlement of the RSUs, the issuance of Shares allocated to the RSUs and/or the disposition of such Shares and that Grantee is not relying on the Company for any tax advice.</w:t>
      </w:r>
    </w:p>
    <w:p>
      <w:pPr>
        <w:spacing w:after="0" w:line="174" w:lineRule="exact"/>
        <w:rPr>
          <w:rFonts w:ascii="Times New Roman" w:cs="Times New Roman" w:eastAsia="Times New Roman" w:hAnsi="Times New Roman"/>
          <w:sz w:val="22"/>
          <w:szCs w:val="22"/>
          <w:color w:val="auto"/>
        </w:rPr>
      </w:pPr>
    </w:p>
    <w:p>
      <w:pPr>
        <w:ind w:firstLine="656"/>
        <w:spacing w:after="0" w:line="252" w:lineRule="auto"/>
        <w:tabs>
          <w:tab w:leader="none" w:pos="102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All payments made and benefits provided under this Agreement are intended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requirements of Section 409A of the Code to the maximum extent permitted pursuant to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RSUs, Grantee hereby indemnifies the Company for any liability that arises as a result of Section 409A.</w:t>
      </w:r>
    </w:p>
    <w:p>
      <w:pPr>
        <w:spacing w:after="0" w:line="174" w:lineRule="exact"/>
        <w:rPr>
          <w:rFonts w:ascii="Times New Roman" w:cs="Times New Roman" w:eastAsia="Times New Roman" w:hAnsi="Times New Roman"/>
          <w:sz w:val="22"/>
          <w:szCs w:val="22"/>
          <w:color w:val="auto"/>
        </w:rPr>
      </w:pPr>
    </w:p>
    <w:p>
      <w:pPr>
        <w:jc w:val="both"/>
        <w:ind w:right="60" w:firstLine="656"/>
        <w:spacing w:after="0" w:line="283" w:lineRule="auto"/>
        <w:tabs>
          <w:tab w:leader="none" w:pos="1026"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Obligation to Continue Directorship</w:t>
      </w:r>
      <w:r>
        <w:rPr>
          <w:rFonts w:ascii="Times New Roman" w:cs="Times New Roman" w:eastAsia="Times New Roman" w:hAnsi="Times New Roman"/>
          <w:sz w:val="21"/>
          <w:szCs w:val="21"/>
          <w:color w:val="auto"/>
        </w:rPr>
        <w:t>. Neither the Company nor any Subsidiary is obligated by or as a result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or this Agreement to continue Grantee’s directorship and neither the Plan nor this Agreement shall interfere in any way with the right of the Company or any Subsidiary to terminate Grantee’s directorship, for any reason, with or without cause.</w:t>
      </w:r>
    </w:p>
    <w:p>
      <w:pPr>
        <w:sectPr>
          <w:pgSz w:w="11900" w:h="16838" w:orient="portrait"/>
          <w:cols w:equalWidth="0" w:num="1">
            <w:col w:w="11160"/>
          </w:cols>
          <w:pgMar w:left="320" w:top="1440" w:right="419" w:bottom="1440" w:gutter="0" w:footer="0" w:header="0"/>
        </w:sectPr>
      </w:pPr>
    </w:p>
    <w:bookmarkStart w:id="273" w:name="page274"/>
    <w:bookmarkEnd w:id="273"/>
    <w:p>
      <w:pPr>
        <w:spacing w:after="0" w:line="194" w:lineRule="exact"/>
        <w:rPr>
          <w:sz w:val="20"/>
          <w:szCs w:val="20"/>
          <w:color w:val="auto"/>
        </w:rPr>
      </w:pPr>
    </w:p>
    <w:p>
      <w:pPr>
        <w:ind w:right="80" w:firstLine="656"/>
        <w:spacing w:after="0" w:line="254" w:lineRule="auto"/>
        <w:tabs>
          <w:tab w:leader="none" w:pos="102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any recommendations regarding Grantee’s participation in the Plan, or Grantee’s receipt, vesting or settlement of the RSUs or the Shares allocated thereto or the sale of such Shares. Grantee is hereby advised to consult with his or her own personal tax, legal and financial advisors regarding his or her participation in the Plan and the RSUs before accepting the RSUs or otherwise taking any action related to the RSUs or the Plan.</w:t>
      </w:r>
    </w:p>
    <w:p>
      <w:pPr>
        <w:spacing w:after="0" w:line="17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color w:val="auto"/>
        </w:rPr>
        <w:t>. In accepting the RSUs, Grantee acknowledges, understands and agrees that:</w:t>
      </w:r>
    </w:p>
    <w:p>
      <w:pPr>
        <w:spacing w:after="0" w:line="223" w:lineRule="exact"/>
        <w:rPr>
          <w:rFonts w:ascii="Times New Roman" w:cs="Times New Roman" w:eastAsia="Times New Roman" w:hAnsi="Times New Roman"/>
          <w:sz w:val="22"/>
          <w:szCs w:val="22"/>
          <w:color w:val="auto"/>
        </w:rPr>
      </w:pPr>
    </w:p>
    <w:p>
      <w:pPr>
        <w:ind w:right="880" w:firstLine="1304"/>
        <w:spacing w:after="0" w:line="271" w:lineRule="auto"/>
        <w:tabs>
          <w:tab w:leader="none" w:pos="1746"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is discretionary in nature, and may be amended, suspended or terminated by the Company at any time, to the extent permitted by the Plan;</w:t>
      </w:r>
    </w:p>
    <w:p>
      <w:pPr>
        <w:spacing w:after="0" w:line="171" w:lineRule="exact"/>
        <w:rPr>
          <w:rFonts w:ascii="Times New Roman" w:cs="Times New Roman" w:eastAsia="Times New Roman" w:hAnsi="Times New Roman"/>
          <w:sz w:val="22"/>
          <w:szCs w:val="22"/>
          <w:color w:val="auto"/>
        </w:rPr>
      </w:pPr>
    </w:p>
    <w:p>
      <w:pPr>
        <w:ind w:right="160" w:firstLine="1304"/>
        <w:spacing w:after="0" w:line="257" w:lineRule="auto"/>
        <w:tabs>
          <w:tab w:leader="none" w:pos="175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operated and the grant of the RSUs is granted solely by the Company and only the Company is a party to this Agreement; accordingly, any rights Grantee may have under this Agreement may be raised only against the Company but not any entity in the Company Group;</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right="60" w:firstLine="1304"/>
        <w:spacing w:after="0" w:line="257" w:lineRule="auto"/>
        <w:tabs>
          <w:tab w:leader="none" w:pos="1746"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restricted stock units or other grants, if any, will be at the sole discretion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195"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19" w:lineRule="exact"/>
        <w:rPr>
          <w:rFonts w:ascii="Times New Roman" w:cs="Times New Roman" w:eastAsia="Times New Roman" w:hAnsi="Times New Roman"/>
          <w:sz w:val="22"/>
          <w:szCs w:val="22"/>
          <w:color w:val="auto"/>
        </w:rPr>
      </w:pPr>
    </w:p>
    <w:p>
      <w:pPr>
        <w:ind w:right="240" w:firstLine="1304"/>
        <w:spacing w:after="0" w:line="271" w:lineRule="auto"/>
        <w:tabs>
          <w:tab w:leader="none" w:pos="1722"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allocated to the RSUs, and the income from and value of same, are not intended to replace any compensation;</w:t>
      </w:r>
    </w:p>
    <w:p>
      <w:pPr>
        <w:spacing w:after="0" w:line="171" w:lineRule="exact"/>
        <w:rPr>
          <w:rFonts w:ascii="Times New Roman" w:cs="Times New Roman" w:eastAsia="Times New Roman" w:hAnsi="Times New Roman"/>
          <w:sz w:val="22"/>
          <w:szCs w:val="22"/>
          <w:color w:val="auto"/>
        </w:rPr>
      </w:pPr>
    </w:p>
    <w:p>
      <w:pPr>
        <w:ind w:right="600" w:firstLine="1304"/>
        <w:spacing w:after="0" w:line="271" w:lineRule="auto"/>
        <w:tabs>
          <w:tab w:leader="none" w:pos="1758"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allocated to the RSUs, and the income from and value of same, are not part of normal or expected compensation for any purpose;</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RSUs is unknown, indeterminable, and cannot be predicted with</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certainty;</w:t>
      </w:r>
    </w:p>
    <w:p>
      <w:pPr>
        <w:spacing w:after="0" w:line="195" w:lineRule="exact"/>
        <w:rPr>
          <w:rFonts w:ascii="Times New Roman" w:cs="Times New Roman" w:eastAsia="Times New Roman" w:hAnsi="Times New Roman"/>
          <w:sz w:val="21"/>
          <w:szCs w:val="21"/>
          <w:color w:val="auto"/>
        </w:rPr>
      </w:pPr>
    </w:p>
    <w:p>
      <w:pPr>
        <w:ind w:right="20" w:firstLine="1304"/>
        <w:spacing w:after="0" w:line="284" w:lineRule="auto"/>
        <w:tabs>
          <w:tab w:leader="none" w:pos="171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RSUs resulting from the cessation of Grantee’s Continuous Service Status; and</w:t>
      </w:r>
    </w:p>
    <w:p>
      <w:pPr>
        <w:spacing w:after="0" w:line="143" w:lineRule="exact"/>
        <w:rPr>
          <w:rFonts w:ascii="Times New Roman" w:cs="Times New Roman" w:eastAsia="Times New Roman" w:hAnsi="Times New Roman"/>
          <w:sz w:val="22"/>
          <w:szCs w:val="22"/>
          <w:color w:val="auto"/>
        </w:rPr>
      </w:pPr>
    </w:p>
    <w:p>
      <w:pPr>
        <w:ind w:right="220" w:firstLine="1304"/>
        <w:spacing w:after="0" w:line="252" w:lineRule="auto"/>
        <w:tabs>
          <w:tab w:leader="none" w:pos="171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94" w:lineRule="exact"/>
        <w:rPr>
          <w:sz w:val="20"/>
          <w:szCs w:val="20"/>
          <w:color w:val="auto"/>
        </w:rPr>
      </w:pPr>
    </w:p>
    <w:p>
      <w:pPr>
        <w:ind w:firstLine="656"/>
        <w:spacing w:after="0" w:line="259" w:lineRule="auto"/>
        <w:tabs>
          <w:tab w:leader="none" w:pos="113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demand or request required or permitted to be given under this Agreement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sufficient when delivered personally or by overnight courier or sent by email or fax, or forty-eight (48) hours after being deposited in the</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U.S. mail or a comparable foreign mail service, as certified or registered mail 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the Company</w:t>
      </w:r>
      <w:r>
        <w:rPr>
          <w:rFonts w:ascii="Times New Roman" w:cs="Times New Roman" w:eastAsia="Times New Roman" w:hAnsi="Times New Roman"/>
          <w:sz w:val="22"/>
          <w:szCs w:val="22"/>
          <w:color w:val="auto"/>
        </w:rPr>
        <w:t>, to:</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650 California Street</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Floor 12</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Attn: Chief People Officer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equity@affirm.com</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If to Grantee</w:t>
      </w:r>
      <w:r>
        <w:rPr>
          <w:rFonts w:ascii="Times New Roman" w:cs="Times New Roman" w:eastAsia="Times New Roman" w:hAnsi="Times New Roman"/>
          <w:sz w:val="22"/>
          <w:szCs w:val="22"/>
          <w:color w:val="auto"/>
        </w:rPr>
        <w:t>, to: Grantee’s last residence or email address shown on the records of the Company or its affiliates.</w:t>
      </w:r>
    </w:p>
    <w:p>
      <w:pPr>
        <w:spacing w:after="0" w:line="220" w:lineRule="exact"/>
        <w:rPr>
          <w:sz w:val="20"/>
          <w:szCs w:val="20"/>
          <w:color w:val="auto"/>
        </w:rPr>
      </w:pPr>
    </w:p>
    <w:p>
      <w:pPr>
        <w:ind w:left="1140" w:hanging="484"/>
        <w:spacing w:after="0"/>
        <w:tabs>
          <w:tab w:leader="none" w:pos="11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Protection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right="80" w:firstLine="1304"/>
        <w:spacing w:after="0" w:line="265" w:lineRule="auto"/>
        <w:tabs>
          <w:tab w:leader="none" w:pos="1746"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78" w:lineRule="exact"/>
        <w:rPr>
          <w:rFonts w:ascii="Times New Roman" w:cs="Times New Roman" w:eastAsia="Times New Roman" w:hAnsi="Times New Roman"/>
          <w:sz w:val="21"/>
          <w:szCs w:val="21"/>
          <w:color w:val="auto"/>
        </w:rPr>
      </w:pPr>
    </w:p>
    <w:p>
      <w:pPr>
        <w:ind w:right="60" w:firstLine="1304"/>
        <w:spacing w:after="0" w:line="252" w:lineRule="auto"/>
        <w:tabs>
          <w:tab w:leader="none" w:pos="175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75"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1304"/>
        <w:spacing w:after="0" w:line="259" w:lineRule="auto"/>
        <w:tabs>
          <w:tab w:leader="none" w:pos="1746"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all acts and transactions pursuant hereto and the rights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hereto shall be governed, construed and interpreted in accordance with the laws of the State of Nevada, without giving effect to principles of conflicts of law.</w:t>
      </w:r>
    </w:p>
    <w:p>
      <w:pPr>
        <w:spacing w:after="0" w:line="166" w:lineRule="exact"/>
        <w:rPr>
          <w:rFonts w:ascii="Times New Roman" w:cs="Times New Roman" w:eastAsia="Times New Roman" w:hAnsi="Times New Roman"/>
          <w:sz w:val="22"/>
          <w:szCs w:val="22"/>
          <w:color w:val="auto"/>
        </w:rPr>
      </w:pPr>
    </w:p>
    <w:p>
      <w:pPr>
        <w:ind w:right="60" w:firstLine="1304"/>
        <w:spacing w:after="0" w:line="254" w:lineRule="auto"/>
        <w:tabs>
          <w:tab w:leader="none" w:pos="175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Jurisdiction and Venue</w:t>
      </w:r>
      <w:r>
        <w:rPr>
          <w:rFonts w:ascii="Times New Roman" w:cs="Times New Roman" w:eastAsia="Times New Roman" w:hAnsi="Times New Roman"/>
          <w:sz w:val="22"/>
          <w:szCs w:val="22"/>
          <w:color w:val="auto"/>
        </w:rPr>
        <w:t>. THE PARTIES CONSENT TO PERSONAL JURISDICTION IN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NEVADA. THE PARTIES AGREE THAT ANY ACTION OR PROCEEDING ARISING FROM OR RELATED TO THIS AGREEMENT SHALL BE BROUGHT AND TRIED EXCLUSIVELY IN THE STATE OR FEDERAL COURTS LOCATED IN THE STATE OF NEVADA. THE PARTIES IRREVOCABLY AND UNCONDITIONALLY WAIVE ANY OBJECTION TO THE LAYING OF VENUE OF ANY</w:t>
      </w:r>
    </w:p>
    <w:p>
      <w:pPr>
        <w:sectPr>
          <w:pgSz w:w="11900" w:h="16838" w:orient="portrait"/>
          <w:cols w:equalWidth="0" w:num="1">
            <w:col w:w="11200"/>
          </w:cols>
          <w:pgMar w:left="320" w:top="1440" w:right="379" w:bottom="1440" w:gutter="0" w:footer="0" w:header="0"/>
        </w:sectPr>
      </w:pPr>
    </w:p>
    <w:bookmarkStart w:id="275" w:name="page276"/>
    <w:bookmarkEnd w:id="275"/>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SUCH ACTION OR PROCEEDING BROUGHT IN ANY SUCH COURT. THE PARTIES EXPRESSLY ACKNOWLEDGE THAT THE STATE OF NEVADA IS A FAIR, JUST AND REASONABLE FORUM AND AGREE NOT TO SEEK REMOVAL OR 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79" w:lineRule="exact"/>
        <w:rPr>
          <w:sz w:val="20"/>
          <w:szCs w:val="20"/>
          <w:color w:val="auto"/>
        </w:rPr>
      </w:pPr>
    </w:p>
    <w:p>
      <w:pPr>
        <w:ind w:right="100" w:firstLine="1304"/>
        <w:spacing w:after="0" w:line="249" w:lineRule="auto"/>
        <w:tabs>
          <w:tab w:leader="none" w:pos="174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Enforcement of Rights; Amendment</w:t>
      </w:r>
      <w:r>
        <w:rPr>
          <w:rFonts w:ascii="Times New Roman" w:cs="Times New Roman" w:eastAsia="Times New Roman" w:hAnsi="Times New Roman"/>
          <w:sz w:val="22"/>
          <w:szCs w:val="22"/>
          <w:color w:val="auto"/>
        </w:rPr>
        <w:t>. This Agreement, together with the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Notice, sets 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RSUs.</w:t>
      </w:r>
    </w:p>
    <w:p>
      <w:pPr>
        <w:spacing w:after="0" w:line="183" w:lineRule="exact"/>
        <w:rPr>
          <w:rFonts w:ascii="Times New Roman" w:cs="Times New Roman" w:eastAsia="Times New Roman" w:hAnsi="Times New Roman"/>
          <w:sz w:val="22"/>
          <w:szCs w:val="22"/>
          <w:color w:val="auto"/>
        </w:rPr>
      </w:pPr>
    </w:p>
    <w:p>
      <w:pPr>
        <w:ind w:right="40" w:firstLine="1304"/>
        <w:spacing w:after="0" w:line="252" w:lineRule="auto"/>
        <w:tabs>
          <w:tab w:leader="none" w:pos="175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one or more provisions of this Agreement, the Grant Notice or the Plan are held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 the balance of this Agreement, the Grant Notice and the Plan shall be enforceable in accordance with its terms.</w:t>
      </w:r>
    </w:p>
    <w:p>
      <w:pPr>
        <w:spacing w:after="0" w:line="174" w:lineRule="exact"/>
        <w:rPr>
          <w:rFonts w:ascii="Times New Roman" w:cs="Times New Roman" w:eastAsia="Times New Roman" w:hAnsi="Times New Roman"/>
          <w:sz w:val="22"/>
          <w:szCs w:val="22"/>
          <w:color w:val="auto"/>
        </w:rPr>
      </w:pPr>
    </w:p>
    <w:p>
      <w:pPr>
        <w:ind w:right="280" w:firstLine="1304"/>
        <w:spacing w:after="0" w:line="259" w:lineRule="auto"/>
        <w:tabs>
          <w:tab w:leader="none" w:pos="174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This Agreement is the result of negotiations between and has been reviewed by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and their respective counsel, if any; accordingly, this Agreement shall be deemed to be the product of all of the parties hereto, and no ambiguity shall be construed in favor of or against any one of the parties hereto.</w:t>
      </w:r>
    </w:p>
    <w:p>
      <w:pPr>
        <w:spacing w:after="0" w:line="166" w:lineRule="exact"/>
        <w:rPr>
          <w:rFonts w:ascii="Times New Roman" w:cs="Times New Roman" w:eastAsia="Times New Roman" w:hAnsi="Times New Roman"/>
          <w:sz w:val="22"/>
          <w:szCs w:val="22"/>
          <w:color w:val="auto"/>
        </w:rPr>
      </w:pPr>
    </w:p>
    <w:p>
      <w:pPr>
        <w:ind w:firstLine="1304"/>
        <w:spacing w:after="0" w:line="254" w:lineRule="auto"/>
        <w:tabs>
          <w:tab w:leader="none" w:pos="1722"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w:t>
      </w:r>
      <w:r>
        <w:rPr>
          <w:rFonts w:ascii="Times New Roman" w:cs="Times New Roman" w:eastAsia="Times New Roman" w:hAnsi="Times New Roman"/>
          <w:sz w:val="22"/>
          <w:szCs w:val="22"/>
          <w:color w:val="auto"/>
        </w:rPr>
        <w:t>. This Agreement may be executed in two or more counterparts,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ectPr>
          <w:pgSz w:w="11900" w:h="16838" w:orient="portrait"/>
          <w:cols w:equalWidth="0" w:num="1">
            <w:col w:w="11220"/>
          </w:cols>
          <w:pgMar w:left="320" w:top="1440" w:right="359" w:bottom="1440" w:gutter="0" w:footer="0" w:header="0"/>
        </w:sectPr>
      </w:pPr>
    </w:p>
    <w:bookmarkStart w:id="276" w:name="page277"/>
    <w:bookmarkEnd w:id="276"/>
    <w:p>
      <w:pPr>
        <w:spacing w:after="0" w:line="194" w:lineRule="exact"/>
        <w:rPr>
          <w:sz w:val="20"/>
          <w:szCs w:val="20"/>
          <w:color w:val="auto"/>
        </w:rPr>
      </w:pPr>
    </w:p>
    <w:p>
      <w:pPr>
        <w:ind w:left="-656" w:right="180" w:firstLine="1304"/>
        <w:spacing w:after="0" w:line="259" w:lineRule="auto"/>
        <w:tabs>
          <w:tab w:leader="none" w:pos="1102"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rights and benefits of this Agreement shall inure to the benefit of,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by the Company’s successors and assigns. The rights and obligations of Grantee under this Agreement may only be assigned with the prior written consent of the Company.</w:t>
      </w:r>
    </w:p>
    <w:p>
      <w:pPr>
        <w:spacing w:after="0" w:line="179" w:lineRule="exact"/>
        <w:rPr>
          <w:rFonts w:ascii="Times New Roman" w:cs="Times New Roman" w:eastAsia="Times New Roman" w:hAnsi="Times New Roman"/>
          <w:sz w:val="22"/>
          <w:szCs w:val="22"/>
          <w:color w:val="auto"/>
        </w:rPr>
      </w:pPr>
    </w:p>
    <w:p>
      <w:pPr>
        <w:ind w:left="-656" w:right="220" w:firstLine="1304"/>
        <w:spacing w:after="0" w:line="252" w:lineRule="auto"/>
        <w:tabs>
          <w:tab w:leader="none" w:pos="1102"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Limitations Applicable to Section 16 Persons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the Plan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Grantee is subject to Section 16 of the Exchange Act, the Plan,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74" w:lineRule="exact"/>
        <w:rPr>
          <w:rFonts w:ascii="Times New Roman" w:cs="Times New Roman" w:eastAsia="Times New Roman" w:hAnsi="Times New Roman"/>
          <w:sz w:val="22"/>
          <w:szCs w:val="22"/>
          <w:color w:val="auto"/>
        </w:rPr>
      </w:pPr>
    </w:p>
    <w:p>
      <w:pPr>
        <w:ind w:left="-656" w:firstLine="1304"/>
        <w:spacing w:after="0" w:line="249" w:lineRule="auto"/>
        <w:tabs>
          <w:tab w:leader="none" w:pos="1054"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participation in the Plan, on the RSUs and on any Shares allocated to the RSUs, to the extent the Company determines it is necessary or advisable for legal or administrative reasons, and to require Grantee to sign any additional agreements or undertakings that may be necessary to accomplish the foregoing. Grantee also acknowledges that the Applicable Laws of the country in which Grantee is residing or working at the time of grant, vesting and settlement of the RSUs or the sale of Shares received pursuant to the RSUs (including any rules or regulations governing securities, foreign exchange, tax, labor, or other matters) may subject Grantee to additional procedural or regulatory requirements that Grantee is and will be solely responsible for and must fulfill.</w:t>
      </w:r>
    </w:p>
    <w:p>
      <w:pPr>
        <w:spacing w:after="0" w:line="181" w:lineRule="exact"/>
        <w:rPr>
          <w:rFonts w:ascii="Times New Roman" w:cs="Times New Roman" w:eastAsia="Times New Roman" w:hAnsi="Times New Roman"/>
          <w:sz w:val="22"/>
          <w:szCs w:val="22"/>
          <w:color w:val="auto"/>
        </w:rPr>
      </w:pPr>
    </w:p>
    <w:p>
      <w:pPr>
        <w:ind w:left="-656" w:right="260" w:firstLine="1304"/>
        <w:spacing w:after="0" w:line="250" w:lineRule="auto"/>
        <w:tabs>
          <w:tab w:leader="none" w:pos="1054"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The Company may, in its sole discretion, decide to deliver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by email or any other electronic means any documents, elections or notices related to this Agreement, the RSUs, the Shares allocated to the RSUs,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79" w:lineRule="exact"/>
        <w:rPr>
          <w:rFonts w:ascii="Times New Roman" w:cs="Times New Roman" w:eastAsia="Times New Roman" w:hAnsi="Times New Roman"/>
          <w:sz w:val="22"/>
          <w:szCs w:val="22"/>
          <w:color w:val="auto"/>
        </w:rPr>
      </w:pPr>
    </w:p>
    <w:p>
      <w:pPr>
        <w:ind w:left="-656" w:right="60" w:firstLine="656"/>
        <w:spacing w:after="0" w:line="248" w:lineRule="auto"/>
        <w:tabs>
          <w:tab w:leader="none" w:pos="47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Insider Trading/Market Abuse</w:t>
      </w:r>
      <w:r>
        <w:rPr>
          <w:rFonts w:ascii="Times New Roman" w:cs="Times New Roman" w:eastAsia="Times New Roman" w:hAnsi="Times New Roman"/>
          <w:sz w:val="22"/>
          <w:szCs w:val="22"/>
          <w:color w:val="auto"/>
        </w:rPr>
        <w:t>. By accepting the RSUs, Grantee acknowledges that Grantee is bound by all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the Company’s insider trading policy as may be in effect from time to time. Grantee further acknowledges that, depending on Grantee or his or her broker’s country or the country in which the Shares are listed, he or she may be subject to insider trading restrictions and/or market abuse laws which may affect Grantee’s ability to accept, acquire, sell or otherwise dispose of the Shares, rights to the Shares (e.g., RSUs) or rights linked to the value of the Shares during such times as Grantee is considered to have “inside information” regarding the Company (as defined by the laws in the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and (ii) “tipping” third</w:t>
      </w:r>
    </w:p>
    <w:p>
      <w:pPr>
        <w:sectPr>
          <w:pgSz w:w="11900" w:h="16838" w:orient="portrait"/>
          <w:cols w:equalWidth="0" w:num="1">
            <w:col w:w="10584"/>
          </w:cols>
          <w:pgMar w:left="976" w:top="1440" w:right="339" w:bottom="1440" w:gutter="0" w:footer="0" w:header="0"/>
        </w:sectPr>
      </w:pPr>
    </w:p>
    <w:bookmarkStart w:id="277" w:name="page278"/>
    <w:bookmarkEnd w:id="277"/>
    <w:p>
      <w:pPr>
        <w:spacing w:after="0" w:line="1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parties or causing them otherwise to buy or sell securities. Any restrictions under these laws or regulations are separate from and in addition to any restrictions that may be imposed under the Company’s insider trading policy as may be in effect from time to time. Grantee acknowledges that it is Grantee’s responsibility to comply with any applicable restrictions, and Grantee should speak to his or her personal advisor on this matter.</w:t>
      </w:r>
    </w:p>
    <w:p>
      <w:pPr>
        <w:spacing w:after="0" w:line="172" w:lineRule="exact"/>
        <w:rPr>
          <w:sz w:val="20"/>
          <w:szCs w:val="20"/>
          <w:color w:val="auto"/>
        </w:rPr>
      </w:pPr>
    </w:p>
    <w:p>
      <w:pPr>
        <w:ind w:right="120" w:firstLine="656"/>
        <w:spacing w:after="0" w:line="254" w:lineRule="auto"/>
        <w:tabs>
          <w:tab w:leader="none" w:pos="113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 of Agreement</w:t>
      </w:r>
      <w:r>
        <w:rPr>
          <w:rFonts w:ascii="Times New Roman" w:cs="Times New Roman" w:eastAsia="Times New Roman" w:hAnsi="Times New Roman"/>
          <w:sz w:val="22"/>
          <w:szCs w:val="22"/>
          <w:color w:val="auto"/>
        </w:rPr>
        <w:t>. Grantee acknowledges receipt of a copy of the Plan and represents that he or she is familiar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terms and provisions thereof and has had an opportunity to consult counsel regarding the terms of this Agreement, and hereby accepts this award of RSUs and agrees to be bound by its contractual terms as set forth herein and in the Plan. Grantee hereby agrees to accept as binding, conclusive and final all decisions and interpretations of the Plan Administrator regarding any questions relating to the RSUs.</w:t>
      </w:r>
    </w:p>
    <w:p>
      <w:pPr>
        <w:spacing w:after="0" w:line="17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0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 Recoupment</w:t>
      </w:r>
      <w:r>
        <w:rPr>
          <w:rFonts w:ascii="Times New Roman" w:cs="Times New Roman" w:eastAsia="Times New Roman" w:hAnsi="Times New Roman"/>
          <w:sz w:val="22"/>
          <w:szCs w:val="22"/>
          <w:color w:val="auto"/>
        </w:rPr>
        <w:t>. By accepting the RSUs and pursuant to Section 19 of the Plan, Grantee acknowledges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agrees that the Company will be entitled, to the extent permitted or required by Applicable Law, Company policy and/or the requirements of a Stock Exchange on which the Shares are listed for trading, in each case, as in effect from time to time, to recoup compensation of whatever kind paid by the Company at any time to Grantee under the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00" w:lineRule="exact"/>
        <w:rPr>
          <w:sz w:val="20"/>
          <w:szCs w:val="20"/>
          <w:color w:val="auto"/>
        </w:rPr>
      </w:pPr>
    </w:p>
    <w:p>
      <w:pPr>
        <w:spacing w:after="0" w:line="24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-13970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-13970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NONQUALIFIED DEFERRED COMPENSATION PLAN</w:t>
      </w:r>
    </w:p>
    <w:p>
      <w:pPr>
        <w:sectPr>
          <w:pgSz w:w="11900" w:h="16838" w:orient="portrait"/>
          <w:cols w:equalWidth="0" w:num="1">
            <w:col w:w="10120"/>
          </w:cols>
          <w:pgMar w:left="1440" w:top="108" w:right="339" w:bottom="1440" w:gutter="0" w:footer="0" w:header="0"/>
        </w:sectPr>
      </w:pPr>
    </w:p>
    <w:bookmarkStart w:id="280" w:name="page281"/>
    <w:bookmarkEnd w:id="280"/>
    <w:p>
      <w:pPr>
        <w:jc w:val="center"/>
        <w:ind w:right="-1120"/>
        <w:spacing w:after="0"/>
        <w:rPr>
          <w:sz w:val="20"/>
          <w:szCs w:val="20"/>
          <w:color w:val="auto"/>
        </w:rPr>
      </w:pPr>
      <w:r>
        <w:rPr>
          <w:rFonts w:ascii="Arial" w:cs="Arial" w:eastAsia="Arial" w:hAnsi="Arial"/>
          <w:sz w:val="22"/>
          <w:szCs w:val="22"/>
          <w:b w:val="1"/>
          <w:bCs w:val="1"/>
          <w:color w:val="auto"/>
        </w:rPr>
        <w:t>Affirm Holdings, Inc.</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Nonqualified Deferred Compensation Plan</w:t>
      </w:r>
    </w:p>
    <w:p>
      <w:pPr>
        <w:spacing w:after="0" w:line="23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spacing w:after="0"/>
              <w:rPr>
                <w:sz w:val="20"/>
                <w:szCs w:val="20"/>
                <w:color w:val="auto"/>
              </w:rPr>
            </w:pPr>
            <w:r>
              <w:rPr>
                <w:rFonts w:ascii="Arial" w:cs="Arial" w:eastAsia="Arial" w:hAnsi="Arial"/>
                <w:sz w:val="18"/>
                <w:szCs w:val="18"/>
                <w:color w:val="auto"/>
                <w:w w:val="98"/>
              </w:rPr>
              <w:t>Article 1</w:t>
            </w:r>
          </w:p>
        </w:tc>
        <w:tc>
          <w:tcPr>
            <w:tcW w:w="1280" w:type="dxa"/>
            <w:vAlign w:val="bottom"/>
            <w:gridSpan w:val="3"/>
          </w:tcPr>
          <w:p>
            <w:pPr>
              <w:ind w:left="240"/>
              <w:spacing w:after="0"/>
              <w:rPr>
                <w:sz w:val="20"/>
                <w:szCs w:val="20"/>
                <w:color w:val="auto"/>
              </w:rPr>
            </w:pPr>
            <w:r>
              <w:rPr>
                <w:rFonts w:ascii="Arial" w:cs="Arial" w:eastAsia="Arial" w:hAnsi="Arial"/>
                <w:sz w:val="18"/>
                <w:szCs w:val="18"/>
                <w:color w:val="auto"/>
              </w:rPr>
              <w:t>Definitions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1.1</w:t>
            </w:r>
          </w:p>
        </w:tc>
        <w:tc>
          <w:tcPr>
            <w:tcW w:w="720" w:type="dxa"/>
            <w:vAlign w:val="bottom"/>
          </w:tcPr>
          <w:p>
            <w:pPr>
              <w:ind w:left="20"/>
              <w:spacing w:after="0"/>
              <w:rPr>
                <w:sz w:val="20"/>
                <w:szCs w:val="20"/>
                <w:color w:val="auto"/>
              </w:rPr>
            </w:pPr>
            <w:r>
              <w:rPr>
                <w:rFonts w:ascii="Arial" w:cs="Arial" w:eastAsia="Arial" w:hAnsi="Arial"/>
                <w:sz w:val="18"/>
                <w:szCs w:val="18"/>
                <w:color w:val="auto"/>
              </w:rPr>
              <w:t>Account</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1.2</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Administrator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1.3</w:t>
            </w:r>
          </w:p>
        </w:tc>
        <w:tc>
          <w:tcPr>
            <w:tcW w:w="720" w:type="dxa"/>
            <w:vAlign w:val="bottom"/>
          </w:tcPr>
          <w:p>
            <w:pPr>
              <w:ind w:left="20"/>
              <w:spacing w:after="0"/>
              <w:rPr>
                <w:sz w:val="20"/>
                <w:szCs w:val="20"/>
                <w:color w:val="auto"/>
              </w:rPr>
            </w:pPr>
            <w:r>
              <w:rPr>
                <w:rFonts w:ascii="Arial" w:cs="Arial" w:eastAsia="Arial" w:hAnsi="Arial"/>
                <w:sz w:val="18"/>
                <w:szCs w:val="18"/>
                <w:color w:val="auto"/>
              </w:rPr>
              <w:t>Bonus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1.4</w:t>
            </w:r>
          </w:p>
        </w:tc>
        <w:tc>
          <w:tcPr>
            <w:tcW w:w="720" w:type="dxa"/>
            <w:vAlign w:val="bottom"/>
          </w:tcPr>
          <w:p>
            <w:pPr>
              <w:ind w:left="20"/>
              <w:spacing w:after="0"/>
              <w:rPr>
                <w:sz w:val="20"/>
                <w:szCs w:val="20"/>
                <w:color w:val="auto"/>
              </w:rPr>
            </w:pPr>
            <w:r>
              <w:rPr>
                <w:rFonts w:ascii="Arial" w:cs="Arial" w:eastAsia="Arial" w:hAnsi="Arial"/>
                <w:sz w:val="18"/>
                <w:szCs w:val="18"/>
                <w:color w:val="auto"/>
              </w:rPr>
              <w:t>Cause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1.5</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Code  1</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1.6</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Commissions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Committee</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1.8</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Compensation</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Deferrals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1.10</w:t>
            </w:r>
          </w:p>
        </w:tc>
        <w:tc>
          <w:tcPr>
            <w:tcW w:w="1480" w:type="dxa"/>
            <w:vAlign w:val="bottom"/>
            <w:gridSpan w:val="4"/>
          </w:tcPr>
          <w:p>
            <w:pPr>
              <w:ind w:left="120"/>
              <w:spacing w:after="0"/>
              <w:rPr>
                <w:sz w:val="20"/>
                <w:szCs w:val="20"/>
                <w:color w:val="auto"/>
              </w:rPr>
            </w:pPr>
            <w:r>
              <w:rPr>
                <w:rFonts w:ascii="Arial" w:cs="Arial" w:eastAsia="Arial" w:hAnsi="Arial"/>
                <w:sz w:val="18"/>
                <w:szCs w:val="18"/>
                <w:color w:val="auto"/>
              </w:rPr>
              <w:t>Deferral Election</w:t>
            </w:r>
          </w:p>
        </w:tc>
        <w:tc>
          <w:tcPr>
            <w:tcW w:w="1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2</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1.11</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Disability</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1.12</w:t>
            </w:r>
          </w:p>
        </w:tc>
        <w:tc>
          <w:tcPr>
            <w:tcW w:w="1280" w:type="dxa"/>
            <w:vAlign w:val="bottom"/>
            <w:gridSpan w:val="3"/>
          </w:tcPr>
          <w:p>
            <w:pPr>
              <w:ind w:left="120"/>
              <w:spacing w:after="0"/>
              <w:rPr>
                <w:sz w:val="20"/>
                <w:szCs w:val="20"/>
                <w:color w:val="auto"/>
              </w:rPr>
            </w:pPr>
            <w:r>
              <w:rPr>
                <w:rFonts w:ascii="Arial" w:cs="Arial" w:eastAsia="Arial" w:hAnsi="Arial"/>
                <w:sz w:val="18"/>
                <w:szCs w:val="18"/>
                <w:color w:val="auto"/>
              </w:rPr>
              <w:t>Effective Date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1.13</w:t>
            </w:r>
          </w:p>
        </w:tc>
        <w:tc>
          <w:tcPr>
            <w:tcW w:w="1620" w:type="dxa"/>
            <w:vAlign w:val="bottom"/>
            <w:gridSpan w:val="5"/>
          </w:tcPr>
          <w:p>
            <w:pPr>
              <w:ind w:left="120"/>
              <w:spacing w:after="0"/>
              <w:rPr>
                <w:sz w:val="20"/>
                <w:szCs w:val="20"/>
                <w:color w:val="auto"/>
              </w:rPr>
            </w:pPr>
            <w:r>
              <w:rPr>
                <w:rFonts w:ascii="Arial" w:cs="Arial" w:eastAsia="Arial" w:hAnsi="Arial"/>
                <w:sz w:val="18"/>
                <w:szCs w:val="18"/>
                <w:color w:val="auto"/>
              </w:rPr>
              <w:t>Eligible Employee</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1.14</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w w:val="97"/>
              </w:rPr>
              <w:t>Employee</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Employer</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1.16</w:t>
            </w:r>
          </w:p>
        </w:tc>
        <w:tc>
          <w:tcPr>
            <w:tcW w:w="3040" w:type="dxa"/>
            <w:vAlign w:val="bottom"/>
            <w:gridSpan w:val="9"/>
          </w:tcPr>
          <w:p>
            <w:pPr>
              <w:ind w:left="120"/>
              <w:spacing w:after="0"/>
              <w:rPr>
                <w:sz w:val="20"/>
                <w:szCs w:val="20"/>
                <w:color w:val="auto"/>
              </w:rPr>
            </w:pPr>
            <w:r>
              <w:rPr>
                <w:rFonts w:ascii="Arial" w:cs="Arial" w:eastAsia="Arial" w:hAnsi="Arial"/>
                <w:sz w:val="18"/>
                <w:szCs w:val="18"/>
                <w:color w:val="auto"/>
              </w:rPr>
              <w:t>Employer Discretionary Contribution</w:t>
            </w: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2</w:t>
            </w: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1.17</w:t>
            </w:r>
          </w:p>
        </w:tc>
        <w:tc>
          <w:tcPr>
            <w:tcW w:w="720" w:type="dxa"/>
            <w:vAlign w:val="bottom"/>
          </w:tcPr>
          <w:p>
            <w:pPr>
              <w:ind w:left="120"/>
              <w:spacing w:after="0"/>
              <w:rPr>
                <w:sz w:val="20"/>
                <w:szCs w:val="20"/>
                <w:color w:val="auto"/>
              </w:rPr>
            </w:pPr>
            <w:r>
              <w:rPr>
                <w:rFonts w:ascii="Arial" w:cs="Arial" w:eastAsia="Arial" w:hAnsi="Arial"/>
                <w:sz w:val="18"/>
                <w:szCs w:val="18"/>
                <w:color w:val="auto"/>
              </w:rPr>
              <w:t>ERISA</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1.18</w:t>
            </w:r>
          </w:p>
        </w:tc>
        <w:tc>
          <w:tcPr>
            <w:tcW w:w="1480" w:type="dxa"/>
            <w:vAlign w:val="bottom"/>
            <w:gridSpan w:val="4"/>
          </w:tcPr>
          <w:p>
            <w:pPr>
              <w:ind w:left="120"/>
              <w:spacing w:after="0"/>
              <w:rPr>
                <w:sz w:val="20"/>
                <w:szCs w:val="20"/>
                <w:color w:val="auto"/>
              </w:rPr>
            </w:pPr>
            <w:r>
              <w:rPr>
                <w:rFonts w:ascii="Arial" w:cs="Arial" w:eastAsia="Arial" w:hAnsi="Arial"/>
                <w:sz w:val="18"/>
                <w:szCs w:val="18"/>
                <w:color w:val="auto"/>
                <w:w w:val="99"/>
              </w:rPr>
              <w:t>Investment Fund</w:t>
            </w:r>
          </w:p>
        </w:tc>
        <w:tc>
          <w:tcPr>
            <w:tcW w:w="14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1.19</w:t>
            </w:r>
          </w:p>
        </w:tc>
        <w:tc>
          <w:tcPr>
            <w:tcW w:w="1280" w:type="dxa"/>
            <w:vAlign w:val="bottom"/>
            <w:gridSpan w:val="3"/>
          </w:tcPr>
          <w:p>
            <w:pPr>
              <w:ind w:left="120"/>
              <w:spacing w:after="0"/>
              <w:rPr>
                <w:sz w:val="20"/>
                <w:szCs w:val="20"/>
                <w:color w:val="auto"/>
              </w:rPr>
            </w:pPr>
            <w:r>
              <w:rPr>
                <w:rFonts w:ascii="Arial" w:cs="Arial" w:eastAsia="Arial" w:hAnsi="Arial"/>
                <w:sz w:val="18"/>
                <w:szCs w:val="18"/>
                <w:color w:val="auto"/>
              </w:rPr>
              <w:t>Participant  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1.20</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w w:val="98"/>
              </w:rPr>
              <w:t>Plan Year</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1.21</w:t>
            </w:r>
          </w:p>
        </w:tc>
        <w:tc>
          <w:tcPr>
            <w:tcW w:w="720" w:type="dxa"/>
            <w:vAlign w:val="bottom"/>
          </w:tcPr>
          <w:p>
            <w:pPr>
              <w:ind w:left="120"/>
              <w:spacing w:after="0"/>
              <w:rPr>
                <w:sz w:val="20"/>
                <w:szCs w:val="20"/>
                <w:color w:val="auto"/>
              </w:rPr>
            </w:pPr>
            <w:r>
              <w:rPr>
                <w:rFonts w:ascii="Arial" w:cs="Arial" w:eastAsia="Arial" w:hAnsi="Arial"/>
                <w:sz w:val="18"/>
                <w:szCs w:val="18"/>
                <w:color w:val="auto"/>
              </w:rPr>
              <w:t>Salary</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1.22</w:t>
            </w:r>
          </w:p>
        </w:tc>
        <w:tc>
          <w:tcPr>
            <w:tcW w:w="2240" w:type="dxa"/>
            <w:vAlign w:val="bottom"/>
            <w:gridSpan w:val="7"/>
          </w:tcPr>
          <w:p>
            <w:pPr>
              <w:ind w:left="120"/>
              <w:spacing w:after="0"/>
              <w:rPr>
                <w:sz w:val="20"/>
                <w:szCs w:val="20"/>
                <w:color w:val="auto"/>
              </w:rPr>
            </w:pPr>
            <w:r>
              <w:rPr>
                <w:rFonts w:ascii="Arial" w:cs="Arial" w:eastAsia="Arial" w:hAnsi="Arial"/>
                <w:sz w:val="18"/>
                <w:szCs w:val="18"/>
                <w:color w:val="auto"/>
              </w:rPr>
              <w:t>Separation from Service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3</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1.23</w:t>
            </w:r>
          </w:p>
        </w:tc>
        <w:tc>
          <w:tcPr>
            <w:tcW w:w="1620" w:type="dxa"/>
            <w:vAlign w:val="bottom"/>
            <w:gridSpan w:val="5"/>
          </w:tcPr>
          <w:p>
            <w:pPr>
              <w:ind w:left="120"/>
              <w:spacing w:after="0"/>
              <w:rPr>
                <w:sz w:val="20"/>
                <w:szCs w:val="20"/>
                <w:color w:val="auto"/>
              </w:rPr>
            </w:pPr>
            <w:r>
              <w:rPr>
                <w:rFonts w:ascii="Arial" w:cs="Arial" w:eastAsia="Arial" w:hAnsi="Arial"/>
                <w:sz w:val="18"/>
                <w:szCs w:val="18"/>
                <w:color w:val="auto"/>
              </w:rPr>
              <w:t>Service Recipient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1.24</w:t>
            </w: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Specified Employee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1.25</w:t>
            </w:r>
          </w:p>
        </w:tc>
        <w:tc>
          <w:tcPr>
            <w:tcW w:w="720" w:type="dxa"/>
            <w:vAlign w:val="bottom"/>
          </w:tcPr>
          <w:p>
            <w:pPr>
              <w:ind w:left="120"/>
              <w:spacing w:after="0"/>
              <w:rPr>
                <w:sz w:val="20"/>
                <w:szCs w:val="20"/>
                <w:color w:val="auto"/>
              </w:rPr>
            </w:pPr>
            <w:r>
              <w:rPr>
                <w:rFonts w:ascii="Arial" w:cs="Arial" w:eastAsia="Arial" w:hAnsi="Arial"/>
                <w:sz w:val="18"/>
                <w:szCs w:val="18"/>
                <w:color w:val="auto"/>
              </w:rPr>
              <w:t>Trust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1.26</w:t>
            </w:r>
          </w:p>
        </w:tc>
        <w:tc>
          <w:tcPr>
            <w:tcW w:w="720" w:type="dxa"/>
            <w:vAlign w:val="bottom"/>
          </w:tcPr>
          <w:p>
            <w:pPr>
              <w:ind w:left="120"/>
              <w:spacing w:after="0"/>
              <w:rPr>
                <w:sz w:val="20"/>
                <w:szCs w:val="20"/>
                <w:color w:val="auto"/>
              </w:rPr>
            </w:pPr>
            <w:r>
              <w:rPr>
                <w:rFonts w:ascii="Arial" w:cs="Arial" w:eastAsia="Arial" w:hAnsi="Arial"/>
                <w:sz w:val="18"/>
                <w:szCs w:val="18"/>
                <w:color w:val="auto"/>
                <w:w w:val="94"/>
              </w:rPr>
              <w:t>Trustee</w:t>
            </w:r>
          </w:p>
        </w:tc>
        <w:tc>
          <w:tcPr>
            <w:tcW w:w="2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1.27</w:t>
            </w:r>
          </w:p>
        </w:tc>
        <w:tc>
          <w:tcPr>
            <w:tcW w:w="2240" w:type="dxa"/>
            <w:vAlign w:val="bottom"/>
            <w:gridSpan w:val="7"/>
          </w:tcPr>
          <w:p>
            <w:pPr>
              <w:ind w:left="120"/>
              <w:spacing w:after="0"/>
              <w:rPr>
                <w:sz w:val="20"/>
                <w:szCs w:val="20"/>
                <w:color w:val="auto"/>
              </w:rPr>
            </w:pPr>
            <w:r>
              <w:rPr>
                <w:rFonts w:ascii="Arial" w:cs="Arial" w:eastAsia="Arial" w:hAnsi="Arial"/>
                <w:sz w:val="18"/>
                <w:szCs w:val="18"/>
                <w:color w:val="auto"/>
                <w:w w:val="98"/>
              </w:rPr>
              <w:t>Unforeseeable Emergency</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w w:val="98"/>
              </w:rPr>
              <w:t>Article 2</w:t>
            </w:r>
          </w:p>
        </w:tc>
        <w:tc>
          <w:tcPr>
            <w:tcW w:w="1280" w:type="dxa"/>
            <w:vAlign w:val="bottom"/>
            <w:gridSpan w:val="3"/>
          </w:tcPr>
          <w:p>
            <w:pPr>
              <w:ind w:left="240"/>
              <w:spacing w:after="0"/>
              <w:rPr>
                <w:sz w:val="20"/>
                <w:szCs w:val="20"/>
                <w:color w:val="auto"/>
              </w:rPr>
            </w:pPr>
            <w:r>
              <w:rPr>
                <w:rFonts w:ascii="Arial" w:cs="Arial" w:eastAsia="Arial" w:hAnsi="Arial"/>
                <w:sz w:val="18"/>
                <w:szCs w:val="18"/>
                <w:color w:val="auto"/>
              </w:rPr>
              <w:t>Participation</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2.1</w:t>
            </w:r>
          </w:p>
        </w:tc>
        <w:tc>
          <w:tcPr>
            <w:tcW w:w="2700" w:type="dxa"/>
            <w:vAlign w:val="bottom"/>
            <w:gridSpan w:val="8"/>
          </w:tcPr>
          <w:p>
            <w:pPr>
              <w:ind w:left="20"/>
              <w:spacing w:after="0"/>
              <w:rPr>
                <w:sz w:val="20"/>
                <w:szCs w:val="20"/>
                <w:color w:val="auto"/>
              </w:rPr>
            </w:pPr>
            <w:r>
              <w:rPr>
                <w:rFonts w:ascii="Arial" w:cs="Arial" w:eastAsia="Arial" w:hAnsi="Arial"/>
                <w:sz w:val="18"/>
                <w:szCs w:val="18"/>
                <w:color w:val="auto"/>
              </w:rPr>
              <w:t>Commencement of Participation</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2.2</w:t>
            </w:r>
          </w:p>
        </w:tc>
        <w:tc>
          <w:tcPr>
            <w:tcW w:w="2700" w:type="dxa"/>
            <w:vAlign w:val="bottom"/>
            <w:gridSpan w:val="8"/>
          </w:tcPr>
          <w:p>
            <w:pPr>
              <w:ind w:left="20"/>
              <w:spacing w:after="0"/>
              <w:rPr>
                <w:sz w:val="20"/>
                <w:szCs w:val="20"/>
                <w:color w:val="auto"/>
              </w:rPr>
            </w:pPr>
            <w:r>
              <w:rPr>
                <w:rFonts w:ascii="Arial" w:cs="Arial" w:eastAsia="Arial" w:hAnsi="Arial"/>
                <w:sz w:val="18"/>
                <w:szCs w:val="18"/>
                <w:color w:val="auto"/>
              </w:rPr>
              <w:t>Loss of Eligible Employee Status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22"/>
                <w:szCs w:val="22"/>
                <w:color w:val="auto"/>
              </w:rPr>
            </w:pP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w w:val="98"/>
              </w:rPr>
              <w:t>Article 3</w:t>
            </w:r>
          </w:p>
        </w:tc>
        <w:tc>
          <w:tcPr>
            <w:tcW w:w="1480" w:type="dxa"/>
            <w:vAlign w:val="bottom"/>
            <w:gridSpan w:val="4"/>
          </w:tcPr>
          <w:p>
            <w:pPr>
              <w:ind w:left="240"/>
              <w:spacing w:after="0"/>
              <w:rPr>
                <w:sz w:val="20"/>
                <w:szCs w:val="20"/>
                <w:color w:val="auto"/>
              </w:rPr>
            </w:pPr>
            <w:r>
              <w:rPr>
                <w:rFonts w:ascii="Arial" w:cs="Arial" w:eastAsia="Arial" w:hAnsi="Arial"/>
                <w:sz w:val="18"/>
                <w:szCs w:val="18"/>
                <w:color w:val="auto"/>
              </w:rPr>
              <w:t>Contributions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3.1</w:t>
            </w:r>
          </w:p>
        </w:tc>
        <w:tc>
          <w:tcPr>
            <w:tcW w:w="2240" w:type="dxa"/>
            <w:vAlign w:val="bottom"/>
            <w:gridSpan w:val="7"/>
          </w:tcPr>
          <w:p>
            <w:pPr>
              <w:ind w:left="20"/>
              <w:spacing w:after="0"/>
              <w:rPr>
                <w:sz w:val="20"/>
                <w:szCs w:val="20"/>
                <w:color w:val="auto"/>
              </w:rPr>
            </w:pPr>
            <w:r>
              <w:rPr>
                <w:rFonts w:ascii="Arial" w:cs="Arial" w:eastAsia="Arial" w:hAnsi="Arial"/>
                <w:sz w:val="18"/>
                <w:szCs w:val="18"/>
                <w:color w:val="auto"/>
                <w:w w:val="99"/>
              </w:rPr>
              <w:t>Deferral Elections - General</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3.2</w:t>
            </w:r>
          </w:p>
        </w:tc>
        <w:tc>
          <w:tcPr>
            <w:tcW w:w="1480" w:type="dxa"/>
            <w:vAlign w:val="bottom"/>
            <w:gridSpan w:val="4"/>
          </w:tcPr>
          <w:p>
            <w:pPr>
              <w:ind w:left="20"/>
              <w:spacing w:after="0"/>
              <w:rPr>
                <w:sz w:val="20"/>
                <w:szCs w:val="20"/>
                <w:color w:val="auto"/>
              </w:rPr>
            </w:pPr>
            <w:r>
              <w:rPr>
                <w:rFonts w:ascii="Arial" w:cs="Arial" w:eastAsia="Arial" w:hAnsi="Arial"/>
                <w:sz w:val="18"/>
                <w:szCs w:val="18"/>
                <w:color w:val="auto"/>
              </w:rPr>
              <w:t>Time of Election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3.3</w:t>
            </w:r>
          </w:p>
        </w:tc>
        <w:tc>
          <w:tcPr>
            <w:tcW w:w="1880" w:type="dxa"/>
            <w:vAlign w:val="bottom"/>
            <w:gridSpan w:val="6"/>
          </w:tcPr>
          <w:p>
            <w:pPr>
              <w:ind w:left="20"/>
              <w:spacing w:after="0"/>
              <w:rPr>
                <w:sz w:val="20"/>
                <w:szCs w:val="20"/>
                <w:color w:val="auto"/>
              </w:rPr>
            </w:pPr>
            <w:r>
              <w:rPr>
                <w:rFonts w:ascii="Arial" w:cs="Arial" w:eastAsia="Arial" w:hAnsi="Arial"/>
                <w:sz w:val="18"/>
                <w:szCs w:val="18"/>
                <w:color w:val="auto"/>
              </w:rPr>
              <w:t>Distribution Elections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5</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3.4</w:t>
            </w:r>
          </w:p>
        </w:tc>
        <w:tc>
          <w:tcPr>
            <w:tcW w:w="2700" w:type="dxa"/>
            <w:vAlign w:val="bottom"/>
            <w:gridSpan w:val="8"/>
          </w:tcPr>
          <w:p>
            <w:pPr>
              <w:ind w:left="20"/>
              <w:spacing w:after="0"/>
              <w:rPr>
                <w:sz w:val="20"/>
                <w:szCs w:val="20"/>
                <w:color w:val="auto"/>
              </w:rPr>
            </w:pPr>
            <w:r>
              <w:rPr>
                <w:rFonts w:ascii="Arial" w:cs="Arial" w:eastAsia="Arial" w:hAnsi="Arial"/>
                <w:sz w:val="18"/>
                <w:szCs w:val="18"/>
                <w:color w:val="auto"/>
              </w:rPr>
              <w:t>Additional Requirements  5</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3.5</w:t>
            </w:r>
          </w:p>
        </w:tc>
        <w:tc>
          <w:tcPr>
            <w:tcW w:w="4200" w:type="dxa"/>
            <w:vAlign w:val="bottom"/>
            <w:gridSpan w:val="10"/>
          </w:tcPr>
          <w:p>
            <w:pPr>
              <w:ind w:left="20"/>
              <w:spacing w:after="0"/>
              <w:rPr>
                <w:sz w:val="20"/>
                <w:szCs w:val="20"/>
                <w:color w:val="auto"/>
              </w:rPr>
            </w:pPr>
            <w:r>
              <w:rPr>
                <w:rFonts w:ascii="Arial" w:cs="Arial" w:eastAsia="Arial" w:hAnsi="Arial"/>
                <w:sz w:val="18"/>
                <w:szCs w:val="18"/>
                <w:color w:val="auto"/>
              </w:rPr>
              <w:t>Cancellation of Deferral Election due to Disability  5</w:t>
            </w: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3.6</w:t>
            </w:r>
          </w:p>
        </w:tc>
        <w:tc>
          <w:tcPr>
            <w:tcW w:w="3040" w:type="dxa"/>
            <w:vAlign w:val="bottom"/>
            <w:gridSpan w:val="9"/>
          </w:tcPr>
          <w:p>
            <w:pPr>
              <w:ind w:left="20"/>
              <w:spacing w:after="0"/>
              <w:rPr>
                <w:sz w:val="20"/>
                <w:szCs w:val="20"/>
                <w:color w:val="auto"/>
              </w:rPr>
            </w:pPr>
            <w:r>
              <w:rPr>
                <w:rFonts w:ascii="Arial" w:cs="Arial" w:eastAsia="Arial" w:hAnsi="Arial"/>
                <w:sz w:val="18"/>
                <w:szCs w:val="18"/>
                <w:color w:val="auto"/>
              </w:rPr>
              <w:t>Employer Discretionary Contribution</w:t>
            </w:r>
          </w:p>
        </w:tc>
        <w:tc>
          <w:tcPr>
            <w:tcW w:w="1160" w:type="dxa"/>
            <w:vAlign w:val="bottom"/>
          </w:tcPr>
          <w:p>
            <w:pPr>
              <w:jc w:val="right"/>
              <w:ind w:right="910"/>
              <w:spacing w:after="0"/>
              <w:rPr>
                <w:sz w:val="20"/>
                <w:szCs w:val="20"/>
                <w:color w:val="auto"/>
              </w:rPr>
            </w:pPr>
            <w:r>
              <w:rPr>
                <w:rFonts w:ascii="Arial" w:cs="Arial" w:eastAsia="Arial" w:hAnsi="Arial"/>
                <w:sz w:val="18"/>
                <w:szCs w:val="18"/>
                <w:color w:val="auto"/>
              </w:rPr>
              <w:t>5</w:t>
            </w: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3.7</w:t>
            </w:r>
          </w:p>
        </w:tc>
        <w:tc>
          <w:tcPr>
            <w:tcW w:w="2240" w:type="dxa"/>
            <w:vAlign w:val="bottom"/>
            <w:gridSpan w:val="7"/>
          </w:tcPr>
          <w:p>
            <w:pPr>
              <w:ind w:left="20"/>
              <w:spacing w:after="0"/>
              <w:rPr>
                <w:sz w:val="20"/>
                <w:szCs w:val="20"/>
                <w:color w:val="auto"/>
              </w:rPr>
            </w:pPr>
            <w:r>
              <w:rPr>
                <w:rFonts w:ascii="Arial" w:cs="Arial" w:eastAsia="Arial" w:hAnsi="Arial"/>
                <w:sz w:val="18"/>
                <w:szCs w:val="18"/>
                <w:color w:val="auto"/>
              </w:rPr>
              <w:t>Crediting of Contributions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64"/>
        </w:trPr>
        <w:tc>
          <w:tcPr>
            <w:tcW w:w="660" w:type="dxa"/>
            <w:vAlign w:val="bottom"/>
          </w:tcPr>
          <w:p>
            <w:pPr>
              <w:spacing w:after="0"/>
              <w:rPr>
                <w:sz w:val="20"/>
                <w:szCs w:val="20"/>
                <w:color w:val="auto"/>
              </w:rPr>
            </w:pPr>
            <w:r>
              <w:rPr>
                <w:rFonts w:ascii="Arial" w:cs="Arial" w:eastAsia="Arial" w:hAnsi="Arial"/>
                <w:sz w:val="18"/>
                <w:szCs w:val="18"/>
                <w:color w:val="auto"/>
                <w:w w:val="98"/>
              </w:rPr>
              <w:t>Article 4</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Vesting</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139"/>
          </w:cols>
          <w:pgMar w:left="320" w:top="1421" w:right="1440" w:bottom="1440" w:gutter="0" w:footer="0" w:header="0"/>
        </w:sectPr>
      </w:pPr>
    </w:p>
    <w:bookmarkStart w:id="281" w:name="page282"/>
    <w:bookmarkEnd w:id="28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ind w:left="180"/>
              <w:spacing w:after="0"/>
              <w:rPr>
                <w:sz w:val="20"/>
                <w:szCs w:val="20"/>
                <w:color w:val="auto"/>
              </w:rPr>
            </w:pPr>
            <w:r>
              <w:rPr>
                <w:rFonts w:ascii="Arial" w:cs="Arial" w:eastAsia="Arial" w:hAnsi="Arial"/>
                <w:sz w:val="18"/>
                <w:szCs w:val="18"/>
                <w:color w:val="auto"/>
              </w:rPr>
              <w:t>4.1</w:t>
            </w:r>
          </w:p>
        </w:tc>
        <w:tc>
          <w:tcPr>
            <w:tcW w:w="1620" w:type="dxa"/>
            <w:vAlign w:val="bottom"/>
            <w:gridSpan w:val="4"/>
          </w:tcPr>
          <w:p>
            <w:pPr>
              <w:ind w:left="20"/>
              <w:spacing w:after="0"/>
              <w:rPr>
                <w:sz w:val="20"/>
                <w:szCs w:val="20"/>
                <w:color w:val="auto"/>
              </w:rPr>
            </w:pPr>
            <w:r>
              <w:rPr>
                <w:rFonts w:ascii="Arial" w:cs="Arial" w:eastAsia="Arial" w:hAnsi="Arial"/>
                <w:sz w:val="18"/>
                <w:szCs w:val="18"/>
                <w:color w:val="auto"/>
                <w:w w:val="99"/>
              </w:rPr>
              <w:t>Vesting of Deferrals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4.2</w:t>
            </w:r>
          </w:p>
        </w:tc>
        <w:tc>
          <w:tcPr>
            <w:tcW w:w="5220" w:type="dxa"/>
            <w:vAlign w:val="bottom"/>
            <w:gridSpan w:val="10"/>
          </w:tcPr>
          <w:p>
            <w:pPr>
              <w:ind w:left="20"/>
              <w:spacing w:after="0"/>
              <w:rPr>
                <w:sz w:val="20"/>
                <w:szCs w:val="20"/>
                <w:color w:val="auto"/>
              </w:rPr>
            </w:pPr>
            <w:r>
              <w:rPr>
                <w:rFonts w:ascii="Arial" w:cs="Arial" w:eastAsia="Arial" w:hAnsi="Arial"/>
                <w:sz w:val="18"/>
                <w:szCs w:val="18"/>
                <w:color w:val="auto"/>
              </w:rPr>
              <w:t>Vesting of Employer Discretionary Contributions  5</w:t>
            </w: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4.3</w:t>
            </w:r>
          </w:p>
        </w:tc>
        <w:tc>
          <w:tcPr>
            <w:tcW w:w="2000" w:type="dxa"/>
            <w:vAlign w:val="bottom"/>
            <w:gridSpan w:val="5"/>
          </w:tcPr>
          <w:p>
            <w:pPr>
              <w:ind w:left="20"/>
              <w:spacing w:after="0"/>
              <w:rPr>
                <w:sz w:val="20"/>
                <w:szCs w:val="20"/>
                <w:color w:val="auto"/>
              </w:rPr>
            </w:pPr>
            <w:r>
              <w:rPr>
                <w:rFonts w:ascii="Arial" w:cs="Arial" w:eastAsia="Arial" w:hAnsi="Arial"/>
                <w:sz w:val="18"/>
                <w:szCs w:val="18"/>
                <w:color w:val="auto"/>
              </w:rPr>
              <w:t>Amounts Not Vested  6</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Forfeitures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364"/>
        </w:trPr>
        <w:tc>
          <w:tcPr>
            <w:tcW w:w="660" w:type="dxa"/>
            <w:vAlign w:val="bottom"/>
          </w:tcPr>
          <w:p>
            <w:pPr>
              <w:spacing w:after="0"/>
              <w:rPr>
                <w:sz w:val="20"/>
                <w:szCs w:val="20"/>
                <w:color w:val="auto"/>
              </w:rPr>
            </w:pPr>
            <w:r>
              <w:rPr>
                <w:rFonts w:ascii="Arial" w:cs="Arial" w:eastAsia="Arial" w:hAnsi="Arial"/>
                <w:sz w:val="18"/>
                <w:szCs w:val="18"/>
                <w:color w:val="auto"/>
                <w:w w:val="98"/>
              </w:rPr>
              <w:t>Article 5</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Accounts</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5.1</w:t>
            </w:r>
          </w:p>
        </w:tc>
        <w:tc>
          <w:tcPr>
            <w:tcW w:w="800" w:type="dxa"/>
            <w:vAlign w:val="bottom"/>
          </w:tcPr>
          <w:p>
            <w:pPr>
              <w:ind w:left="20"/>
              <w:spacing w:after="0"/>
              <w:rPr>
                <w:sz w:val="20"/>
                <w:szCs w:val="20"/>
                <w:color w:val="auto"/>
              </w:rPr>
            </w:pPr>
            <w:r>
              <w:rPr>
                <w:rFonts w:ascii="Arial" w:cs="Arial" w:eastAsia="Arial" w:hAnsi="Arial"/>
                <w:sz w:val="18"/>
                <w:szCs w:val="18"/>
                <w:color w:val="auto"/>
              </w:rPr>
              <w:t>Accounts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5.2</w:t>
            </w:r>
          </w:p>
        </w:tc>
        <w:tc>
          <w:tcPr>
            <w:tcW w:w="2720" w:type="dxa"/>
            <w:vAlign w:val="bottom"/>
            <w:gridSpan w:val="7"/>
          </w:tcPr>
          <w:p>
            <w:pPr>
              <w:ind w:left="20"/>
              <w:spacing w:after="0"/>
              <w:rPr>
                <w:sz w:val="20"/>
                <w:szCs w:val="20"/>
                <w:color w:val="auto"/>
              </w:rPr>
            </w:pPr>
            <w:r>
              <w:rPr>
                <w:rFonts w:ascii="Arial" w:cs="Arial" w:eastAsia="Arial" w:hAnsi="Arial"/>
                <w:sz w:val="18"/>
                <w:szCs w:val="18"/>
                <w:color w:val="auto"/>
              </w:rPr>
              <w:t>Investments, Gains and Losses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64"/>
        </w:trPr>
        <w:tc>
          <w:tcPr>
            <w:tcW w:w="660" w:type="dxa"/>
            <w:vAlign w:val="bottom"/>
          </w:tcPr>
          <w:p>
            <w:pPr>
              <w:spacing w:after="0"/>
              <w:rPr>
                <w:sz w:val="20"/>
                <w:szCs w:val="20"/>
                <w:color w:val="auto"/>
              </w:rPr>
            </w:pPr>
            <w:r>
              <w:rPr>
                <w:rFonts w:ascii="Arial" w:cs="Arial" w:eastAsia="Arial" w:hAnsi="Arial"/>
                <w:sz w:val="18"/>
                <w:szCs w:val="18"/>
                <w:color w:val="auto"/>
                <w:w w:val="98"/>
              </w:rPr>
              <w:t>Article 6</w:t>
            </w: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Distributions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6.1</w:t>
            </w:r>
          </w:p>
        </w:tc>
        <w:tc>
          <w:tcPr>
            <w:tcW w:w="1620" w:type="dxa"/>
            <w:vAlign w:val="bottom"/>
            <w:gridSpan w:val="4"/>
          </w:tcPr>
          <w:p>
            <w:pPr>
              <w:ind w:left="20"/>
              <w:spacing w:after="0"/>
              <w:rPr>
                <w:sz w:val="20"/>
                <w:szCs w:val="20"/>
                <w:color w:val="auto"/>
              </w:rPr>
            </w:pPr>
            <w:r>
              <w:rPr>
                <w:rFonts w:ascii="Arial" w:cs="Arial" w:eastAsia="Arial" w:hAnsi="Arial"/>
                <w:sz w:val="18"/>
                <w:szCs w:val="18"/>
                <w:color w:val="auto"/>
                <w:w w:val="99"/>
              </w:rPr>
              <w:t>Distribution Election</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6.2</w:t>
            </w:r>
          </w:p>
        </w:tc>
        <w:tc>
          <w:tcPr>
            <w:tcW w:w="5220" w:type="dxa"/>
            <w:vAlign w:val="bottom"/>
            <w:gridSpan w:val="10"/>
          </w:tcPr>
          <w:p>
            <w:pPr>
              <w:ind w:left="20"/>
              <w:spacing w:after="0"/>
              <w:rPr>
                <w:sz w:val="20"/>
                <w:szCs w:val="20"/>
                <w:color w:val="auto"/>
              </w:rPr>
            </w:pPr>
            <w:r>
              <w:rPr>
                <w:rFonts w:ascii="Arial" w:cs="Arial" w:eastAsia="Arial" w:hAnsi="Arial"/>
                <w:sz w:val="18"/>
                <w:szCs w:val="18"/>
                <w:color w:val="auto"/>
              </w:rPr>
              <w:t>Distributions upon an In-Service Sub-account Triggering Date  7</w:t>
            </w: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6.3</w:t>
            </w:r>
          </w:p>
        </w:tc>
        <w:tc>
          <w:tcPr>
            <w:tcW w:w="5220" w:type="dxa"/>
            <w:vAlign w:val="bottom"/>
            <w:gridSpan w:val="10"/>
          </w:tcPr>
          <w:p>
            <w:pPr>
              <w:ind w:left="20"/>
              <w:spacing w:after="0"/>
              <w:rPr>
                <w:sz w:val="20"/>
                <w:szCs w:val="20"/>
                <w:color w:val="auto"/>
              </w:rPr>
            </w:pPr>
            <w:r>
              <w:rPr>
                <w:rFonts w:ascii="Arial" w:cs="Arial" w:eastAsia="Arial" w:hAnsi="Arial"/>
                <w:sz w:val="18"/>
                <w:szCs w:val="18"/>
                <w:color w:val="auto"/>
              </w:rPr>
              <w:t>Distributions upon a Separation from Service  7</w:t>
            </w: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6.4</w:t>
            </w:r>
          </w:p>
        </w:tc>
        <w:tc>
          <w:tcPr>
            <w:tcW w:w="3240" w:type="dxa"/>
            <w:vAlign w:val="bottom"/>
            <w:gridSpan w:val="9"/>
          </w:tcPr>
          <w:p>
            <w:pPr>
              <w:ind w:left="20"/>
              <w:spacing w:after="0"/>
              <w:rPr>
                <w:sz w:val="20"/>
                <w:szCs w:val="20"/>
                <w:color w:val="auto"/>
              </w:rPr>
            </w:pPr>
            <w:r>
              <w:rPr>
                <w:rFonts w:ascii="Arial" w:cs="Arial" w:eastAsia="Arial" w:hAnsi="Arial"/>
                <w:sz w:val="18"/>
                <w:szCs w:val="18"/>
                <w:color w:val="auto"/>
              </w:rPr>
              <w:t>Substantially Equal Annual Installments</w:t>
            </w:r>
          </w:p>
        </w:tc>
        <w:tc>
          <w:tcPr>
            <w:tcW w:w="1980" w:type="dxa"/>
            <w:vAlign w:val="bottom"/>
          </w:tcPr>
          <w:p>
            <w:pPr>
              <w:jc w:val="right"/>
              <w:ind w:right="1650"/>
              <w:spacing w:after="0"/>
              <w:rPr>
                <w:sz w:val="20"/>
                <w:szCs w:val="20"/>
                <w:color w:val="auto"/>
              </w:rPr>
            </w:pPr>
            <w:r>
              <w:rPr>
                <w:rFonts w:ascii="Arial" w:cs="Arial" w:eastAsia="Arial" w:hAnsi="Arial"/>
                <w:sz w:val="18"/>
                <w:szCs w:val="18"/>
                <w:color w:val="auto"/>
              </w:rPr>
              <w:t>7</w:t>
            </w: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6.5</w:t>
            </w:r>
          </w:p>
        </w:tc>
        <w:tc>
          <w:tcPr>
            <w:tcW w:w="2000" w:type="dxa"/>
            <w:vAlign w:val="bottom"/>
            <w:gridSpan w:val="5"/>
          </w:tcPr>
          <w:p>
            <w:pPr>
              <w:ind w:left="20"/>
              <w:spacing w:after="0"/>
              <w:rPr>
                <w:sz w:val="20"/>
                <w:szCs w:val="20"/>
                <w:color w:val="auto"/>
              </w:rPr>
            </w:pPr>
            <w:r>
              <w:rPr>
                <w:rFonts w:ascii="Arial" w:cs="Arial" w:eastAsia="Arial" w:hAnsi="Arial"/>
                <w:sz w:val="18"/>
                <w:szCs w:val="18"/>
                <w:color w:val="auto"/>
                <w:w w:val="99"/>
              </w:rPr>
              <w:t>Distributions upon Death</w:t>
            </w:r>
          </w:p>
        </w:tc>
        <w:tc>
          <w:tcPr>
            <w:tcW w:w="320" w:type="dxa"/>
            <w:vAlign w:val="bottom"/>
          </w:tcPr>
          <w:p>
            <w:pPr>
              <w:jc w:val="center"/>
              <w:ind w:left="50"/>
              <w:spacing w:after="0"/>
              <w:rPr>
                <w:sz w:val="20"/>
                <w:szCs w:val="20"/>
                <w:color w:val="auto"/>
              </w:rPr>
            </w:pPr>
            <w:r>
              <w:rPr>
                <w:rFonts w:ascii="Arial" w:cs="Arial" w:eastAsia="Arial" w:hAnsi="Arial"/>
                <w:sz w:val="18"/>
                <w:szCs w:val="18"/>
                <w:color w:val="auto"/>
                <w:w w:val="99"/>
              </w:rPr>
              <w:t>7</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6.6</w:t>
            </w:r>
          </w:p>
        </w:tc>
        <w:tc>
          <w:tcPr>
            <w:tcW w:w="2720" w:type="dxa"/>
            <w:vAlign w:val="bottom"/>
            <w:gridSpan w:val="7"/>
          </w:tcPr>
          <w:p>
            <w:pPr>
              <w:ind w:left="20"/>
              <w:spacing w:after="0"/>
              <w:rPr>
                <w:sz w:val="20"/>
                <w:szCs w:val="20"/>
                <w:color w:val="auto"/>
              </w:rPr>
            </w:pPr>
            <w:r>
              <w:rPr>
                <w:rFonts w:ascii="Arial" w:cs="Arial" w:eastAsia="Arial" w:hAnsi="Arial"/>
                <w:sz w:val="18"/>
                <w:szCs w:val="18"/>
                <w:color w:val="auto"/>
              </w:rPr>
              <w:t>Changes to Distribution Elections</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6.7</w:t>
            </w:r>
          </w:p>
        </w:tc>
        <w:tc>
          <w:tcPr>
            <w:tcW w:w="2960" w:type="dxa"/>
            <w:vAlign w:val="bottom"/>
            <w:gridSpan w:val="8"/>
          </w:tcPr>
          <w:p>
            <w:pPr>
              <w:ind w:left="20"/>
              <w:spacing w:after="0"/>
              <w:rPr>
                <w:sz w:val="20"/>
                <w:szCs w:val="20"/>
                <w:color w:val="auto"/>
              </w:rPr>
            </w:pPr>
            <w:r>
              <w:rPr>
                <w:rFonts w:ascii="Arial" w:cs="Arial" w:eastAsia="Arial" w:hAnsi="Arial"/>
                <w:sz w:val="18"/>
                <w:szCs w:val="18"/>
                <w:color w:val="auto"/>
              </w:rPr>
              <w:t>Acceleration or Delay in Payments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8</w:t>
            </w:r>
          </w:p>
        </w:tc>
        <w:tc>
          <w:tcPr>
            <w:tcW w:w="1980" w:type="dxa"/>
            <w:vAlign w:val="bottom"/>
          </w:tcPr>
          <w:p>
            <w:pPr>
              <w:spacing w:after="0"/>
              <w:rPr>
                <w:sz w:val="23"/>
                <w:szCs w:val="23"/>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6.8</w:t>
            </w:r>
          </w:p>
        </w:tc>
        <w:tc>
          <w:tcPr>
            <w:tcW w:w="2320" w:type="dxa"/>
            <w:vAlign w:val="bottom"/>
            <w:gridSpan w:val="6"/>
          </w:tcPr>
          <w:p>
            <w:pPr>
              <w:ind w:left="20"/>
              <w:spacing w:after="0"/>
              <w:rPr>
                <w:sz w:val="20"/>
                <w:szCs w:val="20"/>
                <w:color w:val="auto"/>
              </w:rPr>
            </w:pPr>
            <w:r>
              <w:rPr>
                <w:rFonts w:ascii="Arial" w:cs="Arial" w:eastAsia="Arial" w:hAnsi="Arial"/>
                <w:sz w:val="18"/>
                <w:szCs w:val="18"/>
                <w:color w:val="auto"/>
              </w:rPr>
              <w:t>Unforeseeable Emergency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8</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6.9</w:t>
            </w:r>
          </w:p>
        </w:tc>
        <w:tc>
          <w:tcPr>
            <w:tcW w:w="2960" w:type="dxa"/>
            <w:vAlign w:val="bottom"/>
            <w:gridSpan w:val="8"/>
          </w:tcPr>
          <w:p>
            <w:pPr>
              <w:ind w:left="20"/>
              <w:spacing w:after="0"/>
              <w:rPr>
                <w:sz w:val="20"/>
                <w:szCs w:val="20"/>
                <w:color w:val="auto"/>
              </w:rPr>
            </w:pPr>
            <w:r>
              <w:rPr>
                <w:rFonts w:ascii="Arial" w:cs="Arial" w:eastAsia="Arial" w:hAnsi="Arial"/>
                <w:sz w:val="18"/>
                <w:szCs w:val="18"/>
                <w:color w:val="auto"/>
              </w:rPr>
              <w:t>Distributions to Specified Employee</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6.10</w:t>
            </w:r>
          </w:p>
        </w:tc>
        <w:tc>
          <w:tcPr>
            <w:tcW w:w="2000" w:type="dxa"/>
            <w:vAlign w:val="bottom"/>
            <w:gridSpan w:val="5"/>
          </w:tcPr>
          <w:p>
            <w:pPr>
              <w:ind w:left="120"/>
              <w:spacing w:after="0"/>
              <w:rPr>
                <w:sz w:val="20"/>
                <w:szCs w:val="20"/>
                <w:color w:val="auto"/>
              </w:rPr>
            </w:pPr>
            <w:r>
              <w:rPr>
                <w:rFonts w:ascii="Arial" w:cs="Arial" w:eastAsia="Arial" w:hAnsi="Arial"/>
                <w:sz w:val="18"/>
                <w:szCs w:val="18"/>
                <w:color w:val="auto"/>
              </w:rPr>
              <w:t>Minimum Distribution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8</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6.11</w:t>
            </w: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Form of Payment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6.12</w:t>
            </w:r>
          </w:p>
        </w:tc>
        <w:tc>
          <w:tcPr>
            <w:tcW w:w="2960" w:type="dxa"/>
            <w:vAlign w:val="bottom"/>
            <w:gridSpan w:val="8"/>
          </w:tcPr>
          <w:p>
            <w:pPr>
              <w:ind w:left="120"/>
              <w:spacing w:after="0"/>
              <w:rPr>
                <w:sz w:val="20"/>
                <w:szCs w:val="20"/>
                <w:color w:val="auto"/>
              </w:rPr>
            </w:pPr>
            <w:r>
              <w:rPr>
                <w:rFonts w:ascii="Arial" w:cs="Arial" w:eastAsia="Arial" w:hAnsi="Arial"/>
                <w:sz w:val="18"/>
                <w:szCs w:val="18"/>
                <w:color w:val="auto"/>
              </w:rPr>
              <w:t>Separation from Service for Cause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23"/>
                <w:szCs w:val="23"/>
                <w:color w:val="auto"/>
              </w:rPr>
            </w:pP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w w:val="98"/>
              </w:rPr>
              <w:t>Article 7</w:t>
            </w: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Beneficiaries</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7.1</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8"/>
              </w:rPr>
              <w:t>Beneficiaries</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7.2</w:t>
            </w: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Lost Beneficiary</w:t>
            </w:r>
          </w:p>
        </w:tc>
        <w:tc>
          <w:tcPr>
            <w:tcW w:w="240" w:type="dxa"/>
            <w:vAlign w:val="bottom"/>
          </w:tcPr>
          <w:p>
            <w:pPr>
              <w:jc w:val="center"/>
              <w:ind w:left="10"/>
              <w:spacing w:after="0"/>
              <w:rPr>
                <w:sz w:val="20"/>
                <w:szCs w:val="20"/>
                <w:color w:val="auto"/>
              </w:rPr>
            </w:pPr>
            <w:r>
              <w:rPr>
                <w:rFonts w:ascii="Arial" w:cs="Arial" w:eastAsia="Arial" w:hAnsi="Arial"/>
                <w:sz w:val="18"/>
                <w:szCs w:val="18"/>
                <w:color w:val="auto"/>
                <w:w w:val="99"/>
              </w:rPr>
              <w:t>9</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w w:val="98"/>
              </w:rPr>
              <w:t>Article 8</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Funding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8.1</w:t>
            </w:r>
          </w:p>
        </w:tc>
        <w:tc>
          <w:tcPr>
            <w:tcW w:w="2320" w:type="dxa"/>
            <w:vAlign w:val="bottom"/>
            <w:gridSpan w:val="6"/>
          </w:tcPr>
          <w:p>
            <w:pPr>
              <w:ind w:left="20"/>
              <w:spacing w:after="0"/>
              <w:rPr>
                <w:sz w:val="20"/>
                <w:szCs w:val="20"/>
                <w:color w:val="auto"/>
              </w:rPr>
            </w:pPr>
            <w:r>
              <w:rPr>
                <w:rFonts w:ascii="Arial" w:cs="Arial" w:eastAsia="Arial" w:hAnsi="Arial"/>
                <w:sz w:val="18"/>
                <w:szCs w:val="18"/>
                <w:color w:val="auto"/>
              </w:rPr>
              <w:t>Prohibition against Funding</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8.2</w:t>
            </w:r>
          </w:p>
        </w:tc>
        <w:tc>
          <w:tcPr>
            <w:tcW w:w="1380" w:type="dxa"/>
            <w:vAlign w:val="bottom"/>
            <w:gridSpan w:val="3"/>
          </w:tcPr>
          <w:p>
            <w:pPr>
              <w:ind w:left="20"/>
              <w:spacing w:after="0"/>
              <w:rPr>
                <w:sz w:val="20"/>
                <w:szCs w:val="20"/>
                <w:color w:val="auto"/>
              </w:rPr>
            </w:pPr>
            <w:r>
              <w:rPr>
                <w:rFonts w:ascii="Arial" w:cs="Arial" w:eastAsia="Arial" w:hAnsi="Arial"/>
                <w:sz w:val="18"/>
                <w:szCs w:val="18"/>
                <w:color w:val="auto"/>
                <w:w w:val="99"/>
              </w:rPr>
              <w:t>Deposits in Trust</w:t>
            </w: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8.3</w:t>
            </w:r>
          </w:p>
        </w:tc>
        <w:tc>
          <w:tcPr>
            <w:tcW w:w="3240" w:type="dxa"/>
            <w:vAlign w:val="bottom"/>
            <w:gridSpan w:val="9"/>
          </w:tcPr>
          <w:p>
            <w:pPr>
              <w:ind w:left="20"/>
              <w:spacing w:after="0"/>
              <w:rPr>
                <w:sz w:val="20"/>
                <w:szCs w:val="20"/>
                <w:color w:val="auto"/>
              </w:rPr>
            </w:pPr>
            <w:r>
              <w:rPr>
                <w:rFonts w:ascii="Arial" w:cs="Arial" w:eastAsia="Arial" w:hAnsi="Arial"/>
                <w:sz w:val="18"/>
                <w:szCs w:val="18"/>
                <w:color w:val="auto"/>
              </w:rPr>
              <w:t>Withholding of Employee Contributions</w:t>
            </w:r>
          </w:p>
        </w:tc>
        <w:tc>
          <w:tcPr>
            <w:tcW w:w="1980" w:type="dxa"/>
            <w:vAlign w:val="bottom"/>
          </w:tcPr>
          <w:p>
            <w:pPr>
              <w:jc w:val="right"/>
              <w:ind w:right="1710"/>
              <w:spacing w:after="0"/>
              <w:rPr>
                <w:sz w:val="20"/>
                <w:szCs w:val="20"/>
                <w:color w:val="auto"/>
              </w:rPr>
            </w:pPr>
            <w:r>
              <w:rPr>
                <w:rFonts w:ascii="Arial" w:cs="Arial" w:eastAsia="Arial" w:hAnsi="Arial"/>
                <w:sz w:val="18"/>
                <w:szCs w:val="18"/>
                <w:color w:val="auto"/>
              </w:rPr>
              <w:t>9</w:t>
            </w: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w w:val="98"/>
              </w:rPr>
              <w:t>Article 9</w:t>
            </w:r>
          </w:p>
        </w:tc>
        <w:tc>
          <w:tcPr>
            <w:tcW w:w="2000" w:type="dxa"/>
            <w:vAlign w:val="bottom"/>
            <w:gridSpan w:val="5"/>
          </w:tcPr>
          <w:p>
            <w:pPr>
              <w:ind w:left="240"/>
              <w:spacing w:after="0"/>
              <w:rPr>
                <w:sz w:val="20"/>
                <w:szCs w:val="20"/>
                <w:color w:val="auto"/>
              </w:rPr>
            </w:pPr>
            <w:r>
              <w:rPr>
                <w:rFonts w:ascii="Arial" w:cs="Arial" w:eastAsia="Arial" w:hAnsi="Arial"/>
                <w:sz w:val="18"/>
                <w:szCs w:val="18"/>
                <w:color w:val="auto"/>
                <w:w w:val="99"/>
              </w:rPr>
              <w:t>Claims Administration</w:t>
            </w:r>
          </w:p>
        </w:tc>
        <w:tc>
          <w:tcPr>
            <w:tcW w:w="320" w:type="dxa"/>
            <w:vAlign w:val="bottom"/>
          </w:tcPr>
          <w:p>
            <w:pPr>
              <w:jc w:val="center"/>
              <w:ind w:left="50"/>
              <w:spacing w:after="0"/>
              <w:rPr>
                <w:sz w:val="20"/>
                <w:szCs w:val="20"/>
                <w:color w:val="auto"/>
              </w:rPr>
            </w:pPr>
            <w:r>
              <w:rPr>
                <w:rFonts w:ascii="Arial" w:cs="Arial" w:eastAsia="Arial" w:hAnsi="Arial"/>
                <w:sz w:val="18"/>
                <w:szCs w:val="18"/>
                <w:color w:val="auto"/>
                <w:w w:val="99"/>
              </w:rPr>
              <w:t>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9.1</w:t>
            </w:r>
          </w:p>
        </w:tc>
        <w:tc>
          <w:tcPr>
            <w:tcW w:w="800" w:type="dxa"/>
            <w:vAlign w:val="bottom"/>
          </w:tcPr>
          <w:p>
            <w:pPr>
              <w:ind w:left="20"/>
              <w:spacing w:after="0"/>
              <w:rPr>
                <w:sz w:val="20"/>
                <w:szCs w:val="20"/>
                <w:color w:val="auto"/>
              </w:rPr>
            </w:pPr>
            <w:r>
              <w:rPr>
                <w:rFonts w:ascii="Arial" w:cs="Arial" w:eastAsia="Arial" w:hAnsi="Arial"/>
                <w:sz w:val="18"/>
                <w:szCs w:val="18"/>
                <w:color w:val="auto"/>
              </w:rPr>
              <w:t>General</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9.2</w:t>
            </w:r>
          </w:p>
        </w:tc>
        <w:tc>
          <w:tcPr>
            <w:tcW w:w="1620" w:type="dxa"/>
            <w:vAlign w:val="bottom"/>
            <w:gridSpan w:val="4"/>
          </w:tcPr>
          <w:p>
            <w:pPr>
              <w:ind w:left="20"/>
              <w:spacing w:after="0"/>
              <w:rPr>
                <w:sz w:val="20"/>
                <w:szCs w:val="20"/>
                <w:color w:val="auto"/>
              </w:rPr>
            </w:pPr>
            <w:r>
              <w:rPr>
                <w:rFonts w:ascii="Arial" w:cs="Arial" w:eastAsia="Arial" w:hAnsi="Arial"/>
                <w:sz w:val="18"/>
                <w:szCs w:val="18"/>
                <w:color w:val="auto"/>
              </w:rPr>
              <w:t>Claims Procedure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9</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9.3</w:t>
            </w: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Right of Appeal</w:t>
            </w:r>
          </w:p>
        </w:tc>
        <w:tc>
          <w:tcPr>
            <w:tcW w:w="620" w:type="dxa"/>
            <w:vAlign w:val="bottom"/>
            <w:gridSpan w:val="2"/>
          </w:tcPr>
          <w:p>
            <w:pPr>
              <w:jc w:val="center"/>
              <w:ind w:right="210"/>
              <w:spacing w:after="0"/>
              <w:rPr>
                <w:sz w:val="20"/>
                <w:szCs w:val="20"/>
                <w:color w:val="auto"/>
              </w:rPr>
            </w:pPr>
            <w:r>
              <w:rPr>
                <w:rFonts w:ascii="Arial" w:cs="Arial" w:eastAsia="Arial" w:hAnsi="Arial"/>
                <w:sz w:val="18"/>
                <w:szCs w:val="18"/>
                <w:color w:val="auto"/>
                <w:w w:val="99"/>
              </w:rPr>
              <w:t>10</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9.4</w:t>
            </w:r>
          </w:p>
        </w:tc>
        <w:tc>
          <w:tcPr>
            <w:tcW w:w="1620" w:type="dxa"/>
            <w:vAlign w:val="bottom"/>
            <w:gridSpan w:val="4"/>
          </w:tcPr>
          <w:p>
            <w:pPr>
              <w:ind w:left="20"/>
              <w:spacing w:after="0"/>
              <w:rPr>
                <w:sz w:val="20"/>
                <w:szCs w:val="20"/>
                <w:color w:val="auto"/>
              </w:rPr>
            </w:pPr>
            <w:r>
              <w:rPr>
                <w:rFonts w:ascii="Arial" w:cs="Arial" w:eastAsia="Arial" w:hAnsi="Arial"/>
                <w:sz w:val="18"/>
                <w:szCs w:val="18"/>
                <w:color w:val="auto"/>
              </w:rPr>
              <w:t>Review of Appeal</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11</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9.5</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Designation</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65"/>
        </w:trPr>
        <w:tc>
          <w:tcPr>
            <w:tcW w:w="2660" w:type="dxa"/>
            <w:vAlign w:val="bottom"/>
            <w:gridSpan w:val="6"/>
          </w:tcPr>
          <w:p>
            <w:pPr>
              <w:spacing w:after="0"/>
              <w:rPr>
                <w:sz w:val="20"/>
                <w:szCs w:val="20"/>
                <w:color w:val="auto"/>
              </w:rPr>
            </w:pPr>
            <w:r>
              <w:rPr>
                <w:rFonts w:ascii="Arial" w:cs="Arial" w:eastAsia="Arial" w:hAnsi="Arial"/>
                <w:sz w:val="18"/>
                <w:szCs w:val="18"/>
                <w:color w:val="auto"/>
              </w:rPr>
              <w:t>Article 10   General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10.1</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Administrator</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10.2</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No Assignment</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10.3</w:t>
            </w:r>
          </w:p>
        </w:tc>
        <w:tc>
          <w:tcPr>
            <w:tcW w:w="2000" w:type="dxa"/>
            <w:vAlign w:val="bottom"/>
            <w:gridSpan w:val="5"/>
          </w:tcPr>
          <w:p>
            <w:pPr>
              <w:ind w:left="120"/>
              <w:spacing w:after="0"/>
              <w:rPr>
                <w:sz w:val="20"/>
                <w:szCs w:val="20"/>
                <w:color w:val="auto"/>
              </w:rPr>
            </w:pPr>
            <w:r>
              <w:rPr>
                <w:rFonts w:ascii="Arial" w:cs="Arial" w:eastAsia="Arial" w:hAnsi="Arial"/>
                <w:sz w:val="18"/>
                <w:szCs w:val="18"/>
                <w:color w:val="auto"/>
              </w:rPr>
              <w:t>No Employment Rights</w:t>
            </w:r>
          </w:p>
        </w:tc>
        <w:tc>
          <w:tcPr>
            <w:tcW w:w="720" w:type="dxa"/>
            <w:vAlign w:val="bottom"/>
            <w:gridSpan w:val="2"/>
          </w:tcPr>
          <w:p>
            <w:pPr>
              <w:jc w:val="center"/>
              <w:ind w:right="110"/>
              <w:spacing w:after="0"/>
              <w:rPr>
                <w:sz w:val="20"/>
                <w:szCs w:val="20"/>
                <w:color w:val="auto"/>
              </w:rPr>
            </w:pPr>
            <w:r>
              <w:rPr>
                <w:rFonts w:ascii="Arial" w:cs="Arial" w:eastAsia="Arial" w:hAnsi="Arial"/>
                <w:sz w:val="18"/>
                <w:szCs w:val="18"/>
                <w:color w:val="auto"/>
                <w:w w:val="99"/>
              </w:rPr>
              <w:t>12</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10.4</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Incompetence</w:t>
            </w:r>
          </w:p>
        </w:tc>
        <w:tc>
          <w:tcPr>
            <w:tcW w:w="620" w:type="dxa"/>
            <w:vAlign w:val="bottom"/>
            <w:gridSpan w:val="2"/>
          </w:tcPr>
          <w:p>
            <w:pPr>
              <w:jc w:val="center"/>
              <w:ind w:right="19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10.5</w:t>
            </w:r>
          </w:p>
        </w:tc>
        <w:tc>
          <w:tcPr>
            <w:tcW w:w="800" w:type="dxa"/>
            <w:vAlign w:val="bottom"/>
          </w:tcPr>
          <w:p>
            <w:pPr>
              <w:ind w:left="120"/>
              <w:spacing w:after="0"/>
              <w:rPr>
                <w:sz w:val="20"/>
                <w:szCs w:val="20"/>
                <w:color w:val="auto"/>
              </w:rPr>
            </w:pPr>
            <w:r>
              <w:rPr>
                <w:rFonts w:ascii="Arial" w:cs="Arial" w:eastAsia="Arial" w:hAnsi="Arial"/>
                <w:sz w:val="18"/>
                <w:szCs w:val="18"/>
                <w:color w:val="auto"/>
              </w:rPr>
              <w:t>Identity</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10.6</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Other Benefits</w:t>
            </w: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660" w:type="dxa"/>
            <w:vAlign w:val="bottom"/>
          </w:tcPr>
          <w:p>
            <w:pPr>
              <w:ind w:left="180"/>
              <w:spacing w:after="0"/>
              <w:rPr>
                <w:sz w:val="20"/>
                <w:szCs w:val="20"/>
                <w:color w:val="auto"/>
              </w:rPr>
            </w:pPr>
            <w:r>
              <w:rPr>
                <w:rFonts w:ascii="Arial" w:cs="Arial" w:eastAsia="Arial" w:hAnsi="Arial"/>
                <w:sz w:val="18"/>
                <w:szCs w:val="18"/>
                <w:color w:val="auto"/>
              </w:rPr>
              <w:t>10.7</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56"/>
        </w:trPr>
        <w:tc>
          <w:tcPr>
            <w:tcW w:w="660" w:type="dxa"/>
            <w:vAlign w:val="bottom"/>
          </w:tcPr>
          <w:p>
            <w:pPr>
              <w:ind w:left="180"/>
              <w:spacing w:after="0"/>
              <w:rPr>
                <w:sz w:val="20"/>
                <w:szCs w:val="20"/>
                <w:color w:val="auto"/>
              </w:rPr>
            </w:pPr>
            <w:r>
              <w:rPr>
                <w:rFonts w:ascii="Arial" w:cs="Arial" w:eastAsia="Arial" w:hAnsi="Arial"/>
                <w:sz w:val="18"/>
                <w:szCs w:val="18"/>
                <w:color w:val="auto"/>
              </w:rPr>
              <w:t>10.8</w:t>
            </w: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Insolvency</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57"/>
        </w:trPr>
        <w:tc>
          <w:tcPr>
            <w:tcW w:w="660" w:type="dxa"/>
            <w:vAlign w:val="bottom"/>
          </w:tcPr>
          <w:p>
            <w:pPr>
              <w:ind w:left="180"/>
              <w:spacing w:after="0"/>
              <w:rPr>
                <w:sz w:val="20"/>
                <w:szCs w:val="20"/>
                <w:color w:val="auto"/>
              </w:rPr>
            </w:pPr>
            <w:r>
              <w:rPr>
                <w:rFonts w:ascii="Arial" w:cs="Arial" w:eastAsia="Arial" w:hAnsi="Arial"/>
                <w:sz w:val="18"/>
                <w:szCs w:val="18"/>
                <w:color w:val="auto"/>
              </w:rPr>
              <w:t>10.9</w:t>
            </w:r>
          </w:p>
        </w:tc>
        <w:tc>
          <w:tcPr>
            <w:tcW w:w="2320" w:type="dxa"/>
            <w:vAlign w:val="bottom"/>
            <w:gridSpan w:val="6"/>
          </w:tcPr>
          <w:p>
            <w:pPr>
              <w:ind w:left="120"/>
              <w:spacing w:after="0"/>
              <w:rPr>
                <w:sz w:val="20"/>
                <w:szCs w:val="20"/>
                <w:color w:val="auto"/>
              </w:rPr>
            </w:pPr>
            <w:r>
              <w:rPr>
                <w:rFonts w:ascii="Arial" w:cs="Arial" w:eastAsia="Arial" w:hAnsi="Arial"/>
                <w:sz w:val="18"/>
                <w:szCs w:val="18"/>
                <w:color w:val="auto"/>
                <w:w w:val="99"/>
              </w:rPr>
              <w:t>Amendment or Modification</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bl>
    <w:p>
      <w:pPr>
        <w:sectPr>
          <w:pgSz w:w="11900" w:h="16838" w:orient="portrait"/>
          <w:cols w:equalWidth="0" w:num="1">
            <w:col w:w="10139"/>
          </w:cols>
          <w:pgMar w:left="320" w:top="1440" w:right="1440" w:bottom="1440" w:gutter="0" w:footer="0" w:header="0"/>
        </w:sectPr>
      </w:pPr>
    </w:p>
    <w:bookmarkStart w:id="282" w:name="page283"/>
    <w:bookmarkEnd w:id="28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Plan Suspension  13</w:t>
            </w:r>
          </w:p>
        </w:tc>
        <w:tc>
          <w:tcPr>
            <w:tcW w:w="3280" w:type="dxa"/>
            <w:vAlign w:val="bottom"/>
          </w:tcPr>
          <w:p>
            <w:pPr>
              <w:spacing w:after="0"/>
              <w:rPr>
                <w:sz w:val="20"/>
                <w:szCs w:val="20"/>
                <w:color w:val="auto"/>
              </w:rPr>
            </w:pPr>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5160" w:type="dxa"/>
            <w:vAlign w:val="bottom"/>
            <w:gridSpan w:val="4"/>
          </w:tcPr>
          <w:p>
            <w:pPr>
              <w:ind w:left="100"/>
              <w:spacing w:after="0"/>
              <w:rPr>
                <w:sz w:val="20"/>
                <w:szCs w:val="20"/>
                <w:color w:val="auto"/>
              </w:rPr>
            </w:pPr>
            <w:r>
              <w:rPr>
                <w:rFonts w:ascii="Arial" w:cs="Arial" w:eastAsia="Arial" w:hAnsi="Arial"/>
                <w:sz w:val="18"/>
                <w:szCs w:val="18"/>
                <w:color w:val="auto"/>
              </w:rPr>
              <w:t>Plan Termination and Accelerated Distribution Under 409A  13</w:t>
            </w:r>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Construction</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13</w:t>
            </w:r>
          </w:p>
        </w:tc>
        <w:tc>
          <w:tcPr>
            <w:tcW w:w="3280" w:type="dxa"/>
            <w:vAlign w:val="bottom"/>
          </w:tcPr>
          <w:p>
            <w:pPr>
              <w:spacing w:after="0"/>
              <w:rPr>
                <w:sz w:val="22"/>
                <w:szCs w:val="22"/>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7"/>
              </w:rPr>
              <w:t>Governing Law</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3280" w:type="dxa"/>
            <w:vAlign w:val="bottom"/>
          </w:tcPr>
          <w:p>
            <w:pPr>
              <w:spacing w:after="0"/>
              <w:rPr>
                <w:sz w:val="23"/>
                <w:szCs w:val="23"/>
                <w:color w:val="auto"/>
              </w:rPr>
            </w:pPr>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1060" w:type="dxa"/>
            <w:vAlign w:val="bottom"/>
          </w:tcPr>
          <w:p>
            <w:pPr>
              <w:ind w:left="120"/>
              <w:spacing w:after="0"/>
              <w:rPr>
                <w:sz w:val="20"/>
                <w:szCs w:val="20"/>
                <w:color w:val="auto"/>
              </w:rPr>
            </w:pPr>
            <w:r>
              <w:rPr>
                <w:rFonts w:ascii="Arial" w:cs="Arial" w:eastAsia="Arial" w:hAnsi="Arial"/>
                <w:sz w:val="18"/>
                <w:szCs w:val="18"/>
                <w:color w:val="auto"/>
                <w:w w:val="98"/>
              </w:rPr>
              <w:t>Severability</w:t>
            </w:r>
          </w:p>
        </w:tc>
        <w:tc>
          <w:tcPr>
            <w:tcW w:w="820" w:type="dxa"/>
            <w:vAlign w:val="bottom"/>
            <w:gridSpan w:val="2"/>
          </w:tcPr>
          <w:p>
            <w:pPr>
              <w:jc w:val="right"/>
              <w:ind w:right="350"/>
              <w:spacing w:after="0"/>
              <w:rPr>
                <w:sz w:val="20"/>
                <w:szCs w:val="20"/>
                <w:color w:val="auto"/>
              </w:rPr>
            </w:pPr>
            <w:r>
              <w:rPr>
                <w:rFonts w:ascii="Arial" w:cs="Arial" w:eastAsia="Arial" w:hAnsi="Arial"/>
                <w:sz w:val="18"/>
                <w:szCs w:val="18"/>
                <w:color w:val="auto"/>
              </w:rPr>
              <w:t>13</w:t>
            </w:r>
          </w:p>
        </w:tc>
        <w:tc>
          <w:tcPr>
            <w:tcW w:w="32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10.15</w:t>
            </w:r>
          </w:p>
        </w:tc>
        <w:tc>
          <w:tcPr>
            <w:tcW w:w="1060" w:type="dxa"/>
            <w:vAlign w:val="bottom"/>
          </w:tcPr>
          <w:p>
            <w:pPr>
              <w:ind w:left="120"/>
              <w:spacing w:after="0"/>
              <w:rPr>
                <w:sz w:val="20"/>
                <w:szCs w:val="20"/>
                <w:color w:val="auto"/>
              </w:rPr>
            </w:pPr>
            <w:r>
              <w:rPr>
                <w:rFonts w:ascii="Arial" w:cs="Arial" w:eastAsia="Arial" w:hAnsi="Arial"/>
                <w:sz w:val="18"/>
                <w:szCs w:val="18"/>
                <w:color w:val="auto"/>
              </w:rPr>
              <w:t>Headings</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56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256"/>
        </w:trPr>
        <w:tc>
          <w:tcPr>
            <w:tcW w:w="580" w:type="dxa"/>
            <w:vAlign w:val="bottom"/>
          </w:tcPr>
          <w:p>
            <w:pPr>
              <w:spacing w:after="0"/>
              <w:rPr>
                <w:sz w:val="20"/>
                <w:szCs w:val="20"/>
                <w:color w:val="auto"/>
              </w:rPr>
            </w:pPr>
            <w:r>
              <w:rPr>
                <w:rFonts w:ascii="Arial" w:cs="Arial" w:eastAsia="Arial" w:hAnsi="Arial"/>
                <w:sz w:val="18"/>
                <w:szCs w:val="18"/>
                <w:color w:val="auto"/>
              </w:rPr>
              <w:t>10.16</w:t>
            </w:r>
          </w:p>
        </w:tc>
        <w:tc>
          <w:tcPr>
            <w:tcW w:w="1060" w:type="dxa"/>
            <w:vAlign w:val="bottom"/>
          </w:tcPr>
          <w:p>
            <w:pPr>
              <w:ind w:left="120"/>
              <w:spacing w:after="0"/>
              <w:rPr>
                <w:sz w:val="20"/>
                <w:szCs w:val="20"/>
                <w:color w:val="auto"/>
              </w:rPr>
            </w:pPr>
            <w:r>
              <w:rPr>
                <w:rFonts w:ascii="Arial" w:cs="Arial" w:eastAsia="Arial" w:hAnsi="Arial"/>
                <w:sz w:val="18"/>
                <w:szCs w:val="18"/>
                <w:color w:val="auto"/>
              </w:rPr>
              <w:t>Terms  14</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10.17</w:t>
            </w: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Code Section 409A</w:t>
            </w:r>
          </w:p>
        </w:tc>
        <w:tc>
          <w:tcPr>
            <w:tcW w:w="3280" w:type="dxa"/>
            <w:vAlign w:val="bottom"/>
          </w:tcPr>
          <w:p>
            <w:pPr>
              <w:jc w:val="right"/>
              <w:ind w:right="2990"/>
              <w:spacing w:after="0"/>
              <w:rPr>
                <w:sz w:val="20"/>
                <w:szCs w:val="20"/>
                <w:color w:val="auto"/>
              </w:rPr>
            </w:pPr>
            <w:r>
              <w:rPr>
                <w:rFonts w:ascii="Arial" w:cs="Arial" w:eastAsia="Arial" w:hAnsi="Arial"/>
                <w:sz w:val="18"/>
                <w:szCs w:val="18"/>
                <w:color w:val="auto"/>
                <w:w w:val="89"/>
              </w:rPr>
              <w:t>14</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rPr>
              <w:t>10.18</w:t>
            </w:r>
          </w:p>
        </w:tc>
        <w:tc>
          <w:tcPr>
            <w:tcW w:w="5160" w:type="dxa"/>
            <w:vAlign w:val="bottom"/>
            <w:gridSpan w:val="4"/>
          </w:tcPr>
          <w:p>
            <w:pPr>
              <w:ind w:left="120"/>
              <w:spacing w:after="0"/>
              <w:rPr>
                <w:sz w:val="20"/>
                <w:szCs w:val="20"/>
                <w:color w:val="auto"/>
              </w:rPr>
            </w:pPr>
            <w:r>
              <w:rPr>
                <w:rFonts w:ascii="Arial" w:cs="Arial" w:eastAsia="Arial" w:hAnsi="Arial"/>
                <w:sz w:val="18"/>
                <w:szCs w:val="18"/>
                <w:color w:val="auto"/>
              </w:rPr>
              <w:t>No Guarantee of Tax Consequences  14</w:t>
            </w:r>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10.19</w:t>
            </w:r>
          </w:p>
        </w:tc>
        <w:tc>
          <w:tcPr>
            <w:tcW w:w="1880" w:type="dxa"/>
            <w:vAlign w:val="bottom"/>
            <w:gridSpan w:val="3"/>
          </w:tcPr>
          <w:p>
            <w:pPr>
              <w:ind w:left="120"/>
              <w:spacing w:after="0"/>
              <w:rPr>
                <w:sz w:val="20"/>
                <w:szCs w:val="20"/>
                <w:color w:val="auto"/>
              </w:rPr>
            </w:pPr>
            <w:r>
              <w:rPr>
                <w:rFonts w:ascii="Arial" w:cs="Arial" w:eastAsia="Arial" w:hAnsi="Arial"/>
                <w:sz w:val="18"/>
                <w:szCs w:val="18"/>
                <w:color w:val="auto"/>
              </w:rPr>
              <w:t>Limitation on Actions</w:t>
            </w:r>
          </w:p>
        </w:tc>
        <w:tc>
          <w:tcPr>
            <w:tcW w:w="3280" w:type="dxa"/>
            <w:vAlign w:val="bottom"/>
          </w:tcPr>
          <w:p>
            <w:pPr>
              <w:jc w:val="right"/>
              <w:ind w:right="2890"/>
              <w:spacing w:after="0"/>
              <w:rPr>
                <w:sz w:val="20"/>
                <w:szCs w:val="20"/>
                <w:color w:val="auto"/>
              </w:rPr>
            </w:pPr>
            <w:r>
              <w:rPr>
                <w:rFonts w:ascii="Arial" w:cs="Arial" w:eastAsia="Arial" w:hAnsi="Arial"/>
                <w:sz w:val="18"/>
                <w:szCs w:val="18"/>
                <w:color w:val="auto"/>
              </w:rPr>
              <w:t>14</w:t>
            </w:r>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10.20</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Right of Setoff</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3280" w:type="dxa"/>
            <w:vAlign w:val="bottom"/>
          </w:tcPr>
          <w:p>
            <w:pPr>
              <w:spacing w:after="0"/>
              <w:rPr>
                <w:sz w:val="22"/>
                <w:szCs w:val="22"/>
                <w:color w:val="auto"/>
              </w:rPr>
            </w:pPr>
          </w:p>
        </w:tc>
      </w:tr>
    </w:tbl>
    <w:p>
      <w:pPr>
        <w:sectPr>
          <w:pgSz w:w="11900" w:h="16838" w:orient="portrait"/>
          <w:cols w:equalWidth="0" w:num="1">
            <w:col w:w="9959"/>
          </w:cols>
          <w:pgMar w:left="500" w:top="1440" w:right="1440" w:bottom="1440" w:gutter="0" w:footer="0" w:header="0"/>
        </w:sectPr>
      </w:pPr>
    </w:p>
    <w:bookmarkStart w:id="283" w:name="page284"/>
    <w:bookmarkEnd w:id="283"/>
    <w:p>
      <w:pPr>
        <w:jc w:val="center"/>
        <w:spacing w:after="0"/>
        <w:rPr>
          <w:sz w:val="20"/>
          <w:szCs w:val="20"/>
          <w:color w:val="auto"/>
        </w:rPr>
      </w:pPr>
      <w:r>
        <w:rPr>
          <w:rFonts w:ascii="Arial" w:cs="Arial" w:eastAsia="Arial" w:hAnsi="Arial"/>
          <w:sz w:val="22"/>
          <w:szCs w:val="22"/>
          <w:b w:val="1"/>
          <w:bCs w:val="1"/>
          <w:color w:val="auto"/>
        </w:rPr>
        <w:t>Affirm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Affirm Holdings, Inc. (the “Company”) hereby adopts this Affirm Holdings, Inc. Nonqualified Deferred Compensation Plan (the “Plan”) for the benefit of a select group of management or highly compensated employees. This Plan is an unfunded arrangement and is intended to be exempt from the participation, vesting, funding, and fiduciary requirements set forth in Title I of the Employee Retirement Income Security Act of 1974, as amended. It is intended to comply with Internal Revenue Code Section 409A.</w:t>
      </w:r>
    </w:p>
    <w:p>
      <w:pPr>
        <w:spacing w:after="0" w:line="68" w:lineRule="exact"/>
        <w:rPr>
          <w:sz w:val="20"/>
          <w:szCs w:val="20"/>
          <w:color w:val="auto"/>
        </w:rPr>
      </w:pPr>
    </w:p>
    <w:p>
      <w:pPr>
        <w:ind w:left="4360"/>
        <w:spacing w:after="0"/>
        <w:tabs>
          <w:tab w:leader="none" w:pos="562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Definitions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Account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 of all the bookkeeping sub-accounts as may be established for each Participant as provided in Section 5.1 hereof.</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Administrator</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Employer or an administrative committee appointed by the Employer, through the Committee, shall serve as the Administrator of the Plan. The Administrator shall serve as the agent for the Employer with respect to the Trust.</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Bonus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Cash incentive compensation which is designated as such by the Administrator and which relates to services performed during an incentive period by an Eligible Employee and which is not Salary or Commission (excluding any pretax elective deferrals from said Bonus to any Employer sponsored plan that includes amounts deferred under a Deferral Election or any elective deferral as defined in Code Section 402(g)(3) or any amount contributed or deferred at the election of the Eligible Employee in accordance with Code Section 125 or 132(f)(4)).</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Cause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have the meaning set forth in the Affirm Holdings, Inc. Officer Severance Plan, as amended from time to time.</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Code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Internal Revenue Code of 1986, as amended.</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Commissions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Provided that such term shall be interpreted within the meaning of regulations promulgated under Code Section 409A, Commissions shall mean sales commissions payable by an Employer to a Participant, under a sales commission plan designated from time to time by the Administrator, if (i) a substantial portion of the services provided by the Participant to the Employer consist of the direct sale of a product or service to an unrelated customer, (ii) the sales commissions paid by the Employer to the Participant consist of either a portion of the purchase price for the product or service or an amount substantially all of which is calculated by reference to the volume of sales, (iii) payment of the sales commissions is contingent upon the closing of the sales transaction and such other requirements as may be specified by the Employer before the closing of the sales transaction. Such term shall be interpreted in a manner consistent with the definition of “sales commission compensation” contained in Code Section 409A.</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of the Board of Directors of Affirm Holdings, Inc.</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Participant’s Salary, Commissions, and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21" w:right="339" w:bottom="1440" w:gutter="0" w:footer="0" w:header="0"/>
        </w:sectPr>
      </w:pPr>
    </w:p>
    <w:bookmarkStart w:id="284" w:name="page285"/>
    <w:bookmarkEnd w:id="284"/>
    <w:p>
      <w:pPr>
        <w:spacing w:after="0" w:line="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Deferrals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portion of Compensation that a Participant elects to defer in accordance with Section 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b w:val="1"/>
          <w:bCs w:val="1"/>
          <w:color w:val="auto"/>
        </w:rPr>
        <w:t>Deferral Election</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separate agreement, submitted to the Administrator, by which an Eligible Employee agrees to participate in the Plan and make Deferrals thereto.</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Disability</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Participant shall be considered to have incurred a Disability if a Participant incurs a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months, as determined by the Administrator in its sole discretion.</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Effective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January 1, 2026.</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Eligible Employee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Employee shall be considered an Eligible Employee if such Employee is a member of a “select group of management or highly compensated employees,” within the meaning of Sections 201, 301 and 401 of ERISA in the role of US Senior Director or above (L10+), and who is designated as an Eligible Employee by the Administrator. The Administrator may at any time, in its sole discretion, change the eligible criteria for an Eligible Employee or determine that one or more Participants will cease to be an Eligible Employee. The designation of an Employee as an Eligible Employee in any year shall not confer upon such Employee any right to be designated as an Eligible Employee in any future Plan Year.</w:t>
      </w:r>
    </w:p>
    <w:p>
      <w:pPr>
        <w:spacing w:after="0" w:line="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color w:val="auto"/>
        </w:rPr>
        <w:t>Employee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person employed by the Employer.</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b w:val="1"/>
          <w:bCs w:val="1"/>
          <w:color w:val="auto"/>
        </w:rPr>
        <w:t>Employer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United States subsidiaries and affiliates.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b w:val="1"/>
          <w:bCs w:val="1"/>
          <w:color w:val="auto"/>
        </w:rPr>
        <w:t>Employer Discretionary Contribution</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 discretionary contribution made by the Employer that is credited to one or more Participant’s Accounts in accordance with the terms of Section 3.6 hereof.</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8"/>
          <w:szCs w:val="18"/>
          <w:b w:val="1"/>
          <w:bCs w:val="1"/>
          <w:color w:val="auto"/>
        </w:rPr>
        <w:t>ERISA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Employee Retirement Income Security Act of 1974, as amended.</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7"/>
          <w:szCs w:val="17"/>
          <w:b w:val="1"/>
          <w:bCs w:val="1"/>
          <w:color w:val="auto"/>
        </w:rPr>
        <w:t>Investment Fund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investment(s) which serves as a means to measure value, increases or decreases with respect to a Participant’s Accounts.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b w:val="1"/>
          <w:bCs w:val="1"/>
          <w:color w:val="auto"/>
        </w:rPr>
        <w:t>Participant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Eligible Employee who is a Participant as provided in Article 2.</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b w:val="1"/>
          <w:bCs w:val="1"/>
          <w:color w:val="auto"/>
        </w:rPr>
        <w:t>Plan Year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initial Plan Year, Effective Date through December 31, 2026. For each year thereafter, January 1 through December 31.</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An Eligible Employee’s base salary earned during a Plan Year (excluding any pretax elective deferrals from said Salary to any Employer sponsored plan that includes amounts deferred under a Deferral Election or any elective deferral as defined in Code Section 402(g)(3) or any amount contributed or deferred at the election of the Eligible Employee in accordance with Code Section 125 or 132(f)(4)).</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b w:val="1"/>
          <w:bCs w:val="1"/>
          <w:color w:val="auto"/>
        </w:rPr>
        <w:t>Separation from Service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Provided that such term shall be interpreted within the meaning of regulations promulgated under Code Section 409A, a Participant shall incur a Separation from Service with the Service Recipient due to death, retirement or other termination of employment with the Service Recipient unless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Service Recipient under an applicable statute or by contract. Upon a sale or other disposition of the assets of the Employer to an unrelated purchaser, the Administrator reserves the right, to the extent permitted by Code section 409A to determine whether Participants providing services to the purchaser after and in connection with the purchase transaction have experienced a Separation from Service which determination shall be made no later than the day prior to the closing of such disposition of assets.</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Service Recipient</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Provided that such term shall be interpreted within the meaning of regulations promulgated under Code Section 409A, Service Recipient shall mean the Employer or person for whom the services are performed and with respect to whom the legally binding right to compensation arises, and all persons with whom such person would be considered a single employer under Code Section 414(b) (employees of controlled group of corporations), and all persons with whom such person would be considered a single employer under Code Section 414(c) (employees of partnerships, proprietorships, etc., under common control).</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Specified Employee</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Provided that such term shall be interpreted within the meaning of regulations promulgated under Code Section 409A, a “Specified Employee” shall mean a participant who is considered a “specified employee” with the meaning of Code Section 409A(a)(2)(B)(i) and regulations thereunder on the Identification Date, for the period beginning April 1 of the year subsequent to the Identification Date and ending March 31 of the following year. The Identification Date for this Plan is December 31 of each year.</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Trust</w:t>
      </w:r>
    </w:p>
    <w:p>
      <w:pPr>
        <w:spacing w:after="0" w:line="11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agreement between the Employer and the Trustee under which the assets of the Plan are held, administered and managed, which shall generally conform to the terms of Rev. Proc. 92-64.</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Trustee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Fidelity Trust Company, or such other successor that shall become trustee pursuant to the terms of the Plan.</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b w:val="1"/>
          <w:bCs w:val="1"/>
          <w:color w:val="auto"/>
        </w:rPr>
        <w:t>Unforeseeable Emergency</w:t>
      </w:r>
    </w:p>
    <w:p>
      <w:pPr>
        <w:spacing w:after="0" w:line="11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 severe financial hardship resulting from an illness or accident of the Participant, the Participant’s spouse, the Participant’s beneficiary, or a dependent (as defined in Code Section 152(a)) of the Participant, loss of the Participant’s property due to casualty or other similar extraordinary and unforeseeable circumstances arising as a result of events beyond the control of the Participant.</w:t>
      </w:r>
    </w:p>
    <w:p>
      <w:pPr>
        <w:spacing w:after="0" w:line="63" w:lineRule="exact"/>
        <w:rPr>
          <w:sz w:val="20"/>
          <w:szCs w:val="20"/>
          <w:color w:val="auto"/>
        </w:rPr>
      </w:pPr>
    </w:p>
    <w:p>
      <w:pPr>
        <w:ind w:left="4280"/>
        <w:spacing w:after="0"/>
        <w:tabs>
          <w:tab w:leader="none" w:pos="554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8"/>
          <w:szCs w:val="18"/>
          <w:b w:val="1"/>
          <w:bCs w:val="1"/>
          <w:color w:val="auto"/>
        </w:rPr>
        <w:t>Participation</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Commencement of Participation</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Each Eligible Employee shall become a Participant at [the earlier of] the date on which his or her Deferral Election first becomes effective or the date on which an Employer Discretionary Contribution is first credited to his or her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Loss of Eligible Employee Status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Participant who is no longer an Eligible Employee shall not be permitted to submit a Deferral Election and all Deferrals for such Participant shall cease as of the end of the Plan Year in which such Participant is determined to no longer be an Eligible Employee. Amounts credited to the Account of a Participant who is no longer an Eligible Employee shall continue to be held pursuant to the terms of the Plan and shall be distributed as provided in Article 6.</w:t>
      </w:r>
    </w:p>
    <w:p>
      <w:pPr>
        <w:spacing w:after="0" w:line="68" w:lineRule="exact"/>
        <w:rPr>
          <w:sz w:val="20"/>
          <w:szCs w:val="20"/>
          <w:color w:val="auto"/>
        </w:rPr>
      </w:pPr>
    </w:p>
    <w:p>
      <w:pPr>
        <w:ind w:left="4220"/>
        <w:spacing w:after="0"/>
        <w:tabs>
          <w:tab w:leader="none" w:pos="550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8"/>
          <w:szCs w:val="18"/>
          <w:b w:val="1"/>
          <w:bCs w:val="1"/>
          <w:color w:val="auto"/>
        </w:rPr>
        <w:t>Contributions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Deferral Elections - General</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Participant’s Deferral Election for a Plan Year, is irrevocable for that applicable Plan Year; provided, however that a cessation of Deferrals shall be allowed if required by the terms of the Employer’s qualified 401(k) plan in order for the Participant to obtain a hardship withdrawal from the 401(k) plan, or if required under Section 6.9 (Unforeseeable Emergency) of this Plan. Such amounts deferred under the Plan shall not be made available to such Participant, except as provided in Article 6, and shall reduce such Participant’s Compensation from the Employer in accordance with the provisions of the applicable Deferral Election; provided, however, that all such amounts shall be subject to the rights of the general creditors of the Employer as provided in Article 8. The Deferral Election, in addition to the requirements set forth below, must designate: (i) the amount of Compensation to be deferred, (ii) the time of the distribution, and (iii) the form of the distribution.</w:t>
      </w:r>
    </w:p>
    <w:p>
      <w:pPr>
        <w:spacing w:after="0" w:line="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Time of Election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Deferral Election shall be void if it is not made in a timely manner as follows:</w:t>
      </w:r>
    </w:p>
    <w:p>
      <w:pPr>
        <w:spacing w:after="0" w:line="117" w:lineRule="exact"/>
        <w:rPr>
          <w:sz w:val="20"/>
          <w:szCs w:val="20"/>
          <w:color w:val="auto"/>
        </w:rPr>
      </w:pPr>
    </w:p>
    <w:p>
      <w:pPr>
        <w:jc w:val="both"/>
        <w:ind w:right="20" w:firstLine="656"/>
        <w:spacing w:after="0" w:line="262" w:lineRule="auto"/>
        <w:tabs>
          <w:tab w:leader="none" w:pos="116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Deferral Election with respect to any Compensation must be submitted to the Administrator before the beginning of the calendar year during which the amount to be deferred will be earned, or with respect to Bonus, before the beginning of the calendar year that includes the first day of the relevant performance period. As of December 31 of each calendar year, said Deferral Election is irrevocable for the subsequent calendar year.</w:t>
      </w:r>
    </w:p>
    <w:p>
      <w:pPr>
        <w:spacing w:after="0" w:line="68" w:lineRule="exact"/>
        <w:rPr>
          <w:rFonts w:ascii="Arial" w:cs="Arial" w:eastAsia="Arial" w:hAnsi="Arial"/>
          <w:sz w:val="18"/>
          <w:szCs w:val="18"/>
          <w:color w:val="auto"/>
        </w:rPr>
      </w:pPr>
    </w:p>
    <w:p>
      <w:pPr>
        <w:jc w:val="both"/>
        <w:ind w:firstLine="656"/>
        <w:spacing w:after="0" w:line="259" w:lineRule="auto"/>
        <w:tabs>
          <w:tab w:leader="none" w:pos="107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Notwithstanding the foregoing and in the discretion of the Employer, in a year in which an Employee is first eligible to participate in this Plan, and provided that such Employee is not eligible to participate in any other similar account balance arrangement subject to Code Section 409A, such Deferral Election shall be submitted within thirty (30) days after the date on which an Employee is first eligible to participate in this Plan, and such Deferral Election shall apply to Compensation to be earned during the remainder of the calendar year or Bonus performance period after such election is made.</w:t>
      </w:r>
    </w:p>
    <w:p>
      <w:pPr>
        <w:spacing w:after="0" w:line="71" w:lineRule="exact"/>
        <w:rPr>
          <w:rFonts w:ascii="Arial" w:cs="Arial" w:eastAsia="Arial" w:hAnsi="Arial"/>
          <w:sz w:val="18"/>
          <w:szCs w:val="18"/>
          <w:color w:val="auto"/>
        </w:rPr>
      </w:pPr>
    </w:p>
    <w:p>
      <w:pPr>
        <w:jc w:val="both"/>
        <w:ind w:firstLine="656"/>
        <w:spacing w:after="0" w:line="262"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Notwithstanding the foregoing and in the discretion of the Employer, a Deferral Election with respect to any fiscal-based Bonus may be submitted by the Eligible Employee or Participant provided that such Deferral Election is submitted prior to the beginning of the Employer’s fiscal year for which the fiscal-based Bonus is earned provided such fiscal-based Bonus meets the requirements of Treasury Regulation Section 1.409A-2(a)(6).</w:t>
      </w:r>
    </w:p>
    <w:p>
      <w:pPr>
        <w:spacing w:after="0" w:line="68" w:lineRule="exact"/>
        <w:rPr>
          <w:rFonts w:ascii="Arial" w:cs="Arial" w:eastAsia="Arial" w:hAnsi="Arial"/>
          <w:sz w:val="18"/>
          <w:szCs w:val="18"/>
          <w:color w:val="auto"/>
        </w:rPr>
      </w:pPr>
    </w:p>
    <w:p>
      <w:pPr>
        <w:jc w:val="both"/>
        <w:ind w:firstLine="656"/>
        <w:spacing w:after="0" w:line="262" w:lineRule="auto"/>
        <w:tabs>
          <w:tab w:leader="none" w:pos="109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Notwithstanding the foregoing and in the discretion of the Employer, a Deferral Election with respect to any Commissions may be submitted by the Eligible Employee or Participant provided that such Deferral Election is submitted prior to the beginning of a subsequent calendar year in which the sale generating the Commissions occurs. The Deferral Election in effect for a Plan Year shall apply to all Commissions paid with respect to sales made in the Plan Year regardless of the year paid.</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Distribution Elections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the time a Participant makes a Deferral Election, he or she must establish a Separation from Service sub-account. To the extent permitted by the Administrator, a Participant may elect the time and form of the distribution by establishing one or more In-Service sub-account or Separation from Service sub-account(s) as provided in Sections 5.1 and 6.1. If the Participant fails to properly designate the time and form of a distribution with respect to any Deferral Election, the Participant’s deferral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such Deferral Election shall be designated as a Separation from Service Account and shall be paid in a lump sum.</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Additional Requirements</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Deferral Election, subject to the limitations set forth in Sections 3.1 and 3.2 hereof, shall comply with the following additional requirements, or as otherwise required by the Administrator in its sole discretion:</w:t>
      </w:r>
    </w:p>
    <w:p>
      <w:pPr>
        <w:spacing w:after="0" w:line="45" w:lineRule="exact"/>
        <w:rPr>
          <w:sz w:val="20"/>
          <w:szCs w:val="20"/>
          <w:color w:val="auto"/>
        </w:rPr>
      </w:pPr>
    </w:p>
    <w:p>
      <w:pPr>
        <w:ind w:left="1080" w:hanging="424"/>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Deferrals may be made in whole percentages.</w:t>
      </w:r>
    </w:p>
    <w:p>
      <w:pPr>
        <w:spacing w:after="0" w:line="117" w:lineRule="exact"/>
        <w:rPr>
          <w:rFonts w:ascii="Arial" w:cs="Arial" w:eastAsia="Arial" w:hAnsi="Arial"/>
          <w:sz w:val="18"/>
          <w:szCs w:val="18"/>
          <w:color w:val="auto"/>
        </w:rPr>
      </w:pPr>
    </w:p>
    <w:p>
      <w:pPr>
        <w:ind w:firstLine="656"/>
        <w:spacing w:after="0" w:line="287" w:lineRule="auto"/>
        <w:tabs>
          <w:tab w:leader="none" w:pos="109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maximum amount that may be deferred each Plan Year is seventy five (75%) of the Participant’s Salary, and one-hundred percent (100%) of the Participant’s cash Bonus and Commissions, net of applicable taxes and required benefit plan deductions.</w:t>
      </w:r>
    </w:p>
    <w:p>
      <w:pPr>
        <w:spacing w:after="0" w:line="44" w:lineRule="exact"/>
        <w:rPr>
          <w:rFonts w:ascii="Arial" w:cs="Arial" w:eastAsia="Arial" w:hAnsi="Arial"/>
          <w:sz w:val="18"/>
          <w:szCs w:val="18"/>
          <w:color w:val="auto"/>
        </w:rPr>
      </w:pPr>
    </w:p>
    <w:p>
      <w:pPr>
        <w:ind w:firstLine="656"/>
        <w:spacing w:after="0" w:line="287" w:lineRule="auto"/>
        <w:tabs>
          <w:tab w:leader="none" w:pos="11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distribution year for an In-Service sub-account must be at least three (3) Plan Years after the Plan Year in which such Deferral is credited to an In-Service sub-account.</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Cancellation of Deferral Election due to Disability</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Notwithstanding anything to the contrary, if a Participant incurs a Disability, said Participant may file an election to stop Deferrals as of the date the election is received by the Administrator, provided that such cancellation occurs by the later of the end of the calendar year or the 15th day of the third month following the date the Participant incurs a Disability.</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Employer Discretionary Contribution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Employer may make Employer Discretionary Contributions to some or all Participants’ Accounts in such amount and in such manner as may be determined by the Employer. Such Employer Discretionary Contributions shall be credited to a separate lump-sum Separation from Service sub-account.</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7"/>
          <w:szCs w:val="17"/>
          <w:b w:val="1"/>
          <w:bCs w:val="1"/>
          <w:color w:val="auto"/>
        </w:rPr>
        <w:t>Crediting of Contributions</w:t>
      </w:r>
    </w:p>
    <w:p>
      <w:pPr>
        <w:spacing w:after="0" w:line="117" w:lineRule="exact"/>
        <w:rPr>
          <w:sz w:val="20"/>
          <w:szCs w:val="20"/>
          <w:color w:val="auto"/>
        </w:rPr>
      </w:pPr>
    </w:p>
    <w:p>
      <w:pPr>
        <w:ind w:firstLine="656"/>
        <w:spacing w:after="0" w:line="287" w:lineRule="auto"/>
        <w:tabs>
          <w:tab w:leader="none" w:pos="111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Deferrals shall be credited to a Participant’s Account, and if applicable transferred to the Trust, at such time as the Employer shall determine.</w:t>
      </w:r>
    </w:p>
    <w:p>
      <w:pPr>
        <w:spacing w:after="0" w:line="44" w:lineRule="exact"/>
        <w:rPr>
          <w:rFonts w:ascii="Arial" w:cs="Arial" w:eastAsia="Arial" w:hAnsi="Arial"/>
          <w:sz w:val="18"/>
          <w:szCs w:val="18"/>
          <w:color w:val="auto"/>
        </w:rPr>
      </w:pPr>
    </w:p>
    <w:p>
      <w:pPr>
        <w:ind w:firstLine="656"/>
        <w:spacing w:after="0" w:line="287" w:lineRule="auto"/>
        <w:tabs>
          <w:tab w:leader="none" w:pos="113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Employer Discretionary Contributions, if any, shall be credited to a Participant’s Account, and if applicable transferred to the Trust, at such time as the Employer shall determine.</w:t>
      </w:r>
    </w:p>
    <w:p>
      <w:pPr>
        <w:spacing w:after="0" w:line="45" w:lineRule="exact"/>
        <w:rPr>
          <w:sz w:val="20"/>
          <w:szCs w:val="20"/>
          <w:color w:val="auto"/>
        </w:rPr>
      </w:pPr>
    </w:p>
    <w:p>
      <w:pPr>
        <w:ind w:left="4500"/>
        <w:spacing w:after="0"/>
        <w:tabs>
          <w:tab w:leader="none" w:pos="57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7"/>
          <w:szCs w:val="17"/>
          <w:b w:val="1"/>
          <w:bCs w:val="1"/>
          <w:color w:val="auto"/>
        </w:rPr>
        <w:t>Vesting</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Vesting of Deferrals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 Participant shall be one-hundred percent (100%) vested in his or her Account attributable to elective Deferrals and any earning or losses on the investment of such elective Deferrals.</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Vesting of Employer Discretionary Contributions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 Participant shall be one-hundred percent (100%) vested in the portion of his or her Account attributable to Employer Discretionary Contribution(s) and any earnings or losses on the investment of such Employer Discretionary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Amounts Not Vested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amounts credited to a Participant’s Account that are not vested at the time of a distribution event shall be forfeited.</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Forfeitures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the discretion of the Employer, any forfeitures from a Participant’s Account (i) may continue to be held in the Trust, may be separately invested, and may be used to reduce succeeding Deferrals and any Employer Discretionary Contributions, or (ii) may be returned to the Employer as soon as administratively feasible.</w:t>
      </w:r>
    </w:p>
    <w:p>
      <w:pPr>
        <w:spacing w:after="0" w:line="63" w:lineRule="exact"/>
        <w:rPr>
          <w:sz w:val="20"/>
          <w:szCs w:val="20"/>
          <w:color w:val="auto"/>
        </w:rPr>
      </w:pPr>
    </w:p>
    <w:p>
      <w:pPr>
        <w:ind w:left="4400"/>
        <w:spacing w:after="0"/>
        <w:tabs>
          <w:tab w:leader="none" w:pos="568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Accounts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Accounts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Administrator shall establish and maintain a bookkeeping account in the name of each Participant. The Administrator shall also establish sub-accounts as provided in subsection (a) and (b), below, as elected by the Participant pursuant to Article 3.</w:t>
      </w:r>
    </w:p>
    <w:p>
      <w:pPr>
        <w:spacing w:after="0" w:line="45" w:lineRule="exact"/>
        <w:rPr>
          <w:sz w:val="20"/>
          <w:szCs w:val="20"/>
          <w:color w:val="auto"/>
        </w:rPr>
      </w:pPr>
    </w:p>
    <w:p>
      <w:pPr>
        <w:jc w:val="both"/>
        <w:ind w:firstLine="656"/>
        <w:spacing w:after="0" w:line="257" w:lineRule="auto"/>
        <w:tabs>
          <w:tab w:leader="none" w:pos="113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 part of each year’s Deferral Election, a Participant must establish a Separation from Service sub-account. To the extent permitted by the Administrator, a Participant may establish a separate Separation from Service sub-account for each source of Compensation that is subject to the Deferral Election. Each Participant’s Separation from Service sub-account shall be credited with Deferrals (as specified in the Participant’s Deferral Election), and the Participant’s allocable share of any earnings or losses on the foregoing. Each Participant’s Separation from Service sub-account shall be reduced by any distributions made plus any federal and state tax withholding, and any social security withholding tax as may be required by law.</w:t>
      </w:r>
    </w:p>
    <w:p>
      <w:pPr>
        <w:spacing w:after="0" w:line="74" w:lineRule="exact"/>
        <w:rPr>
          <w:rFonts w:ascii="Arial" w:cs="Arial" w:eastAsia="Arial" w:hAnsi="Arial"/>
          <w:sz w:val="18"/>
          <w:szCs w:val="18"/>
          <w:color w:val="auto"/>
        </w:rPr>
      </w:pPr>
    </w:p>
    <w:p>
      <w:pPr>
        <w:jc w:val="both"/>
        <w:ind w:firstLine="656"/>
        <w:spacing w:after="0" w:line="259" w:lineRule="auto"/>
        <w:tabs>
          <w:tab w:leader="none" w:pos="10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 part of each year’s Deferral Election, a Participant may elect to establish one or more In-Service sub-accounts (up to one per source of Compensation each year) by designating as such in the Participant’s Deferral Election the time and form of payment (In-Service sub-account). Each Participant’s In-Service sub-accounts shall be credited with Deferrals (as specified in the Participant’s Deferral Election), and the Participant’s allocable share of any earnings or losses on the foregoing. Each Participant’s In-Service sub-accounts shall be reduced by any distributions made plus any federal and state tax withholding and any social security withholding tax as may be required by law.</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Investments, Gains and Losses</w:t>
      </w:r>
    </w:p>
    <w:p>
      <w:pPr>
        <w:spacing w:after="0" w:line="117" w:lineRule="exact"/>
        <w:rPr>
          <w:sz w:val="20"/>
          <w:szCs w:val="20"/>
          <w:color w:val="auto"/>
        </w:rPr>
      </w:pPr>
    </w:p>
    <w:p>
      <w:pPr>
        <w:jc w:val="both"/>
        <w:ind w:firstLine="656"/>
        <w:spacing w:after="0" w:line="259" w:lineRule="auto"/>
        <w:tabs>
          <w:tab w:leader="none" w:pos="116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Participant may direct that his or her Separation from Service sub-accounts and or In-Service sub-accounts established pursuant to Section 5.1 be valued as if they were invested in one or more Investment Funds as selected by the Employer in whole percentage increments. Unless the Administrator shall specify otherwise, the Investment Funds shall include the investment options available from time to time for the investment of amounts held under the Affirm, Inc. 401(k) Plan. The Employer may from time to time, at the discretion of the Administrator, change the Investment Funds for purposes of this Plan.</w:t>
      </w:r>
    </w:p>
    <w:p>
      <w:pPr>
        <w:spacing w:after="0" w:line="71" w:lineRule="exact"/>
        <w:rPr>
          <w:rFonts w:ascii="Arial" w:cs="Arial" w:eastAsia="Arial" w:hAnsi="Arial"/>
          <w:sz w:val="18"/>
          <w:szCs w:val="18"/>
          <w:color w:val="auto"/>
        </w:rPr>
      </w:pPr>
    </w:p>
    <w:p>
      <w:pPr>
        <w:jc w:val="both"/>
        <w:ind w:firstLine="656"/>
        <w:spacing w:after="0" w:line="262" w:lineRule="auto"/>
        <w:tabs>
          <w:tab w:leader="none" w:pos="126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Administrator shall adjust the amounts credited to each Participant’s Account to reflect Deferrals, any Employer Discretionary Contributions, investment experience, distributions and any other appropriate adjustments. Such adjustments shall be made as frequently as is administratively feasible. The valuation methodology shall be determined in the sole and absolute discretion of the Administrator.</w:t>
      </w:r>
    </w:p>
    <w:p>
      <w:pPr>
        <w:spacing w:after="0" w:line="68" w:lineRule="exact"/>
        <w:rPr>
          <w:rFonts w:ascii="Arial" w:cs="Arial" w:eastAsia="Arial" w:hAnsi="Arial"/>
          <w:sz w:val="18"/>
          <w:szCs w:val="18"/>
          <w:color w:val="auto"/>
        </w:rPr>
      </w:pPr>
    </w:p>
    <w:p>
      <w:pPr>
        <w:jc w:val="both"/>
        <w:ind w:firstLine="656"/>
        <w:spacing w:after="0" w:line="268" w:lineRule="auto"/>
        <w:tabs>
          <w:tab w:leader="none" w:pos="105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Participant may change his or her selection of Investment Funds with respect to his or her Account or sub-accounts by filing a new election in accordance with procedures established by the Administrator. An election shall be effective as soon as administratively feasible following the date the change is submitted on a form prescribed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85" w:lineRule="exact"/>
        <w:rPr>
          <w:sz w:val="20"/>
          <w:szCs w:val="20"/>
          <w:color w:val="auto"/>
        </w:rPr>
      </w:pPr>
    </w:p>
    <w:p>
      <w:pPr>
        <w:jc w:val="both"/>
        <w:ind w:firstLine="656"/>
        <w:spacing w:after="0" w:line="262" w:lineRule="auto"/>
        <w:tabs>
          <w:tab w:leader="none" w:pos="110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Notwithstanding the Participant’s ability to designate the Investment Fund in which his or her deferred Compensation shall be deemed invested, the Employer shall have no obligation to invest any funds in accordance with the Participant’s election. Participants’ Accounts shall merely be bookkeeping entries on the Employer’s books, and no Participant shall obtain any property right or interest in any Investment Fund.</w:t>
      </w:r>
    </w:p>
    <w:p>
      <w:pPr>
        <w:spacing w:after="0" w:line="68" w:lineRule="exact"/>
        <w:rPr>
          <w:sz w:val="20"/>
          <w:szCs w:val="20"/>
          <w:color w:val="auto"/>
        </w:rPr>
      </w:pPr>
    </w:p>
    <w:p>
      <w:pPr>
        <w:ind w:left="4260"/>
        <w:spacing w:after="0"/>
        <w:tabs>
          <w:tab w:leader="none" w:pos="55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7"/>
          <w:szCs w:val="17"/>
          <w:b w:val="1"/>
          <w:bCs w:val="1"/>
          <w:color w:val="auto"/>
        </w:rPr>
        <w:t>Distributions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Distribution Election</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Each Participant shall designate in his or her Deferral Election the form and timing of his or her distribution by indicating the type of sub-account as described under Section 5.1, and by designating the form in which payments shall be made from the choices available under Section 6.2 and 6.3 hereof. Notwithstanding anything to the contrary contained herein provided, no acceleration of the time or schedule of payments under the Plan shall occur except as permitted under both this Plan and Code Section 409A.</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Distributions upon an In-Service Sub-account Triggering Date</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In-Service sub-account distributions shall begin as soon as administratively feasible during the calendar year designated by the Participant on a properly submitted Deferral Election, and are payable in either a lump-sum payment or substantially equal annual installments, as described in Section 6.4 below, over a period of up to five (5) years as elected by the Participant in his or her Deferral Election. If the Participant fails to designate the form of payment of an In-Service sub-account, such sub-account shall be paid in a lump-sum payment. If a Participant has any In-Service sub-accounts at the time of his or her Separation from Service, said In-Service sub-account shall be distributed in the same manner as designated for the Participant’s Separation from Service sub-accounts from the same calendar year as the In-Service sub-account, in accordance with Section 6.3.</w:t>
      </w:r>
    </w:p>
    <w:p>
      <w:pPr>
        <w:spacing w:after="0" w:line="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Distributions upon a Separation from Service</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If the Participant has a Separation from Service, each of the Participant’s Separation from Service sub-accounts shall be distributed or commence distribution as soon as administratively feasible, but no later than ninety (90) days following Participant’s Separation from Service. Distribution shall be made either in a lump-sum payment or in substantially equal annual installments, as defined in Section 6.4 below, over a period of up to ten (10) years as elected by the Participant.</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Substantially Equal Annual Installments</w:t>
      </w:r>
    </w:p>
    <w:p>
      <w:pPr>
        <w:spacing w:after="0" w:line="117" w:lineRule="exact"/>
        <w:rPr>
          <w:sz w:val="20"/>
          <w:szCs w:val="20"/>
          <w:color w:val="auto"/>
        </w:rPr>
      </w:pPr>
    </w:p>
    <w:p>
      <w:pPr>
        <w:jc w:val="both"/>
        <w:ind w:firstLine="656"/>
        <w:spacing w:after="0" w:line="256" w:lineRule="auto"/>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amount of the substantially equal payments of all vested amounts shall be determined by multiplying the Participant’s Account or sub-account by a fraction, the denominator of which in the first year of payment equals the number of years over which benefits are to be paid, and the numerator of which is one (1). The amounts of the payments for each succeeding year shall be determined by multiplying the Participant’s Account or sub-account as of the applicable anniversary of the payout by a fraction, the denominator of which equals the number of remaining years over which benefits are to be paid, and the numerator of which is one (1). Installment payments made pursuant to this Section 6.4 shall commence as soon as administratively feasible, in accordance with the terms of this plan following the distribution event, subject to Section 6.9 (Distributions to Specified Employees).</w:t>
      </w:r>
    </w:p>
    <w:p>
      <w:pPr>
        <w:spacing w:after="0" w:line="74" w:lineRule="exact"/>
        <w:rPr>
          <w:rFonts w:ascii="Arial" w:cs="Arial" w:eastAsia="Arial" w:hAnsi="Arial"/>
          <w:sz w:val="18"/>
          <w:szCs w:val="18"/>
          <w:color w:val="auto"/>
        </w:rPr>
      </w:pPr>
    </w:p>
    <w:p>
      <w:pPr>
        <w:ind w:firstLine="656"/>
        <w:spacing w:after="0" w:line="287" w:lineRule="auto"/>
        <w:tabs>
          <w:tab w:leader="none" w:pos="113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purposes of the Plan pursuant to Code Section 409A and regulations thereunder, a series of annual installments from a particular subaccount shall be considered a single payment.</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Distributions upon Death</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Upon the death of a Participant, all vested amounts credited to his or her Account shall be paid, as soon as administratively feasible following Participant’s date of death, to his or her beneficiary or beneficiaries, as determined under Article 7 hereof, in a lump sum, but no later than the time required by Code Section 409A.</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Changes to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Participant will be permitted to elect to change the form or timing of the distribution of the balance of his or her one or more sub-accounts within his or her Account, no more than twice with respect to such sub-account, to the extent permitted and in accordance with the requirements of Code Section 409A(a)(4)(C), including the requirement that (i) a any such election may not take effect until at least twelve</w:t>
      </w:r>
    </w:p>
    <w:p>
      <w:pPr>
        <w:spacing w:after="0" w:line="1" w:lineRule="exact"/>
        <w:rPr>
          <w:sz w:val="20"/>
          <w:szCs w:val="20"/>
          <w:color w:val="auto"/>
        </w:rPr>
      </w:pPr>
    </w:p>
    <w:p>
      <w:pPr>
        <w:jc w:val="both"/>
        <w:ind w:firstLine="8"/>
        <w:spacing w:after="0" w:line="254" w:lineRule="auto"/>
        <w:tabs>
          <w:tab w:leader="none" w:pos="37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months after such election is filed with the Employer, (ii) an election to further defer a distribution (other than a distribution upon death or an unforeseeable emergency) or change the form of payment must result in the first distribution subject to the election being made at least five (5) years after the previously elected date of distribution, and (iii) any such election affecting a distribution at a fixed date must be filed with the Employer at least twelve (12) months before the first scheduled payment under the previous fixed date distribution election. Any such election made pursuant to this Section 6.6 shall become irrevocable at the latest time permitted under Code Section 409A.</w:t>
      </w:r>
    </w:p>
    <w:p>
      <w:pPr>
        <w:spacing w:after="0" w:line="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Acceleration or Delay in Payments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To the extent permitted by Code Section 409A, and notwithstanding any provision of the Plan to the contrary, the Administrator, in its sole discretion, may elect to accelerate or delay the time of payment of a benefit owed to a Participant hereunder in accordance with Code Section 409A and the regulations promulgated thereunder.</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7"/>
          <w:szCs w:val="17"/>
          <w:b w:val="1"/>
          <w:bCs w:val="1"/>
          <w:color w:val="auto"/>
        </w:rPr>
        <w:t>Unforeseeable Emergency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Administrator may permit an early distribution of part or all of any deferred amounts; provided, however, that such distribution shall be made only if the Administrator, in its sole discretion, determines that the Participant, or the Participant’s beneficiary, has experienced an Unforeseeable Emergency. If an Unforeseeable Emergency is determined to exist, a distribution may not exceed the amounts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Upon a distribution to a Participant under this Section 6.9, the Participant’s Deferrals shall cease and no further Deferrals shall be made for such Participant for the remainder of the Plan Year.</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Distributions to Specified Employee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herein to the contrary, if any Participant is a Specified Employee upon a Separation from Service for any reason other than death, distributions of all vested amounts to such Participant shall commence on the date that is six (6) months and one (1) day following Separation from Service (or, if earlier, the date of death of the Participant). If distributions are to be made in annual installments, the second installment and all those thereafter will be made on the applicable anniversaries of the date on which the Participant’s initial installment was payable.</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8"/>
          <w:szCs w:val="18"/>
          <w:b w:val="1"/>
          <w:bCs w:val="1"/>
          <w:color w:val="auto"/>
        </w:rPr>
        <w:t>Minimum Distribution</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Notwithstanding any provision to the contrary, if the vested balance of a Participant’s sub-account at the time of a Separation from Service is $50,000 or less, then the Participant shall be paid his or her sub-accounts as a single lump sum.</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7"/>
          <w:szCs w:val="17"/>
          <w:b w:val="1"/>
          <w:bCs w:val="1"/>
          <w:color w:val="auto"/>
        </w:rPr>
        <w:t>Form of Payment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distributions shall be made in the form of cash.</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8"/>
          <w:szCs w:val="18"/>
          <w:b w:val="1"/>
          <w:bCs w:val="1"/>
          <w:color w:val="auto"/>
        </w:rPr>
        <w:t>Separation from Service for Cause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contained herein, in the event the Participant has an involuntary Separation from Service for Cause, Participant shall only receive the return of his or her Deferrals including the Participant’s allocable share of any earnings or losses credited on those Deferrals pursuant to Section 5.2 and subject to Section 6.9 (Distributions to Specified Employees) above. Upon a Participant’s Separation from Service for Cause, all amounts credited to Participant’s Account amounts relating to Employer Discretionary Contributions, including the Participant’s allocable share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earnings or losses credited on the foregoing pursuant to Section 5.2, above, shall be forfeited back to the Employer regardless of whether vested.</w:t>
      </w:r>
    </w:p>
    <w:p>
      <w:pPr>
        <w:spacing w:after="0" w:line="45" w:lineRule="exact"/>
        <w:rPr>
          <w:sz w:val="20"/>
          <w:szCs w:val="20"/>
          <w:color w:val="auto"/>
        </w:rPr>
      </w:pPr>
    </w:p>
    <w:p>
      <w:pPr>
        <w:ind w:left="4260"/>
        <w:spacing w:after="0"/>
        <w:tabs>
          <w:tab w:leader="none" w:pos="552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Beneficiaries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Beneficiaries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Participant may from time to time designate one or more persons (who may be any one or more members of such person’s family or other persons, administrators, trusts, foundations or other entities) as his or her beneficiary under the Plan, provided however, that a married Participant that designates someone other than his or her spouse must have his or her spouse’s consent in writing witnessed by a Plan representative or notary public. Such designation shall be made in a form prescribed by the Administrator. If the beneficiary does not survive the Participant (or is otherwise unavailable to receive payment) or if no beneficiary is validly designated, then the amounts payable under this Plan shall be paid to the Participant’s surviving spouse, or if no surviving spouse to the Participant’s estate. If more than one person is the beneficiary of a deceased Participant, each such person shall receive a pro rata share of any death benefit payable unless otherwise designated in the applicable form. If a beneficiary who is receiving benefits dies, all benefits that were payable to such beneficiary shall then be payable to the estate of that beneficiary.</w:t>
      </w:r>
    </w:p>
    <w:p>
      <w:pPr>
        <w:spacing w:after="0" w:line="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Lost Beneficiary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Participants and beneficiaries shall have the obligation to keep the Administrator informed of their current address until such time as all benefits due have been paid. If a Participant or beneficiary cannot be located by the Administrator exercising due diligence, then, in its sole discretion, the Administrator may presume that the Participant or beneficiary is deceased for purposes of the Plan and all unpaid amounts (net of due diligence expenses) owed to the Participant or beneficiary shall be paid accordingly. Any such presumption of death shall be final, conclusive and binding on all parties.</w:t>
      </w:r>
    </w:p>
    <w:p>
      <w:pPr>
        <w:spacing w:after="0" w:line="71" w:lineRule="exact"/>
        <w:rPr>
          <w:sz w:val="20"/>
          <w:szCs w:val="20"/>
          <w:color w:val="auto"/>
        </w:rPr>
      </w:pPr>
    </w:p>
    <w:p>
      <w:pPr>
        <w:ind w:left="4460"/>
        <w:spacing w:after="0"/>
        <w:tabs>
          <w:tab w:leader="none" w:pos="574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Funding</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Prohibition against Funding</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Should any investment be acquired in connection with the liabilities assumed under this Plan, it is expressly understood and agreed that the Participants and their beneficiaries shall not have any right with respect to, or claim against, such assets nor shall any such purchase be construed to create a trust of any kind or a fiduciary relationship between the Employer and the Participants, their beneficiaries or any other person. Any such assets shall be and remain a part of the general, unpledged, unrestricted assets of the Employer, subject to the claims of its general creditors. It is the express intention of the parties hereto that this arrangement shall be unfunded for tax purposes and for purposes of Title I of the ERISA. Each Participant and beneficiary shall be required to look to the provisions of this Plan and to the Employer itself for enforcement of any and all benefits due under this Plan, and to the extent any such person acquires a right to receive payment under this Plan, such right shall be no greater than the right of any unsecured general creditor of the Employer. The Employer or the Trust shall be designated the owner and beneficiary of any investment acquired in connection with its obligation under this Plan.</w:t>
      </w:r>
    </w:p>
    <w:p>
      <w:pPr>
        <w:spacing w:after="0" w:line="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Deposits in Trust</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Notwithstanding Section 8.1, or any other provision of this Plan to the contrary, the Employer may deposit into the Trust any amounts it deems appropriate to pay the benefits under this Plan. The amounts so deposited may include all contributions made pursuant to a Deferral Election by a Participant, and any Employer Discretionary Contributions.</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Withholding of Employee Contributions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Administrator is authorized to make any and all necessary arrangements with the Employer in order to withhold the Participant’s Deferrals under Section 3.1 hereof from his or her Compensation. The Administrator shall determine the amount and timing of such withholding.</w:t>
      </w:r>
    </w:p>
    <w:p>
      <w:pPr>
        <w:spacing w:after="0" w:line="63" w:lineRule="exact"/>
        <w:rPr>
          <w:sz w:val="20"/>
          <w:szCs w:val="20"/>
          <w:color w:val="auto"/>
        </w:rPr>
      </w:pPr>
    </w:p>
    <w:p>
      <w:pPr>
        <w:ind w:left="3860"/>
        <w:spacing w:after="0"/>
        <w:tabs>
          <w:tab w:leader="none" w:pos="514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Claims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General</w:t>
      </w:r>
    </w:p>
    <w:p>
      <w:pPr>
        <w:spacing w:after="0" w:line="117" w:lineRule="exact"/>
        <w:rPr>
          <w:sz w:val="20"/>
          <w:szCs w:val="20"/>
          <w:color w:val="auto"/>
        </w:rPr>
      </w:pPr>
    </w:p>
    <w:p>
      <w:pPr>
        <w:jc w:val="both"/>
        <w:ind w:right="20" w:firstLine="647"/>
        <w:spacing w:after="0" w:line="268" w:lineRule="auto"/>
        <w:rPr>
          <w:sz w:val="20"/>
          <w:szCs w:val="20"/>
          <w:color w:val="auto"/>
        </w:rPr>
      </w:pPr>
      <w:r>
        <w:rPr>
          <w:rFonts w:ascii="Arial" w:cs="Arial" w:eastAsia="Arial" w:hAnsi="Arial"/>
          <w:sz w:val="18"/>
          <w:szCs w:val="18"/>
          <w:color w:val="auto"/>
        </w:rPr>
        <w:t>If a Participant, beneficiary or his or her representative is denied all or a portion of an expected Plan benefit for any reason and the Participant, beneficiary or his or her representative desires to dispute the decision of the Administrator, he or she must file a written notification of his or her claim with the Administrator.</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Claims Procedure</w:t>
      </w:r>
    </w:p>
    <w:p>
      <w:pPr>
        <w:spacing w:after="0" w:line="11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Upon receipt of any written claim for benefits, the Administrator shall be notified and shall consider the claim presented. If any Participant or beneficiary claims to be entitled to benefits under the Plan and the Administrator determines that the claim should be denied in whole or in part, the Administrator shall, in writing, notify such claimant within ninety (90) days (forty-five (45) days if the claim is on account of Disability) of receipt of the claim that the claim has been denied. The Administrator may extend the period of time for making a determination with respect to any claim for a period of up to ninety (90) days (thirty (30) days if the claim is on account of Disability), provided that the Administrator determines that such an extension is necessary because of special circumstances and notifies the claimant, prior to the expiration of the initial ninety (90) day (or forty-five (45) day) period, of the circumstances requiring the extension of time and the date by which the Plan expects to render a decision. With respect to a claim on account of Disability, if the administrator determines prior to the end of the first 30-day extension period that, due to matters beyond the control of the Plan, a decision cannot be rendered within that extension period, the period for making the determination may be extended for up to an additional 30 days, provided that the Administrator notifies the Participant, prior to the expiration of the first 30-day extension period, of the circumstances requiring the extension and the date as of which the Plan expects to render a decision; in the case of such extension, the notice of extension shall specifically explain the standards on which entitlement to a benefit is based, the unresolved issues that prevent a decision on the claim, and the additional information needed to resolve those issues, and the Participant shall be afforded at least 45 days within which to provide the specified information.</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claim is denied to any extent by the Administrator, the Administrator shall furnish the claimant with a written notice setting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w:t>
      </w:r>
    </w:p>
    <w:p>
      <w:pPr>
        <w:spacing w:after="0" w:line="99"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specific reason or reasons for denial of the claim;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 specific reference to the Plan provisions on which the denial is based;</w:t>
      </w:r>
    </w:p>
    <w:p>
      <w:pPr>
        <w:spacing w:after="0" w:line="117" w:lineRule="exact"/>
        <w:rPr>
          <w:rFonts w:ascii="Arial" w:cs="Arial" w:eastAsia="Arial" w:hAnsi="Arial"/>
          <w:sz w:val="18"/>
          <w:szCs w:val="18"/>
          <w:color w:val="auto"/>
        </w:rPr>
      </w:pPr>
    </w:p>
    <w:p>
      <w:pPr>
        <w:ind w:right="120" w:firstLine="655"/>
        <w:spacing w:after="0" w:line="287" w:lineRule="auto"/>
        <w:tabs>
          <w:tab w:leader="none" w:pos="128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44" w:lineRule="exact"/>
        <w:rPr>
          <w:rFonts w:ascii="Arial" w:cs="Arial" w:eastAsia="Arial" w:hAnsi="Arial"/>
          <w:sz w:val="18"/>
          <w:szCs w:val="18"/>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 explanation of the provisions of this Article.</w:t>
      </w:r>
    </w:p>
    <w:p>
      <w:pPr>
        <w:spacing w:after="0" w:line="117" w:lineRule="exact"/>
        <w:rPr>
          <w:sz w:val="20"/>
          <w:szCs w:val="20"/>
          <w:color w:val="auto"/>
        </w:rPr>
      </w:pPr>
    </w:p>
    <w:p>
      <w:pPr>
        <w:ind w:right="20" w:firstLine="647"/>
        <w:spacing w:after="0" w:line="287" w:lineRule="auto"/>
        <w:rPr>
          <w:sz w:val="20"/>
          <w:szCs w:val="20"/>
          <w:color w:val="auto"/>
        </w:rPr>
      </w:pPr>
      <w:r>
        <w:rPr>
          <w:rFonts w:ascii="Arial" w:cs="Arial" w:eastAsia="Arial" w:hAnsi="Arial"/>
          <w:sz w:val="18"/>
          <w:szCs w:val="18"/>
          <w:color w:val="auto"/>
        </w:rPr>
        <w:t>In the case of a claim denial with respect to Disability benefits, the Administrator’s written notice also shall set forth, and shall be provided in a culturally and linguistically appropriate manner:</w:t>
      </w:r>
    </w:p>
    <w:p>
      <w:pPr>
        <w:spacing w:after="0" w:line="45" w:lineRule="exact"/>
        <w:rPr>
          <w:sz w:val="20"/>
          <w:szCs w:val="20"/>
          <w:color w:val="auto"/>
        </w:rPr>
      </w:pPr>
    </w:p>
    <w:p>
      <w:pPr>
        <w:ind w:right="160" w:firstLine="655"/>
        <w:spacing w:after="0" w:line="259" w:lineRule="auto"/>
        <w:tabs>
          <w:tab w:leader="none" w:pos="128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discussion of the decision, including an explanation of the basis for disagreeing with or not following: (i) the views presented by the claimant to the plan of health care professionals treating the claimant and vocational professionals who evaluated the claimant; (ii) the views of medical or vocational experts whose advice was obtained on behalf of the plan in connection with a claimant's adverse benefit determination, without regard to whether the advice was relied upon in making the benefit determination; and (iii) a disability determination regarding the claimant presented by the claimant to the plan made by the Social Security Administration;</w:t>
      </w:r>
    </w:p>
    <w:p>
      <w:pPr>
        <w:spacing w:after="0" w:line="71" w:lineRule="exact"/>
        <w:rPr>
          <w:rFonts w:ascii="Arial" w:cs="Arial" w:eastAsia="Arial" w:hAnsi="Arial"/>
          <w:sz w:val="18"/>
          <w:szCs w:val="18"/>
          <w:color w:val="auto"/>
        </w:rPr>
      </w:pPr>
    </w:p>
    <w:p>
      <w:pPr>
        <w:ind w:right="320" w:firstLine="655"/>
        <w:spacing w:after="0" w:line="268" w:lineRule="auto"/>
        <w:tabs>
          <w:tab w:leader="none" w:pos="128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20"/>
          </w:cols>
          <w:pgMar w:left="320" w:top="1440" w:right="659" w:bottom="1440" w:gutter="0" w:footer="0" w:header="0"/>
        </w:sectPr>
      </w:pPr>
    </w:p>
    <w:bookmarkStart w:id="293" w:name="page294"/>
    <w:bookmarkEnd w:id="293"/>
    <w:p>
      <w:pPr>
        <w:spacing w:after="0" w:line="85" w:lineRule="exact"/>
        <w:rPr>
          <w:sz w:val="20"/>
          <w:szCs w:val="20"/>
          <w:color w:val="auto"/>
        </w:rPr>
      </w:pPr>
    </w:p>
    <w:p>
      <w:pPr>
        <w:ind w:right="40" w:firstLine="655"/>
        <w:spacing w:after="0" w:line="268" w:lineRule="auto"/>
        <w:tabs>
          <w:tab w:leader="none" w:pos="128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62" w:lineRule="exact"/>
        <w:rPr>
          <w:rFonts w:ascii="Arial" w:cs="Arial" w:eastAsia="Arial" w:hAnsi="Arial"/>
          <w:sz w:val="18"/>
          <w:szCs w:val="18"/>
          <w:color w:val="auto"/>
        </w:rPr>
      </w:pPr>
    </w:p>
    <w:p>
      <w:pPr>
        <w:ind w:right="220" w:firstLine="655"/>
        <w:spacing w:after="0" w:line="268" w:lineRule="auto"/>
        <w:tabs>
          <w:tab w:leader="none" w:pos="128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reference to paragraph (m)(8) of 29 CFR § 2560.503-1.</w:t>
      </w:r>
    </w:p>
    <w:p>
      <w:pPr>
        <w:spacing w:after="0" w:line="63" w:lineRule="exact"/>
        <w:rPr>
          <w:sz w:val="20"/>
          <w:szCs w:val="20"/>
          <w:color w:val="auto"/>
        </w:rPr>
      </w:pPr>
    </w:p>
    <w:p>
      <w:pPr>
        <w:jc w:val="both"/>
        <w:ind w:right="20" w:firstLine="647"/>
        <w:spacing w:after="0" w:line="287" w:lineRule="auto"/>
        <w:rPr>
          <w:sz w:val="20"/>
          <w:szCs w:val="20"/>
          <w:color w:val="auto"/>
        </w:rPr>
      </w:pPr>
      <w:r>
        <w:rPr>
          <w:rFonts w:ascii="Arial" w:cs="Arial" w:eastAsia="Arial" w:hAnsi="Arial"/>
          <w:sz w:val="18"/>
          <w:szCs w:val="18"/>
          <w:color w:val="auto"/>
        </w:rPr>
        <w:t>Under no circumstances shall any failure by the Administrator to comply with the provisions of this Section 9.2 be considered to constitute an allowance of the claimant’s claim.</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Right of Appeal</w:t>
      </w:r>
    </w:p>
    <w:p>
      <w:pPr>
        <w:spacing w:after="0" w:line="117" w:lineRule="exact"/>
        <w:rPr>
          <w:sz w:val="20"/>
          <w:szCs w:val="20"/>
          <w:color w:val="auto"/>
        </w:rPr>
      </w:pPr>
    </w:p>
    <w:p>
      <w:pPr>
        <w:jc w:val="both"/>
        <w:ind w:firstLine="647"/>
        <w:spacing w:after="0" w:line="262" w:lineRule="auto"/>
        <w:rPr>
          <w:sz w:val="20"/>
          <w:szCs w:val="20"/>
          <w:color w:val="auto"/>
        </w:rPr>
      </w:pPr>
      <w:r>
        <w:rPr>
          <w:rFonts w:ascii="Arial" w:cs="Arial" w:eastAsia="Arial" w:hAnsi="Arial"/>
          <w:sz w:val="18"/>
          <w:szCs w:val="18"/>
          <w:color w:val="auto"/>
        </w:rPr>
        <w:t>A claimant who has a claim denied wholly or partially under Section 9.2 may appeal to the Administrator for reconsideration of that claim. A request for reconsideration under this Section must be submitted to the Administrator by written notice within sixty (60) days (one-hundred and eighty (180) days if the claim is on account of Disability) after receipt by the claimant of the notice of denial under Section 9.2. The claimant may submit written comments, documents, records, and other information relating to the claim for benefits.</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color w:val="auto"/>
        </w:rPr>
        <w:t>Review of Appeal</w:t>
      </w:r>
    </w:p>
    <w:p>
      <w:pPr>
        <w:spacing w:after="0" w:line="11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Upon receipt of an appeal the Administrator shall consider the appeal, taking into account all comments, documents, records, and other information submitted by the claimant relating to the claim, without regard to whether such information was submitted or considered in the initial benefit determination. Such consideration may include a hearing of the parties involved, if the Administrator feels such a hearing is necessary. The claimant shall be provided, upon request and free of charge, reasonable access to, and copies of, all documents, records, and other information relevant to the claimant’s claim for benefits.</w:t>
      </w:r>
    </w:p>
    <w:p>
      <w:pPr>
        <w:spacing w:after="0" w:line="71"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If the claim is on account of Disability, then before the Administrator shall issue an adverse benefit determination on appeal, the Administrator shall provide the claimant, free of charge, with (A) any new or additional evidence considered, relied upon, or generated by the plan, insurer, or other person making the benefit determination (or at the direction of the plan, insurer or such other person) in connection with the claim; such evidence must be provided as soon as possible and sufficiently in advance of the date on which the notice of adverse benefit determination on review is required to be provided under paragraph (i) of 29 CFR § 2560.503-1 to give the claimant a reasonable opportunity to respond prior to that date, and (B) the rationale, which must be provided as soon as possible and sufficiently in advance of the date on which the notice of adverse benefit determination on review is required to be provided under paragraph (i) of 29 CFR § 2560.503-1 to give the claimant a reasonable opportunity to respond prior to that date.</w:t>
      </w:r>
    </w:p>
    <w:p>
      <w:pPr>
        <w:spacing w:after="0" w:line="7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After consideration of the merits of the appeal, the Administrator shall issue a written decision, which shall be binding on all parties. The decision shall specifically state its reasons and pertinent Plan provisions on which it relies. The Administrator’s decision shall be issued within sixty (60) days (forty-five (45) days if the claim is on account of Disability) after the appeal is filed, except that the Administrator may extend the period of time for making a determination with respect to any claim for a period of up one-hundred and twenty (120) days (ninety (90) days if the claim is on account of Disability), provided that the Administrator determines that such an extension is necessary because of special circumstances and notifies the claimant, prior to the expiration of the initial one-hundred and twenty (120) day (or, if the claim is on account of Disability, initial ninety (90) day) period, of the circumstances requiring the extension of time and the date by which the Plan expects to render a decision. Under no circumstances shall any failure by the Administrator to comply with the provisions of this Section 9.4 be considered to constitute an allowance of the claimant’s claim. In the case of a claim on account of Disability: (i) the review of the denied claim shall be conducted by an employee who is neither the individual who made the initial determination or a subordinate of such person; and (ii) no deference shall be given to the initial determination. For issues involving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20"/>
          </w:cols>
          <w:pgMar w:left="320" w:top="1440" w:right="659" w:bottom="1440" w:gutter="0" w:footer="0" w:header="0"/>
        </w:sectPr>
      </w:pPr>
    </w:p>
    <w:bookmarkStart w:id="294" w:name="page295"/>
    <w:bookmarkEnd w:id="294"/>
    <w:p>
      <w:pPr>
        <w:spacing w:after="0" w:line="8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judgment, the employee must consult with an independent health care professional who may not be the health care professional who rendered the initial claim.</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Designation</w:t>
      </w:r>
    </w:p>
    <w:p>
      <w:pPr>
        <w:spacing w:after="0" w:line="117" w:lineRule="exact"/>
        <w:rPr>
          <w:sz w:val="20"/>
          <w:szCs w:val="20"/>
          <w:color w:val="auto"/>
        </w:rPr>
      </w:pPr>
    </w:p>
    <w:p>
      <w:pPr>
        <w:ind w:right="340" w:firstLine="647"/>
        <w:spacing w:after="0" w:line="287" w:lineRule="auto"/>
        <w:rPr>
          <w:sz w:val="20"/>
          <w:szCs w:val="20"/>
          <w:color w:val="auto"/>
        </w:rPr>
      </w:pPr>
      <w:r>
        <w:rPr>
          <w:rFonts w:ascii="Arial" w:cs="Arial" w:eastAsia="Arial" w:hAnsi="Arial"/>
          <w:sz w:val="18"/>
          <w:szCs w:val="18"/>
          <w:color w:val="auto"/>
        </w:rPr>
        <w:t>The Administrator may designate any other person of its choosing to make any determination otherwise required under this Article. Any person so designated shall have the same authority and discretion granted to the Administrator hereunder.</w:t>
      </w:r>
    </w:p>
    <w:p>
      <w:pPr>
        <w:spacing w:after="0" w:line="45" w:lineRule="exact"/>
        <w:rPr>
          <w:sz w:val="20"/>
          <w:szCs w:val="20"/>
          <w:color w:val="auto"/>
        </w:rPr>
      </w:pPr>
    </w:p>
    <w:p>
      <w:pPr>
        <w:ind w:left="4000"/>
        <w:spacing w:after="0"/>
        <w:tabs>
          <w:tab w:leader="none" w:pos="528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General Provisions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Administrator</w:t>
      </w:r>
    </w:p>
    <w:p>
      <w:pPr>
        <w:spacing w:after="0" w:line="117" w:lineRule="exact"/>
        <w:rPr>
          <w:sz w:val="20"/>
          <w:szCs w:val="20"/>
          <w:color w:val="auto"/>
        </w:rPr>
      </w:pPr>
    </w:p>
    <w:p>
      <w:pPr>
        <w:jc w:val="both"/>
        <w:ind w:firstLine="656"/>
        <w:spacing w:after="0" w:line="256" w:lineRule="auto"/>
        <w:tabs>
          <w:tab w:leader="none" w:pos="109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Administrator is expressly empowered to limit the amount of Compensation that may be deferred; to deposit amounts into the Trust in accordance with Section 8.2 hereof; to interpret the Plan, and to determine all questions arising in the administration, interpretation and application of the Plan; to employ actuaries, accountants, counsel, and other persons it deems necessary in connection with the administration of the Plan; to request any information from the Employer it deems necessary to determine whether the Employer would be considered insolvent or subject to a proceeding in bankruptcy; and to take all other necessary and proper actions to fulfill its duties as Administrator. Any interpretation by the Administrator of any term or condition of the Plan or any related document shall be conclusive and binding on all persons and be given the maximum possible deference allowed by law.</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Administrator shall not be liable for any actions by it hereunder.</w:t>
      </w:r>
    </w:p>
    <w:p>
      <w:pPr>
        <w:spacing w:after="0" w:line="117" w:lineRule="exact"/>
        <w:rPr>
          <w:rFonts w:ascii="Arial" w:cs="Arial" w:eastAsia="Arial" w:hAnsi="Arial"/>
          <w:sz w:val="18"/>
          <w:szCs w:val="18"/>
          <w:color w:val="auto"/>
        </w:rPr>
      </w:pPr>
    </w:p>
    <w:p>
      <w:pPr>
        <w:jc w:val="both"/>
        <w:ind w:firstLine="656"/>
        <w:spacing w:after="0" w:line="259" w:lineRule="auto"/>
        <w:tabs>
          <w:tab w:leader="none" w:pos="110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Administrator shall be indemnified and saved harmless by the Employer from and against all personal liability to which it may be subject by reason of any act done or omitted to be done in its official capacity as Administrator in good faith in the administration of the Plan and Trust, including all expenses reasonably incurred in its defense in the event the Employer fails to provide such defense upon the request of the Administrator. The Administrator is relieved of all responsibility in connection with its duties hereunder to the fullest extent permitted by law, short of breach of duty to the beneficiaries.</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No Assignment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Benefits or payments under this Plan shall not be subject in any manner to anticipation, alienation, sale, transfer, assignment, pledge, encumbrance, attachment, or garnishment by creditors of the Participant or the Participant’s beneficiary, whether voluntary or involuntary, and any attempt to so anticipate, alienate, sell, transfer, assign, pledge, encumber, attach or garnish the same shall not be valid, nor shall any such benefit or payment be in any way liable for or subject to the debts, contracts, liabilities, engagement or torts of any Participant or beneficiary, or any other person entitled to such benefit or payment pursuant to the terms of this Plan, except to such extent as may be required by law. If any Participant or beneficiary or any other person entitled to a benefit or payment pursuant to the terms of this Plan becomes bankrupt or attempts to anticipate, alienate, sell, transfer, assign, pledge, encumber, attach or garnish any benefit or payment under this Plan, in whole or in part, or if any attempt is made to subject any such benefit or payment, in whole or in part, to the debts, contracts, liabilities, engagements or torts of the Participant or beneficiary or any other person entitled to any such benefit or payment pursuant to the terms of this Plan, then such benefit or payment, in the discretion of the Administrator, shall cease and terminate with respect to such Participant or beneficiary, or any other such person.</w:t>
      </w:r>
    </w:p>
    <w:p>
      <w:pPr>
        <w:spacing w:after="0" w:line="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No Employment Rights</w:t>
      </w:r>
    </w:p>
    <w:p>
      <w:pPr>
        <w:spacing w:after="0" w:line="11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Participation in this Plan shall not be construed to confer upon any Participant the legal right to be retained in the employ of the Employer, or give a Participant or beneficiary, or any other person, any right to any payment whatsoever, except to the extent of the benefits provided for hereunder. Each Participant shall remain subject to discharge to the same extent as if this Plan had never been adopted.</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color w:val="auto"/>
        </w:rPr>
        <w:t>Incompetence</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If the Administrator determines that any person to whom a benefit is payable under this Plan is incompetent by reason of physical or mental disability, the Administrator shall have the power to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payments becoming due to such person to be made to another for his or her benefit without responsibility of the Administrator or the Employer to see to the application of such payments. Any payment made pursuant to such power shall, as to such payment, operate as a complete discharge of the Employer, the Administrator and the Trustee.</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Identity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at any time, any doubt exists as to the identity of any person entitled to any payment hereunder or the amount or time of such payment, the Administrator shall be entitled to hold such sum until such identity or amount or time is determined or until an order of a court of competent jurisdiction is obtained. The Administrator shall also be entitled to pay such sum into court in accordance with the appropriate rules of law. Any expenses incurred by the Employer, Administrator, and Trust incident to such proceeding or litigation shall be charged against the Account of the affected Participant.</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color w:val="auto"/>
        </w:rPr>
        <w:t>Other Benefits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benefits of each Participant or beneficiary hereunder shall be in addition to any benefits paid or payable to or on account of the Participant or beneficiary under any other pension, disability, annuity or retirement plan or policy whatsoever.</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b w:val="1"/>
          <w:bCs w:val="1"/>
          <w:color w:val="auto"/>
        </w:rPr>
        <w:t>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expenses incurred in the administration of the Plan, whether incurred by the Employer or the Plan, shall be paid by the Employer.</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8"/>
          <w:szCs w:val="18"/>
          <w:b w:val="1"/>
          <w:bCs w:val="1"/>
          <w:color w:val="auto"/>
        </w:rPr>
        <w:t>Insolvency</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Should the Employer be considered insolvent (as defined by the Trust), the Employer, through its Committee and chief executive officer, shall give immediate written notice of such to the Administrator of the Plan and the Trustee. Upon receipt of such notice, the Administrator or Trustee shall cease to make any payments to Participants who were Employees of the Employer or their beneficiaries and shall hold any and all assets attributable to the Employer for the benefit of the general creditors of the Employer.</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7"/>
          <w:szCs w:val="17"/>
          <w:b w:val="1"/>
          <w:bCs w:val="1"/>
          <w:color w:val="auto"/>
        </w:rPr>
        <w:t>Amendment or Modification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Employer may, at any time, in its sole discretion, amend or modify the Plan in whole or in part, except that no such amendment or modification shall have any retroactive effect to reduce any amounts allocated to a Participant’s Accounts, and provided that such amendment or modification complies with Code Section 409A and related regulations thereunder.</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7"/>
          <w:szCs w:val="17"/>
          <w:b w:val="1"/>
          <w:bCs w:val="1"/>
          <w:color w:val="auto"/>
        </w:rPr>
        <w:t>Plan Suspension</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Employer further reserves the right to suspend the Plan in whole or in part, except that no such suspension shall have any retroactive effect to reduce any amounts allocated to a Participant’s Accounts, and provided that the distribution of the vested Participant Accounts shall not be accelerated but shall be paid at such time and in such manner as determined under the terms of the Plan immediately prior to suspension as if the Plan had not been suspended.</w:t>
      </w:r>
    </w:p>
    <w:p>
      <w:pPr>
        <w:spacing w:after="0" w:line="6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Plan Termination and Accelerated Distribution Under 409A</w:t>
      </w:r>
    </w:p>
    <w:p>
      <w:pPr>
        <w:spacing w:after="0" w:line="11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Employer reserves the discretion to terminate the Plan, in whole or in part, at any time and for any reason. As termination of the Plan shall be done in compliance with the requirements of Code Section 409A.</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10.12</w:t>
        <w:tab/>
        <w:t>Construction</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All questions of interpretation, construction or application arising under or concerning the terms of this Plan shall be decided by the Administrator, in its sole and final discretion, whose decision shall be final, binding and conclusive upon all persons.</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7"/>
          <w:szCs w:val="17"/>
          <w:b w:val="1"/>
          <w:bCs w:val="1"/>
          <w:color w:val="auto"/>
        </w:rPr>
        <w:t>Governing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Plan shall be governed by, construed and administered in accordance with the applicable provisions of ERISA, Code Section 409A, and any other applicable federal law, provided, however, that to the extent not preempted by federal law this Plan shall be governed by, construed and administered under the laws of the State of Nevada, other than its laws respecting choice of law.</w:t>
      </w:r>
    </w:p>
    <w:p>
      <w:pPr>
        <w:spacing w:after="0" w:line="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7"/>
          <w:szCs w:val="17"/>
          <w:b w:val="1"/>
          <w:bCs w:val="1"/>
          <w:color w:val="auto"/>
        </w:rPr>
        <w:t>Severability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of this Plan is held invalid or unenforceable, its invalidity or unenforceability shall not affect any other provision of this Plan and this Plan shall be construed and enforced as if such provision had not been included therein. If the inclusion of any Employee (or Employees) as a Participant under this Plan would cause the Plan to fail to comply with the requirements of sections 201(2), 301(a)(3) and 401(a)(1) of ERISA, then the Plan shall be severed with respect to such Employee or Employees, who shall be considered to be participating in a separate arrangement.</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7"/>
          <w:szCs w:val="17"/>
          <w:b w:val="1"/>
          <w:bCs w:val="1"/>
          <w:color w:val="auto"/>
        </w:rPr>
        <w:t>Headings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Article headings contained herein are inserted only as a matter of convenience and for reference and in no way define, limit, enlarge or describe the scope or intent of this Plan nor in any way shall they affect this Plan or the construction of any provision thereof.</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7"/>
          <w:szCs w:val="17"/>
          <w:b w:val="1"/>
          <w:bCs w:val="1"/>
          <w:color w:val="auto"/>
        </w:rPr>
        <w:t>Terms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Capitalized terms shall have meanings as defined herein. Singular nouns shall be read as plural, masculine pronouns shall be read as feminine, and vice versa, as appropriate.</w:t>
      </w:r>
    </w:p>
    <w:p>
      <w:pPr>
        <w:spacing w:after="0" w:line="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7"/>
          <w:szCs w:val="17"/>
          <w:b w:val="1"/>
          <w:bCs w:val="1"/>
          <w:color w:val="auto"/>
        </w:rPr>
        <w:t>Code Section 409A</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any provision of this Plan violates Code Section 409A, the regulations promulgated thereunder, regulatory interpretations, announcements or mandatory judicial precedent construing Code Section 409A (collectively “Applicable Law”), then such provision shall be void and have no effect. At all times, this Plan shall be interpreted in such manner that it complies with or is exempt from Code Section 409A, and complies with Applicable Law. If any payment made under this Agreement is subject to payment during a specified time frame (e.g., within ninety (90) days of a termination of employment) as opposed to payment on a specific payment date (e.g., January 1, 2026), the Company, in its sole discretion, will determine the exact date upon which such payment will be made during the specified payment period. Notwithstanding any provision of this Plan to the contrary, the Company may adopt such amendments to this Plan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payable under this Plan from Code Section 409A, and/or (ii) comply with the requirements of Code Section 409A, provided, however, that this Section 10.9 does not, and shall not be construed so as to, create any obligation on the part of the Company to adopt any such amendments, policies or procedures or to take any other such actions or to create any liability on the part of the Company for any failure to do so. Each Participant shall be solely liable for any taxes imposed on the Participant under or by operation of Code Section 409A, and in no event shall the Company, its affiliates or any of their respective officers, directors, employees, representatives or advisors be liable for any taxes, penalties or interest imposed under or by operation of Code Section 409A.</w:t>
      </w:r>
    </w:p>
    <w:p>
      <w:pPr>
        <w:spacing w:after="0" w:line="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7"/>
          <w:szCs w:val="17"/>
          <w:b w:val="1"/>
          <w:bCs w:val="1"/>
          <w:color w:val="auto"/>
        </w:rPr>
        <w:t>No Guarantee of Tax Consequences</w:t>
      </w:r>
    </w:p>
    <w:p>
      <w:pPr>
        <w:spacing w:after="0" w:line="11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While the Plan is intended to provide tax deferral for Participants, the Plan is not a guarantee that the intended tax deferral or any other tax result or treatment will be achieved. Participants are solely responsible and liable for the satisfaction of all taxes and penalties that may arise in connection with this Plan (including any taxes arising under Section 409A of the Code). Neither the Employer nor any of its directors, officers or employees shall have any obligation to indemnify or otherwise hold any Participant harmless from any such taxes.</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7"/>
          <w:szCs w:val="17"/>
          <w:b w:val="1"/>
          <w:bCs w:val="1"/>
          <w:color w:val="auto"/>
        </w:rPr>
        <w:t>Limitation on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Any Participant or Beneficiary who disagrees with a denial of his appealed claim under Article 9 of this Plan must file any complaint in a federal District Court to dispute such determination (a) within three (3) years of the earlier of the date on which such claim for benefits first accrued or arose under the terms of the Plan, or (b) within one (1) year after the such claim was denied upon appeal, or deemed denied under Article 9 hereof.</w:t>
      </w:r>
    </w:p>
    <w:p>
      <w:pPr>
        <w:spacing w:after="0" w:line="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10.20</w:t>
      </w:r>
      <w:r>
        <w:rPr>
          <w:sz w:val="20"/>
          <w:szCs w:val="20"/>
          <w:color w:val="auto"/>
        </w:rPr>
        <w:tab/>
      </w:r>
      <w:r>
        <w:rPr>
          <w:rFonts w:ascii="Arial" w:cs="Arial" w:eastAsia="Arial" w:hAnsi="Arial"/>
          <w:sz w:val="17"/>
          <w:szCs w:val="17"/>
          <w:b w:val="1"/>
          <w:bCs w:val="1"/>
          <w:color w:val="auto"/>
        </w:rPr>
        <w:t>Right of Setoff</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Employer may, to the extent permitted by applicable law and Code Section 409A, deduct from and setoff against any amounts payable to a Participant from this Plan such amounts as may be owed by a Participant to the Employer, although the Participant shall remain liable for any part of the Participant’s payment obligation not satisfied through such deduction and setoff. By electing to participate in the Plan and deferring compensation hereunder, the Participant agrees to any deduction or setoff under this Section 10.20, which is allowed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85" w:lineRule="exact"/>
        <w:rPr>
          <w:sz w:val="20"/>
          <w:szCs w:val="20"/>
          <w:color w:val="auto"/>
        </w:rPr>
      </w:pPr>
    </w:p>
    <w:p>
      <w:pPr>
        <w:ind w:firstLine="887"/>
        <w:spacing w:after="0" w:line="287" w:lineRule="auto"/>
        <w:rPr>
          <w:sz w:val="20"/>
          <w:szCs w:val="20"/>
          <w:color w:val="auto"/>
        </w:rPr>
      </w:pPr>
      <w:r>
        <w:rPr>
          <w:rFonts w:ascii="Arial" w:cs="Arial" w:eastAsia="Arial" w:hAnsi="Arial"/>
          <w:sz w:val="18"/>
          <w:szCs w:val="18"/>
          <w:color w:val="auto"/>
        </w:rPr>
        <w:t>IN WITNESS WHEREOF, Affirm Holdings, Inc. has caused this instrument to be executed by its duly authorized officer, effective as of this 14th day of November, 2025.</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Affirm Holdings,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-7620</wp:posOffset>
            </wp:positionV>
            <wp:extent cx="901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12934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40"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50" w:lineRule="auto"/>
        <w:tabs>
          <w:tab w:leader="none" w:pos="131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4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300" w:name="page301"/>
    <w:bookmarkEnd w:id="300"/>
    <w:p>
      <w:pPr>
        <w:ind w:left="1280" w:firstLine="166"/>
        <w:spacing w:after="0" w:line="282" w:lineRule="auto"/>
        <w:tabs>
          <w:tab w:leader="none" w:pos="192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5, 2026</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34290</wp:posOffset>
            </wp:positionV>
            <wp:extent cx="25114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40" w:top="1012" w:right="41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 O’Hare, certify that:</w:t>
      </w:r>
    </w:p>
    <w:p>
      <w:pPr>
        <w:spacing w:after="0" w:line="252" w:lineRule="exact"/>
        <w:rPr>
          <w:sz w:val="20"/>
          <w:szCs w:val="20"/>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74" w:lineRule="auto"/>
        <w:tabs>
          <w:tab w:leader="none" w:pos="131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4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302" w:name="page303"/>
    <w:bookmarkEnd w:id="302"/>
    <w:p>
      <w:pPr>
        <w:ind w:left="1280" w:firstLine="166"/>
        <w:spacing w:after="0" w:line="282" w:lineRule="auto"/>
        <w:tabs>
          <w:tab w:leader="none" w:pos="192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Date: February 5, 2026</w:t>
      </w:r>
      <w:r>
        <w:rPr>
          <w:sz w:val="20"/>
          <w:szCs w:val="20"/>
          <w:color w:val="auto"/>
        </w:rPr>
        <w:tab/>
      </w:r>
      <w:r>
        <w:rPr>
          <w:rFonts w:ascii="Times New Roman" w:cs="Times New Roman" w:eastAsia="Times New Roman" w:hAnsi="Times New Roman"/>
          <w:sz w:val="17"/>
          <w:szCs w:val="17"/>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25114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Rob O’Hare</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40" w:top="1012" w:right="41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5, 2026</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5, 2026</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Rob O’Hare</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
      <w:numFmt w:val="bullet"/>
      <w:start w:val="1"/>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1)"/>
      <w:numFmt w:val="decimal"/>
      <w:start w:val="1"/>
    </w:lvl>
  </w:abstractNum>
  <w:abstractNum w:abstractNumId="5">
    <w:nsid w:val="49D0FEAC"/>
    <w:multiLevelType w:val="hybridMultilevel"/>
    <w:lvl w:ilvl="0">
      <w:lvlJc w:val="left"/>
      <w:lvlText w:val="(%1)"/>
      <w:numFmt w:val="decimal"/>
      <w:start w:val="1"/>
    </w:lvl>
  </w:abstractNum>
  <w:abstractNum w:abstractNumId="6">
    <w:nsid w:val="4BEE5A5B"/>
    <w:multiLevelType w:val="hybridMultilevel"/>
    <w:lvl w:ilvl="0">
      <w:lvlJc w:val="left"/>
      <w:lvlText w:val="(%1)"/>
      <w:numFmt w:val="decimal"/>
      <w:start w:val="1"/>
    </w:lvl>
  </w:abstractNum>
  <w:abstractNum w:abstractNumId="7">
    <w:nsid w:val="5551B9F3"/>
    <w:multiLevelType w:val="hybridMultilevel"/>
    <w:lvl w:ilvl="0">
      <w:lvlJc w:val="left"/>
      <w:lvlText w:val="(%1)"/>
      <w:numFmt w:val="decimal"/>
      <w:start w:val="1"/>
    </w:lvl>
  </w:abstractNum>
  <w:abstractNum w:abstractNumId="8">
    <w:nsid w:val="24F6AB8E"/>
    <w:multiLevelType w:val="hybridMultilevel"/>
    <w:lvl w:ilvl="0">
      <w:lvlJc w:val="left"/>
      <w:lvlText w:val="(%1)"/>
      <w:numFmt w:val="decimal"/>
      <w:start w:val="1"/>
    </w:lvl>
  </w:abstractNum>
  <w:abstractNum w:abstractNumId="9">
    <w:nsid w:val="634C574C"/>
    <w:multiLevelType w:val="hybridMultilevel"/>
    <w:lvl w:ilvl="0">
      <w:lvlJc w:val="left"/>
      <w:lvlText w:val="(%1)"/>
      <w:numFmt w:val="decimal"/>
      <w:start w:val="1"/>
    </w:lvl>
  </w:abstractNum>
  <w:abstractNum w:abstractNumId="10">
    <w:nsid w:val="24E99DD7"/>
    <w:multiLevelType w:val="hybridMultilevel"/>
    <w:lvl w:ilvl="0">
      <w:lvlJc w:val="left"/>
      <w:lvlText w:val="%1)"/>
      <w:numFmt w:val="decimal"/>
      <w:start w:val="1"/>
    </w:lvl>
  </w:abstractNum>
  <w:abstractNum w:abstractNumId="11">
    <w:nsid w:val="2A31B62D"/>
    <w:multiLevelType w:val="hybridMultilevel"/>
    <w:lvl w:ilvl="0">
      <w:lvlJc w:val="left"/>
      <w:lvlText w:val="%1)"/>
      <w:numFmt w:val="decimal"/>
      <w:start w:val="2"/>
    </w:lvl>
  </w:abstractNum>
  <w:abstractNum w:abstractNumId="12">
    <w:nsid w:val="1849C29B"/>
    <w:multiLevelType w:val="hybridMultilevel"/>
    <w:lvl w:ilvl="0">
      <w:lvlJc w:val="left"/>
      <w:lvlText w:val="%1)"/>
      <w:numFmt w:val="decimal"/>
      <w:start w:val="1"/>
    </w:lvl>
  </w:abstractNum>
  <w:abstractNum w:abstractNumId="13">
    <w:nsid w:val="7DFF9D09"/>
    <w:multiLevelType w:val="hybridMultilevel"/>
    <w:lvl w:ilvl="0">
      <w:lvlJc w:val="left"/>
      <w:lvlText w:val="%1"/>
      <w:numFmt w:val="decimal"/>
      <w:start w:val="1"/>
    </w:lvl>
    <w:lvl w:ilvl="1">
      <w:lvlJc w:val="left"/>
      <w:lvlText w:val="(%2)"/>
      <w:numFmt w:val="decimal"/>
      <w:start w:val="1"/>
    </w:lvl>
  </w:abstractNum>
  <w:abstractNum w:abstractNumId="14">
    <w:nsid w:val="754342"/>
    <w:multiLevelType w:val="hybridMultilevel"/>
    <w:lvl w:ilvl="0">
      <w:lvlJc w:val="left"/>
      <w:lvlText w:val="%1."/>
      <w:numFmt w:val="decimal"/>
      <w:start w:val="9"/>
    </w:lvl>
    <w:lvl w:ilvl="1">
      <w:lvlJc w:val="left"/>
      <w:lvlText w:val="%2"/>
      <w:numFmt w:val="decimal"/>
      <w:start w:val="1"/>
    </w:lvl>
  </w:abstractNum>
  <w:abstractNum w:abstractNumId="15">
    <w:nsid w:val="69E7F3E5"/>
    <w:multiLevelType w:val="hybridMultilevel"/>
    <w:lvl w:ilvl="0">
      <w:lvlJc w:val="left"/>
      <w:lvlText w:val="(%1)"/>
      <w:numFmt w:val="decimal"/>
      <w:start w:val="1"/>
    </w:lvl>
  </w:abstractNum>
  <w:abstractNum w:abstractNumId="16">
    <w:nsid w:val="2A6DE806"/>
    <w:multiLevelType w:val="hybridMultilevel"/>
    <w:lvl w:ilvl="0">
      <w:lvlJc w:val="left"/>
      <w:lvlText w:val="(%1)"/>
      <w:numFmt w:val="decimal"/>
      <w:start w:val="1"/>
    </w:lvl>
  </w:abstractNum>
  <w:abstractNum w:abstractNumId="17">
    <w:nsid w:val="1816F8C4"/>
    <w:multiLevelType w:val="hybridMultilevel"/>
    <w:lvl w:ilvl="0">
      <w:lvlJc w:val="left"/>
      <w:lvlText w:val="(%1)"/>
      <w:numFmt w:val="decimal"/>
      <w:start w:val="1"/>
    </w:lvl>
  </w:abstractNum>
  <w:abstractNum w:abstractNumId="18">
    <w:nsid w:val="37DF2233"/>
    <w:multiLevelType w:val="hybridMultilevel"/>
    <w:lvl w:ilvl="0">
      <w:lvlJc w:val="left"/>
      <w:lvlText w:val="(%1)"/>
      <w:numFmt w:val="decimal"/>
      <w:start w:val="1"/>
    </w:lvl>
  </w:abstractNum>
  <w:abstractNum w:abstractNumId="19">
    <w:nsid w:val="7AB49DAF"/>
    <w:multiLevelType w:val="hybridMultilevel"/>
    <w:lvl w:ilvl="0">
      <w:lvlJc w:val="left"/>
      <w:lvlText w:val="(%1)"/>
      <w:numFmt w:val="decimal"/>
      <w:start w:val="1"/>
    </w:lvl>
  </w:abstractNum>
  <w:abstractNum w:abstractNumId="20">
    <w:nsid w:val="759F82CD"/>
    <w:multiLevelType w:val="hybridMultilevel"/>
    <w:lvl w:ilvl="0">
      <w:lvlJc w:val="left"/>
      <w:lvlText w:val="(%1)"/>
      <w:numFmt w:val="decimal"/>
      <w:start w:val="1"/>
    </w:lvl>
  </w:abstractNum>
  <w:abstractNum w:abstractNumId="21">
    <w:nsid w:val="61E74EA3"/>
    <w:multiLevelType w:val="hybridMultilevel"/>
    <w:lvl w:ilvl="0">
      <w:lvlJc w:val="left"/>
      <w:lvlText w:val="(%1)"/>
      <w:numFmt w:val="decimal"/>
      <w:start w:val="1"/>
    </w:lvl>
  </w:abstractNum>
  <w:abstractNum w:abstractNumId="22">
    <w:nsid w:val="597B4D84"/>
    <w:multiLevelType w:val="hybridMultilevel"/>
    <w:lvl w:ilvl="0">
      <w:lvlJc w:val="left"/>
      <w:lvlText w:val="•"/>
      <w:numFmt w:val="bullet"/>
      <w:start w:val="1"/>
    </w:lvl>
  </w:abstractNum>
  <w:abstractNum w:abstractNumId="23">
    <w:nsid w:val="F819E7F"/>
    <w:multiLevelType w:val="hybridMultilevel"/>
    <w:lvl w:ilvl="0">
      <w:lvlJc w:val="left"/>
      <w:lvlText w:val="(%1)"/>
      <w:numFmt w:val="decimal"/>
      <w:start w:val="1"/>
    </w:lvl>
  </w:abstractNum>
  <w:abstractNum w:abstractNumId="24">
    <w:nsid w:val="57C7D42D"/>
    <w:multiLevelType w:val="hybridMultilevel"/>
    <w:lvl w:ilvl="0">
      <w:lvlJc w:val="left"/>
      <w:lvlText w:val="(%1)"/>
      <w:numFmt w:val="decimal"/>
      <w:start w:val="1"/>
    </w:lvl>
  </w:abstractNum>
  <w:abstractNum w:abstractNumId="25">
    <w:nsid w:val="312167AD"/>
    <w:multiLevelType w:val="hybridMultilevel"/>
    <w:lvl w:ilvl="0">
      <w:lvlJc w:val="left"/>
      <w:lvlText w:val="(%1)"/>
      <w:numFmt w:val="decimal"/>
      <w:start w:val="1"/>
    </w:lvl>
  </w:abstractNum>
  <w:abstractNum w:abstractNumId="26">
    <w:nsid w:val="631B64D4"/>
    <w:multiLevelType w:val="hybridMultilevel"/>
    <w:lvl w:ilvl="0">
      <w:lvlJc w:val="left"/>
      <w:lvlText w:val="(%1)"/>
      <w:numFmt w:val="decimal"/>
      <w:start w:val="1"/>
    </w:lvl>
  </w:abstractNum>
  <w:abstractNum w:abstractNumId="27">
    <w:nsid w:val="78B5E776"/>
    <w:multiLevelType w:val="hybridMultilevel"/>
    <w:lvl w:ilvl="0">
      <w:lvlJc w:val="left"/>
      <w:lvlText w:val="%1"/>
      <w:numFmt w:val="decimal"/>
      <w:start w:val="1"/>
    </w:lvl>
    <w:lvl w:ilvl="1">
      <w:lvlJc w:val="left"/>
      <w:lvlText w:val="(%2)"/>
      <w:numFmt w:val="decimal"/>
      <w:start w:val="1"/>
    </w:lvl>
  </w:abstractNum>
  <w:abstractNum w:abstractNumId="28">
    <w:nsid w:val="75486E47"/>
    <w:multiLevelType w:val="hybridMultilevel"/>
    <w:lvl w:ilvl="0">
      <w:lvlJc w:val="left"/>
      <w:lvlText w:val="%1."/>
      <w:numFmt w:val="decimal"/>
      <w:start w:val="13"/>
    </w:lvl>
    <w:lvl w:ilvl="1">
      <w:lvlJc w:val="left"/>
      <w:lvlText w:val="%2"/>
      <w:numFmt w:val="decimal"/>
      <w:start w:val="1"/>
    </w:lvl>
  </w:abstractNum>
  <w:abstractNum w:abstractNumId="29">
    <w:nsid w:val="6E534CDE"/>
    <w:multiLevelType w:val="hybridMultilevel"/>
    <w:lvl w:ilvl="0">
      <w:lvlJc w:val="left"/>
      <w:lvlText w:val="(%1)"/>
      <w:numFmt w:val="decimal"/>
      <w:start w:val="1"/>
    </w:lvl>
  </w:abstractNum>
  <w:abstractNum w:abstractNumId="30">
    <w:nsid w:val="1A0DDE32"/>
    <w:multiLevelType w:val="hybridMultilevel"/>
    <w:lvl w:ilvl="0">
      <w:lvlJc w:val="left"/>
      <w:lvlText w:val="(%1)"/>
      <w:numFmt w:val="decimal"/>
      <w:start w:val="1"/>
    </w:lvl>
  </w:abstractNum>
  <w:abstractNum w:abstractNumId="31">
    <w:nsid w:val="65968C1C"/>
    <w:multiLevelType w:val="hybridMultilevel"/>
    <w:lvl w:ilvl="0">
      <w:lvlJc w:val="left"/>
      <w:lvlText w:val="•"/>
      <w:numFmt w:val="bullet"/>
      <w:start w:val="1"/>
    </w:lvl>
  </w:abstractNum>
  <w:abstractNum w:abstractNumId="32">
    <w:nsid w:val="46263DEC"/>
    <w:multiLevelType w:val="hybridMultilevel"/>
    <w:lvl w:ilvl="0">
      <w:lvlJc w:val="left"/>
      <w:lvlText w:val="(%1)"/>
      <w:numFmt w:val="decimal"/>
      <w:start w:val="1"/>
    </w:lvl>
  </w:abstractNum>
  <w:abstractNum w:abstractNumId="33">
    <w:nsid w:val="260D8C4A"/>
    <w:multiLevelType w:val="hybridMultilevel"/>
    <w:lvl w:ilvl="0">
      <w:lvlJc w:val="left"/>
      <w:lvlText w:val="(%1)"/>
      <w:numFmt w:val="decimal"/>
      <w:start w:val="2"/>
    </w:lvl>
  </w:abstractNum>
  <w:abstractNum w:abstractNumId="34">
    <w:nsid w:val="73D4D3C4"/>
    <w:multiLevelType w:val="hybridMultilevel"/>
    <w:lvl w:ilvl="0">
      <w:lvlJc w:val="left"/>
      <w:lvlText w:val="(%1)"/>
      <w:numFmt w:val="decimal"/>
      <w:start w:val="3"/>
    </w:lvl>
  </w:abstractNum>
  <w:abstractNum w:abstractNumId="35">
    <w:nsid w:val="746F2E30"/>
    <w:multiLevelType w:val="hybridMultilevel"/>
    <w:lvl w:ilvl="0">
      <w:lvlJc w:val="left"/>
      <w:lvlText w:val="(%1)"/>
      <w:numFmt w:val="decimal"/>
      <w:start w:val="1"/>
    </w:lvl>
  </w:abstractNum>
  <w:abstractNum w:abstractNumId="36">
    <w:nsid w:val="6FDE8AF6"/>
    <w:multiLevelType w:val="hybridMultilevel"/>
    <w:lvl w:ilvl="0">
      <w:lvlJc w:val="left"/>
      <w:lvlText w:val="(%1)"/>
      <w:numFmt w:val="lowerLetter"/>
      <w:start w:val="3"/>
    </w:lvl>
  </w:abstractNum>
  <w:abstractNum w:abstractNumId="37">
    <w:nsid w:val="3FC32E20"/>
    <w:multiLevelType w:val="hybridMultilevel"/>
    <w:lvl w:ilvl="0">
      <w:lvlJc w:val="left"/>
      <w:lvlText w:val="+"/>
      <w:numFmt w:val="bullet"/>
      <w:start w:val="1"/>
    </w:lvl>
  </w:abstractNum>
  <w:abstractNum w:abstractNumId="38">
    <w:nsid w:val="49C0E823"/>
    <w:multiLevelType w:val="hybridMultilevel"/>
    <w:lvl w:ilvl="0">
      <w:lvlJc w:val="left"/>
      <w:lvlText w:val="*"/>
      <w:numFmt w:val="bullet"/>
      <w:start w:val="1"/>
    </w:lvl>
  </w:abstractNum>
  <w:abstractNum w:abstractNumId="39">
    <w:nsid w:val="14D53685"/>
    <w:multiLevelType w:val="hybridMultilevel"/>
    <w:lvl w:ilvl="0">
      <w:lvlJc w:val="left"/>
      <w:lvlText w:val="%1."/>
      <w:numFmt w:val="decimal"/>
      <w:start w:val="1"/>
    </w:lvl>
  </w:abstractNum>
  <w:abstractNum w:abstractNumId="40">
    <w:nsid w:val="230F856C"/>
    <w:multiLevelType w:val="hybridMultilevel"/>
    <w:lvl w:ilvl="0">
      <w:lvlJc w:val="left"/>
      <w:lvlText w:val="%1."/>
      <w:numFmt w:val="decimal"/>
      <w:start w:val="3"/>
    </w:lvl>
  </w:abstractNum>
  <w:abstractNum w:abstractNumId="41">
    <w:nsid w:val="6EAA85FB"/>
    <w:multiLevelType w:val="hybridMultilevel"/>
    <w:lvl w:ilvl="0">
      <w:lvlJc w:val="left"/>
      <w:lvlText w:val="(%1)"/>
      <w:numFmt w:val="lowerLetter"/>
      <w:start w:val="1"/>
    </w:lvl>
  </w:abstractNum>
  <w:abstractNum w:abstractNumId="42">
    <w:nsid w:val="3F06ECB2"/>
    <w:multiLevelType w:val="hybridMultilevel"/>
    <w:lvl w:ilvl="0">
      <w:lvlJc w:val="left"/>
      <w:lvlText w:val="%1"/>
      <w:numFmt w:val="lowerLetter"/>
      <w:start w:val="1"/>
    </w:lvl>
    <w:lvl w:ilvl="1">
      <w:lvlJc w:val="left"/>
      <w:lvlText w:val="(%2)"/>
      <w:numFmt w:val="lowerLetter"/>
      <w:start w:val="4"/>
    </w:lvl>
  </w:abstractNum>
  <w:abstractNum w:abstractNumId="43">
    <w:nsid w:val="3B594807"/>
    <w:multiLevelType w:val="hybridMultilevel"/>
    <w:lvl w:ilvl="0">
      <w:lvlJc w:val="left"/>
      <w:lvlText w:val="(%1)"/>
      <w:numFmt w:val="lowerLetter"/>
      <w:start w:val="35"/>
    </w:lvl>
    <w:lvl w:ilvl="1">
      <w:lvlJc w:val="left"/>
      <w:lvlText w:val="(%2)"/>
      <w:numFmt w:val="lowerLetter"/>
      <w:start w:val="6"/>
    </w:lvl>
  </w:abstractNum>
  <w:abstractNum w:abstractNumId="44">
    <w:nsid w:val="6CAA2304"/>
    <w:multiLevelType w:val="hybridMultilevel"/>
    <w:lvl w:ilvl="0">
      <w:lvlJc w:val="left"/>
      <w:lvlText w:val="(%1)"/>
      <w:numFmt w:val="lowerLetter"/>
      <w:start w:val="1"/>
    </w:lvl>
  </w:abstractNum>
  <w:abstractNum w:abstractNumId="45">
    <w:nsid w:val="3F7C2FF4"/>
    <w:multiLevelType w:val="hybridMultilevel"/>
    <w:lvl w:ilvl="0">
      <w:lvlJc w:val="left"/>
      <w:lvlText w:val="(%1)"/>
      <w:numFmt w:val="lowerLetter"/>
      <w:start w:val="2"/>
    </w:lvl>
  </w:abstractNum>
  <w:abstractNum w:abstractNumId="46">
    <w:nsid w:val="25413BEC"/>
    <w:multiLevelType w:val="hybridMultilevel"/>
    <w:lvl w:ilvl="0">
      <w:lvlJc w:val="left"/>
      <w:lvlText w:val="(%1)"/>
      <w:numFmt w:val="lowerLetter"/>
      <w:start w:val="1"/>
    </w:lvl>
  </w:abstractNum>
  <w:abstractNum w:abstractNumId="47">
    <w:nsid w:val="17180B0B"/>
    <w:multiLevelType w:val="hybridMultilevel"/>
    <w:lvl w:ilvl="0">
      <w:lvlJc w:val="left"/>
      <w:lvlText w:val="(%1)"/>
      <w:numFmt w:val="lowerLetter"/>
      <w:start w:val="1"/>
    </w:lvl>
  </w:abstractNum>
  <w:abstractNum w:abstractNumId="48">
    <w:nsid w:val="579328B9"/>
    <w:multiLevelType w:val="hybridMultilevel"/>
    <w:lvl w:ilvl="0">
      <w:lvlJc w:val="left"/>
      <w:lvlText w:val="(%1)"/>
      <w:numFmt w:val="lowerLetter"/>
      <w:start w:val="3"/>
    </w:lvl>
  </w:abstractNum>
  <w:abstractNum w:abstractNumId="49">
    <w:nsid w:val="5D205E20"/>
    <w:multiLevelType w:val="hybridMultilevel"/>
    <w:lvl w:ilvl="0">
      <w:lvlJc w:val="left"/>
      <w:lvlText w:val="(%1)"/>
      <w:numFmt w:val="lowerLetter"/>
      <w:start w:val="1"/>
    </w:lvl>
  </w:abstractNum>
  <w:abstractNum w:abstractNumId="50">
    <w:nsid w:val="11CCA8BA"/>
    <w:multiLevelType w:val="hybridMultilevel"/>
    <w:lvl w:ilvl="0">
      <w:lvlJc w:val="left"/>
      <w:lvlText w:val="%1"/>
      <w:numFmt w:val="lowerLetter"/>
      <w:start w:val="1"/>
    </w:lvl>
    <w:lvl w:ilvl="1">
      <w:lvlJc w:val="left"/>
      <w:lvlText w:val="(%2)"/>
      <w:numFmt w:val="lowerLetter"/>
      <w:start w:val="1"/>
    </w:lvl>
  </w:abstractNum>
  <w:abstractNum w:abstractNumId="51">
    <w:nsid w:val="4D32AB86"/>
    <w:multiLevelType w:val="hybridMultilevel"/>
    <w:lvl w:ilvl="0">
      <w:lvlJc w:val="left"/>
      <w:lvlText w:val="(%1)"/>
      <w:numFmt w:val="lowerLetter"/>
      <w:start w:val="35"/>
    </w:lvl>
    <w:lvl w:ilvl="1">
      <w:lvlJc w:val="left"/>
      <w:lvlText w:val="%2"/>
      <w:numFmt w:val="lowerLetter"/>
      <w:start w:val="1"/>
    </w:lvl>
  </w:abstractNum>
  <w:abstractNum w:abstractNumId="52">
    <w:nsid w:val="3F07ACC3"/>
    <w:multiLevelType w:val="hybridMultilevel"/>
    <w:lvl w:ilvl="0">
      <w:lvlJc w:val="left"/>
      <w:lvlText w:val="(%1)"/>
      <w:numFmt w:val="lowerLetter"/>
      <w:start w:val="6"/>
    </w:lvl>
    <w:lvl w:ilvl="1">
      <w:lvlJc w:val="left"/>
      <w:lvlText w:val="(%2)"/>
      <w:numFmt w:val="lowerRoman"/>
      <w:start w:val="1"/>
    </w:lvl>
  </w:abstractNum>
  <w:abstractNum w:abstractNumId="53">
    <w:nsid w:val="6B47F63E"/>
    <w:multiLevelType w:val="hybridMultilevel"/>
    <w:lvl w:ilvl="0">
      <w:lvlJc w:val="left"/>
      <w:lvlText w:val="[***]"/>
      <w:numFmt w:val="bullet"/>
      <w:start w:val="1"/>
    </w:lvl>
    <w:lvl w:ilvl="1">
      <w:lvlJc w:val="left"/>
      <w:lvlText w:val="(%2)"/>
      <w:numFmt w:val="lowerLetter"/>
      <w:start w:val="7"/>
    </w:lvl>
  </w:abstractNum>
  <w:abstractNum w:abstractNumId="54">
    <w:nsid w:val="5CB44A05"/>
    <w:multiLevelType w:val="hybridMultilevel"/>
    <w:lvl w:ilvl="0">
      <w:lvlJc w:val="left"/>
      <w:lvlText w:val="%1"/>
      <w:numFmt w:val="lowerLetter"/>
      <w:start w:val="1"/>
    </w:lvl>
    <w:lvl w:ilvl="1">
      <w:lvlJc w:val="left"/>
      <w:lvlText w:val="(%2)"/>
      <w:numFmt w:val="lowerLetter"/>
      <w:start w:val="1"/>
    </w:lvl>
  </w:abstractNum>
  <w:abstractNum w:abstractNumId="55">
    <w:nsid w:val="16CF80F1"/>
    <w:multiLevelType w:val="hybridMultilevel"/>
    <w:lvl w:ilvl="0">
      <w:lvlJc w:val="left"/>
      <w:lvlText w:val="(%1)"/>
      <w:numFmt w:val="lowerLetter"/>
      <w:start w:val="35"/>
    </w:lvl>
    <w:lvl w:ilvl="1">
      <w:lvlJc w:val="left"/>
      <w:lvlText w:val="(%2)"/>
      <w:numFmt w:val="lowerLetter"/>
      <w:start w:val="2"/>
    </w:lvl>
  </w:abstractNum>
  <w:abstractNum w:abstractNumId="56">
    <w:nsid w:val="1C695DEC"/>
    <w:multiLevelType w:val="hybridMultilevel"/>
    <w:lvl w:ilvl="0">
      <w:lvlJc w:val="left"/>
      <w:lvlText w:val="(%1)"/>
      <w:numFmt w:val="lowerLetter"/>
      <w:start w:val="4"/>
    </w:lvl>
  </w:abstractNum>
  <w:abstractNum w:abstractNumId="57">
    <w:nsid w:val="3FCFAED9"/>
    <w:multiLevelType w:val="hybridMultilevel"/>
    <w:lvl w:ilvl="0">
      <w:lvlJc w:val="left"/>
      <w:lvlText w:val="(%1)"/>
      <w:numFmt w:val="lowerLetter"/>
      <w:start w:val="1"/>
    </w:lvl>
  </w:abstractNum>
  <w:abstractNum w:abstractNumId="58">
    <w:nsid w:val="F856867"/>
    <w:multiLevelType w:val="hybridMultilevel"/>
    <w:lvl w:ilvl="0">
      <w:lvlJc w:val="left"/>
      <w:lvlText w:val="(%1)"/>
      <w:numFmt w:val="lowerLetter"/>
      <w:start w:val="6"/>
    </w:lvl>
  </w:abstractNum>
  <w:abstractNum w:abstractNumId="59">
    <w:nsid w:val="11B1CC33"/>
    <w:multiLevelType w:val="hybridMultilevel"/>
    <w:lvl w:ilvl="0">
      <w:lvlJc w:val="left"/>
      <w:lvlText w:val="(%1)"/>
      <w:numFmt w:val="lowerLetter"/>
      <w:start w:val="13"/>
    </w:lvl>
  </w:abstractNum>
  <w:abstractNum w:abstractNumId="60">
    <w:nsid w:val="2E22FBB7"/>
    <w:multiLevelType w:val="hybridMultilevel"/>
    <w:lvl w:ilvl="0">
      <w:lvlJc w:val="left"/>
      <w:lvlText w:val="(%1)"/>
      <w:numFmt w:val="lowerLetter"/>
      <w:start w:val="1"/>
    </w:lvl>
  </w:abstractNum>
  <w:abstractNum w:abstractNumId="61">
    <w:nsid w:val="29934699"/>
    <w:multiLevelType w:val="hybridMultilevel"/>
    <w:lvl w:ilvl="0">
      <w:lvlJc w:val="left"/>
      <w:lvlText w:val="(%1)"/>
      <w:numFmt w:val="lowerLetter"/>
      <w:start w:val="1"/>
    </w:lvl>
  </w:abstractNum>
  <w:abstractNum w:abstractNumId="62">
    <w:nsid w:val="77485850"/>
    <w:multiLevelType w:val="hybridMultilevel"/>
    <w:lvl w:ilvl="0">
      <w:lvlJc w:val="left"/>
      <w:lvlText w:val="(%1)"/>
      <w:numFmt w:val="lowerLetter"/>
      <w:start w:val="1"/>
    </w:lvl>
    <w:lvl w:ilvl="1">
      <w:lvlJc w:val="left"/>
      <w:lvlText w:val="(%2)"/>
      <w:numFmt w:val="lowerRoman"/>
      <w:start w:val="1"/>
    </w:lvl>
  </w:abstractNum>
  <w:abstractNum w:abstractNumId="63">
    <w:nsid w:val="744939A3"/>
    <w:multiLevelType w:val="hybridMultilevel"/>
    <w:lvl w:ilvl="0">
      <w:lvlJc w:val="left"/>
      <w:lvlText w:val="%1"/>
      <w:numFmt w:val="lowerLetter"/>
      <w:start w:val="1"/>
    </w:lvl>
    <w:lvl w:ilvl="1">
      <w:lvlJc w:val="left"/>
      <w:lvlText w:val="(%2)"/>
      <w:numFmt w:val="lowerRoman"/>
      <w:start w:val="4"/>
    </w:lvl>
  </w:abstractNum>
  <w:abstractNum w:abstractNumId="64">
    <w:nsid w:val="4FA0D2E3"/>
    <w:multiLevelType w:val="hybridMultilevel"/>
    <w:lvl w:ilvl="0">
      <w:lvlJc w:val="left"/>
      <w:lvlText w:val="(%1)"/>
      <w:numFmt w:val="lowerLetter"/>
      <w:start w:val="2"/>
    </w:lvl>
    <w:lvl w:ilvl="1">
      <w:lvlJc w:val="left"/>
      <w:lvlText w:val="%2"/>
      <w:numFmt w:val="lowerRoman"/>
      <w:start w:val="1"/>
    </w:lvl>
  </w:abstractNum>
  <w:abstractNum w:abstractNumId="65">
    <w:nsid w:val="6B1D2C14"/>
    <w:multiLevelType w:val="hybridMultilevel"/>
    <w:lvl w:ilvl="0">
      <w:lvlJc w:val="left"/>
      <w:lvlText w:val="(%1)"/>
      <w:numFmt w:val="lowerLetter"/>
      <w:start w:val="4"/>
    </w:lvl>
  </w:abstractNum>
  <w:abstractNum w:abstractNumId="66">
    <w:nsid w:val="68B867D3"/>
    <w:multiLevelType w:val="hybridMultilevel"/>
    <w:lvl w:ilvl="0">
      <w:lvlJc w:val="left"/>
      <w:lvlText w:val="(%1)"/>
      <w:numFmt w:val="lowerLetter"/>
      <w:start w:val="1"/>
    </w:lvl>
  </w:abstractNum>
  <w:abstractNum w:abstractNumId="67">
    <w:nsid w:val="3F7F5DD9"/>
    <w:multiLevelType w:val="hybridMultilevel"/>
    <w:lvl w:ilvl="0">
      <w:lvlJc w:val="left"/>
      <w:lvlText w:val=")"/>
      <w:numFmt w:val="bullet"/>
      <w:start w:val="1"/>
    </w:lvl>
  </w:abstractNum>
  <w:abstractNum w:abstractNumId="68">
    <w:nsid w:val="2AE05A34"/>
    <w:multiLevelType w:val="hybridMultilevel"/>
    <w:lvl w:ilvl="0">
      <w:lvlJc w:val="left"/>
      <w:lvlText w:val="(%1)"/>
      <w:numFmt w:val="lowerLetter"/>
      <w:start w:val="1"/>
    </w:lvl>
  </w:abstractNum>
  <w:abstractNum w:abstractNumId="69">
    <w:nsid w:val="32794FF7"/>
    <w:multiLevelType w:val="hybridMultilevel"/>
    <w:lvl w:ilvl="0">
      <w:lvlJc w:val="left"/>
      <w:lvlText w:val="%1"/>
      <w:numFmt w:val="upperLetter"/>
      <w:start w:val="1"/>
    </w:lvl>
    <w:lvl w:ilvl="1">
      <w:lvlJc w:val="left"/>
      <w:lvlText w:val="(%2)"/>
      <w:numFmt w:val="lowerLetter"/>
      <w:start w:val="3"/>
    </w:lvl>
  </w:abstractNum>
  <w:abstractNum w:abstractNumId="70">
    <w:nsid w:val="5454945E"/>
    <w:multiLevelType w:val="hybridMultilevel"/>
    <w:lvl w:ilvl="0">
      <w:lvlJc w:val="left"/>
      <w:lvlText w:val="(%1)"/>
      <w:numFmt w:val="lowerLetter"/>
      <w:start w:val="1"/>
    </w:lvl>
  </w:abstractNum>
  <w:abstractNum w:abstractNumId="71">
    <w:nsid w:val="4DEFDFA0"/>
    <w:multiLevelType w:val="hybridMultilevel"/>
    <w:lvl w:ilvl="0">
      <w:lvlJc w:val="left"/>
      <w:lvlText w:val="(%1)"/>
      <w:numFmt w:val="lowerLetter"/>
      <w:start w:val="2"/>
    </w:lvl>
  </w:abstractNum>
  <w:abstractNum w:abstractNumId="72">
    <w:nsid w:val="2123D5F2"/>
    <w:multiLevelType w:val="hybridMultilevel"/>
    <w:lvl w:ilvl="0">
      <w:lvlJc w:val="left"/>
      <w:lvlText w:val="%1"/>
      <w:numFmt w:val="lowerLetter"/>
      <w:start w:val="1"/>
    </w:lvl>
    <w:lvl w:ilvl="1">
      <w:lvlJc w:val="left"/>
      <w:lvlText w:val="(%2)"/>
      <w:numFmt w:val="lowerLetter"/>
      <w:start w:val="1"/>
    </w:lvl>
  </w:abstractNum>
  <w:abstractNum w:abstractNumId="73">
    <w:nsid w:val="135B8110"/>
    <w:multiLevelType w:val="hybridMultilevel"/>
    <w:lvl w:ilvl="0">
      <w:lvlJc w:val="left"/>
      <w:lvlText w:val="(%1)"/>
      <w:numFmt w:val="lowerLetter"/>
      <w:start w:val="61"/>
    </w:lvl>
    <w:lvl w:ilvl="1">
      <w:lvlJc w:val="left"/>
      <w:lvlText w:val="%2"/>
      <w:numFmt w:val="lowerLetter"/>
      <w:start w:val="1"/>
    </w:lvl>
  </w:abstractNum>
  <w:abstractNum w:abstractNumId="74">
    <w:nsid w:val="94927A8"/>
    <w:multiLevelType w:val="hybridMultilevel"/>
    <w:lvl w:ilvl="0">
      <w:lvlJc w:val="left"/>
      <w:lvlText w:val="(%1)"/>
      <w:numFmt w:val="lowerLetter"/>
      <w:start w:val="1"/>
    </w:lvl>
  </w:abstractNum>
  <w:abstractNum w:abstractNumId="75">
    <w:nsid w:val="DCDF8F6"/>
    <w:multiLevelType w:val="hybridMultilevel"/>
    <w:lvl w:ilvl="0">
      <w:lvlJc w:val="left"/>
      <w:lvlText w:val="(%1)"/>
      <w:numFmt w:val="lowerLetter"/>
      <w:start w:val="6"/>
    </w:lvl>
  </w:abstractNum>
  <w:abstractNum w:abstractNumId="76">
    <w:nsid w:val="52D7B105"/>
    <w:multiLevelType w:val="hybridMultilevel"/>
    <w:lvl w:ilvl="0">
      <w:lvlJc w:val="left"/>
      <w:lvlText w:val="(%1)"/>
      <w:numFmt w:val="lowerLetter"/>
      <w:start w:val="1"/>
    </w:lvl>
  </w:abstractNum>
  <w:abstractNum w:abstractNumId="77">
    <w:nsid w:val="2E8A639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78">
    <w:nsid w:val="24E60401"/>
    <w:multiLevelType w:val="hybridMultilevel"/>
    <w:lvl w:ilvl="0">
      <w:lvlJc w:val="left"/>
      <w:lvlText w:val="(%1)"/>
      <w:numFmt w:val="lowerLetter"/>
      <w:start w:val="9"/>
    </w:lvl>
    <w:lvl w:ilvl="1">
      <w:lvlJc w:val="left"/>
      <w:lvlText w:val="(%2)"/>
      <w:numFmt w:val="lowerLetter"/>
      <w:start w:val="12"/>
    </w:lvl>
    <w:lvl w:ilvl="2">
      <w:lvlJc w:val="left"/>
      <w:lvlText w:val="(%3)"/>
      <w:numFmt w:val="lowerRoman"/>
      <w:start w:val="1"/>
    </w:lvl>
  </w:abstractNum>
  <w:abstractNum w:abstractNumId="79">
    <w:nsid w:val="2A6AD9BE"/>
    <w:multiLevelType w:val="hybridMultilevel"/>
    <w:lvl w:ilvl="0">
      <w:lvlJc w:val="left"/>
      <w:lvlText w:val="(%1)"/>
      <w:numFmt w:val="lowerRoman"/>
      <w:start w:val="3"/>
    </w:lvl>
  </w:abstractNum>
  <w:abstractNum w:abstractNumId="80">
    <w:nsid w:val="BAAC1B4"/>
    <w:multiLevelType w:val="hybridMultilevel"/>
    <w:lvl w:ilvl="0">
      <w:lvlJc w:val="left"/>
      <w:lvlText w:val="(%1)"/>
      <w:numFmt w:val="lowerLetter"/>
      <w:start w:val="13"/>
    </w:lvl>
  </w:abstractNum>
  <w:abstractNum w:abstractNumId="81">
    <w:nsid w:val="36B2ACBC"/>
    <w:multiLevelType w:val="hybridMultilevel"/>
    <w:lvl w:ilvl="0">
      <w:lvlJc w:val="left"/>
      <w:lvlText w:val="(%1)"/>
      <w:numFmt w:val="lowerLetter"/>
      <w:start w:val="1"/>
    </w:lvl>
  </w:abstractNum>
  <w:abstractNum w:abstractNumId="82">
    <w:nsid w:val="779D8544"/>
    <w:multiLevelType w:val="hybridMultilevel"/>
    <w:lvl w:ilvl="0">
      <w:lvlJc w:val="left"/>
      <w:lvlText w:val="(%1)"/>
      <w:numFmt w:val="lowerLetter"/>
      <w:start w:val="1"/>
    </w:lvl>
  </w:abstractNum>
  <w:abstractNum w:abstractNumId="83">
    <w:nsid w:val="4AB26E78"/>
    <w:multiLevelType w:val="hybridMultilevel"/>
    <w:lvl w:ilvl="0">
      <w:lvlJc w:val="left"/>
      <w:lvlText w:val="(%1)"/>
      <w:numFmt w:val="lowerLetter"/>
      <w:start w:val="5"/>
    </w:lvl>
    <w:lvl w:ilvl="1">
      <w:lvlJc w:val="left"/>
      <w:lvlText w:val="(%2)"/>
      <w:numFmt w:val="lowerRoman"/>
      <w:start w:val="1"/>
    </w:lvl>
  </w:abstractNum>
  <w:abstractNum w:abstractNumId="84">
    <w:nsid w:val="21FAA2FA"/>
    <w:multiLevelType w:val="hybridMultilevel"/>
    <w:lvl w:ilvl="0">
      <w:lvlJc w:val="left"/>
      <w:lvlText w:val="(%1)"/>
      <w:numFmt w:val="lowerLetter"/>
      <w:start w:val="7"/>
    </w:lvl>
  </w:abstractNum>
  <w:abstractNum w:abstractNumId="85">
    <w:nsid w:val="5451CF49"/>
    <w:multiLevelType w:val="hybridMultilevel"/>
    <w:lvl w:ilvl="0">
      <w:lvlJc w:val="left"/>
      <w:lvlText w:val="(%1)"/>
      <w:numFmt w:val="lowerLetter"/>
      <w:start w:val="1"/>
    </w:lvl>
  </w:abstractNum>
  <w:abstractNum w:abstractNumId="86">
    <w:nsid w:val="6181EF69"/>
    <w:multiLevelType w:val="hybridMultilevel"/>
    <w:lvl w:ilvl="0">
      <w:lvlJc w:val="left"/>
      <w:lvlText w:val="(%1)"/>
      <w:numFmt w:val="lowerLetter"/>
      <w:start w:val="1"/>
    </w:lvl>
  </w:abstractNum>
  <w:abstractNum w:abstractNumId="87">
    <w:nsid w:val="3E6400E6"/>
    <w:multiLevelType w:val="hybridMultilevel"/>
    <w:lvl w:ilvl="0">
      <w:lvlJc w:val="left"/>
      <w:lvlText w:val="(%1)"/>
      <w:numFmt w:val="lowerLetter"/>
      <w:start w:val="1"/>
    </w:lvl>
  </w:abstractNum>
  <w:abstractNum w:abstractNumId="88">
    <w:nsid w:val="14217E23"/>
    <w:multiLevelType w:val="hybridMultilevel"/>
    <w:lvl w:ilvl="0">
      <w:lvlJc w:val="left"/>
      <w:lvlText w:val="(%1)"/>
      <w:numFmt w:val="lowerLetter"/>
      <w:start w:val="1"/>
    </w:lvl>
  </w:abstractNum>
  <w:abstractNum w:abstractNumId="89">
    <w:nsid w:val="710757D0"/>
    <w:multiLevelType w:val="hybridMultilevel"/>
    <w:lvl w:ilvl="0">
      <w:lvlJc w:val="left"/>
      <w:lvlText w:val="(%1)"/>
      <w:numFmt w:val="lowerRoman"/>
      <w:start w:val="1"/>
    </w:lvl>
  </w:abstractNum>
  <w:abstractNum w:abstractNumId="90">
    <w:nsid w:val="5015CD1A"/>
    <w:multiLevelType w:val="hybridMultilevel"/>
    <w:lvl w:ilvl="0">
      <w:lvlJc w:val="left"/>
      <w:lvlText w:val="(%1)"/>
      <w:numFmt w:val="lowerLetter"/>
      <w:start w:val="1"/>
    </w:lvl>
  </w:abstractNum>
  <w:abstractNum w:abstractNumId="91">
    <w:nsid w:val="424479DA"/>
    <w:multiLevelType w:val="hybridMultilevel"/>
    <w:lvl w:ilvl="0">
      <w:lvlJc w:val="left"/>
      <w:lvlText w:val="(%1)"/>
      <w:numFmt w:val="lowerLetter"/>
      <w:start w:val="1"/>
    </w:lvl>
  </w:abstractNum>
  <w:abstractNum w:abstractNumId="92">
    <w:nsid w:val="1A9A9E69"/>
    <w:multiLevelType w:val="hybridMultilevel"/>
    <w:lvl w:ilvl="0">
      <w:lvlJc w:val="left"/>
      <w:lvlText w:val="(%1)"/>
      <w:numFmt w:val="lowerLetter"/>
      <w:start w:val="2"/>
    </w:lvl>
  </w:abstractNum>
  <w:abstractNum w:abstractNumId="93">
    <w:nsid w:val="475E256A"/>
    <w:multiLevelType w:val="hybridMultilevel"/>
    <w:lvl w:ilvl="0">
      <w:lvlJc w:val="left"/>
      <w:lvlText w:val="(%1)"/>
      <w:numFmt w:val="lowerLetter"/>
      <w:start w:val="1"/>
    </w:lvl>
  </w:abstractNum>
  <w:abstractNum w:abstractNumId="94">
    <w:nsid w:val="368DB37E"/>
    <w:multiLevelType w:val="hybridMultilevel"/>
    <w:lvl w:ilvl="0">
      <w:lvlJc w:val="left"/>
      <w:lvlText w:val="(%1)"/>
      <w:numFmt w:val="lowerLetter"/>
      <w:start w:val="1"/>
    </w:lvl>
  </w:abstractNum>
  <w:abstractNum w:abstractNumId="95">
    <w:nsid w:val="6A3B714C"/>
    <w:multiLevelType w:val="hybridMultilevel"/>
    <w:lvl w:ilvl="0">
      <w:lvlJc w:val="left"/>
      <w:lvlText w:val="(%1)"/>
      <w:numFmt w:val="lowerLetter"/>
      <w:start w:val="3"/>
    </w:lvl>
  </w:abstractNum>
  <w:abstractNum w:abstractNumId="96">
    <w:nsid w:val="327B517E"/>
    <w:multiLevelType w:val="hybridMultilevel"/>
    <w:lvl w:ilvl="0">
      <w:lvlJc w:val="left"/>
      <w:lvlText w:val="(%1)"/>
      <w:numFmt w:val="lowerLetter"/>
      <w:start w:val="1"/>
    </w:lvl>
    <w:lvl w:ilvl="1">
      <w:lvlJc w:val="left"/>
      <w:lvlText w:val="(%2)"/>
      <w:numFmt w:val="lowerRoman"/>
      <w:start w:val="1"/>
    </w:lvl>
  </w:abstractNum>
  <w:abstractNum w:abstractNumId="97">
    <w:nsid w:val="1F461B51"/>
    <w:multiLevelType w:val="hybridMultilevel"/>
    <w:lvl w:ilvl="0">
      <w:lvlJc w:val="left"/>
      <w:lvlText w:val="(%1)"/>
      <w:numFmt w:val="lowerLetter"/>
      <w:start w:val="3"/>
    </w:lvl>
  </w:abstractNum>
  <w:abstractNum w:abstractNumId="98">
    <w:nsid w:val="29BACF25"/>
    <w:multiLevelType w:val="hybridMultilevel"/>
    <w:lvl w:ilvl="0">
      <w:lvlJc w:val="left"/>
      <w:lvlText w:val="(%1)"/>
      <w:numFmt w:val="lowerRoman"/>
      <w:start w:val="1"/>
    </w:lvl>
    <w:lvl w:ilvl="1">
      <w:lvlJc w:val="left"/>
      <w:lvlText w:val="%2."/>
      <w:numFmt w:val="lowerLetter"/>
      <w:start w:val="1"/>
    </w:lvl>
  </w:abstractNum>
  <w:abstractNum w:abstractNumId="99">
    <w:nsid w:val="5D5BABB3"/>
    <w:multiLevelType w:val="hybridMultilevel"/>
    <w:lvl w:ilvl="0">
      <w:lvlJc w:val="left"/>
      <w:lvlText w:val="(%1)"/>
      <w:numFmt w:val="lowerLetter"/>
      <w:start w:val="6"/>
    </w:lvl>
  </w:abstractNum>
  <w:abstractNum w:abstractNumId="100">
    <w:nsid w:val="51BF6B48"/>
    <w:multiLevelType w:val="hybridMultilevel"/>
    <w:lvl w:ilvl="0">
      <w:lvlJc w:val="left"/>
      <w:lvlText w:val="%1"/>
      <w:numFmt w:val="lowerLetter"/>
      <w:start w:val="1"/>
    </w:lvl>
    <w:lvl w:ilvl="1">
      <w:lvlJc w:val="left"/>
      <w:lvlText w:val="(%2)"/>
      <w:numFmt w:val="lowerLetter"/>
      <w:start w:val="12"/>
    </w:lvl>
  </w:abstractNum>
  <w:abstractNum w:abstractNumId="101">
    <w:nsid w:val="7E0F6384"/>
    <w:multiLevelType w:val="hybridMultilevel"/>
    <w:lvl w:ilvl="0">
      <w:lvlJc w:val="left"/>
      <w:lvlText w:val="(%1)"/>
      <w:numFmt w:val="lowerLetter"/>
      <w:start w:val="35"/>
    </w:lvl>
    <w:lvl w:ilvl="1">
      <w:lvlJc w:val="left"/>
      <w:lvlText w:val="(%2)"/>
      <w:numFmt w:val="lowerLetter"/>
      <w:start w:val="13"/>
    </w:lvl>
  </w:abstractNum>
  <w:abstractNum w:abstractNumId="102">
    <w:nsid w:val="2B4B8B53"/>
    <w:multiLevelType w:val="hybridMultilevel"/>
    <w:lvl w:ilvl="0">
      <w:lvlJc w:val="left"/>
      <w:lvlText w:val="(%1)"/>
      <w:numFmt w:val="lowerLetter"/>
      <w:start w:val="19"/>
    </w:lvl>
  </w:abstractNum>
  <w:abstractNum w:abstractNumId="103">
    <w:nsid w:val="72E3413A"/>
    <w:multiLevelType w:val="hybridMultilevel"/>
    <w:lvl w:ilvl="0">
      <w:lvlJc w:val="left"/>
      <w:lvlText w:val="(%1)"/>
      <w:numFmt w:val="lowerLetter"/>
      <w:start w:val="1"/>
    </w:lvl>
    <w:lvl w:ilvl="1">
      <w:lvlJc w:val="left"/>
      <w:lvlText w:val="(%2)"/>
      <w:numFmt w:val="lowerLetter"/>
      <w:start w:val="9"/>
    </w:lvl>
  </w:abstractNum>
  <w:abstractNum w:abstractNumId="104">
    <w:nsid w:val="116AE494"/>
    <w:multiLevelType w:val="hybridMultilevel"/>
    <w:lvl w:ilvl="0">
      <w:lvlJc w:val="left"/>
      <w:lvlText w:val="%1"/>
      <w:numFmt w:val="lowerLetter"/>
      <w:start w:val="1"/>
    </w:lvl>
    <w:lvl w:ilvl="1">
      <w:lvlJc w:val="left"/>
      <w:lvlText w:val="(%2)"/>
      <w:numFmt w:val="lowerRoman"/>
      <w:start w:val="2"/>
    </w:lvl>
  </w:abstractNum>
  <w:abstractNum w:abstractNumId="105">
    <w:nsid w:val="3494B2FB"/>
    <w:multiLevelType w:val="hybridMultilevel"/>
    <w:lvl w:ilvl="0">
      <w:lvlJc w:val="left"/>
      <w:lvlText w:val="(%1)"/>
      <w:numFmt w:val="lowerLetter"/>
      <w:start w:val="4"/>
    </w:lvl>
    <w:lvl w:ilvl="1">
      <w:lvlJc w:val="left"/>
      <w:lvlText w:val="%2"/>
      <w:numFmt w:val="lowerRoman"/>
      <w:start w:val="1"/>
    </w:lvl>
  </w:abstractNum>
  <w:abstractNum w:abstractNumId="106">
    <w:nsid w:val="B13A31"/>
    <w:multiLevelType w:val="hybridMultilevel"/>
    <w:lvl w:ilvl="0">
      <w:lvlJc w:val="left"/>
      <w:lvlText w:val="(%1)"/>
      <w:numFmt w:val="lowerLetter"/>
      <w:start w:val="1"/>
    </w:lvl>
  </w:abstractNum>
  <w:abstractNum w:abstractNumId="107">
    <w:nsid w:val="64429599"/>
    <w:multiLevelType w:val="hybridMultilevel"/>
    <w:lvl w:ilvl="0">
      <w:lvlJc w:val="left"/>
      <w:lvlText w:val="(%1)"/>
      <w:numFmt w:val="lowerLetter"/>
      <w:start w:val="2"/>
    </w:lvl>
  </w:abstractNum>
  <w:abstractNum w:abstractNumId="108">
    <w:nsid w:val="631F1690"/>
    <w:multiLevelType w:val="hybridMultilevel"/>
    <w:lvl w:ilvl="0">
      <w:lvlJc w:val="left"/>
      <w:lvlText w:val="(%1)"/>
      <w:numFmt w:val="lowerLetter"/>
      <w:start w:val="1"/>
    </w:lvl>
  </w:abstractNum>
  <w:abstractNum w:abstractNumId="109">
    <w:nsid w:val="25973E32"/>
    <w:multiLevelType w:val="hybridMultilevel"/>
    <w:lvl w:ilvl="0">
      <w:lvlJc w:val="left"/>
      <w:lvlText w:val="(%1)"/>
      <w:numFmt w:val="lowerLetter"/>
      <w:start w:val="4"/>
    </w:lvl>
  </w:abstractNum>
  <w:abstractNum w:abstractNumId="110">
    <w:nsid w:val="EAD6F57"/>
    <w:multiLevelType w:val="hybridMultilevel"/>
    <w:lvl w:ilvl="0">
      <w:lvlJc w:val="left"/>
      <w:lvlText w:val="(%1)"/>
      <w:numFmt w:val="lowerLetter"/>
      <w:start w:val="1"/>
    </w:lvl>
  </w:abstractNum>
  <w:abstractNum w:abstractNumId="111">
    <w:nsid w:val="6EC9D844"/>
    <w:multiLevelType w:val="hybridMultilevel"/>
    <w:lvl w:ilvl="0">
      <w:lvlJc w:val="left"/>
      <w:lvlText w:val="(%1)"/>
      <w:numFmt w:val="lowerLetter"/>
      <w:start w:val="4"/>
    </w:lvl>
  </w:abstractNum>
  <w:abstractNum w:abstractNumId="112">
    <w:nsid w:val="5C49EAEE"/>
    <w:multiLevelType w:val="hybridMultilevel"/>
    <w:lvl w:ilvl="0">
      <w:lvlJc w:val="left"/>
      <w:lvlText w:val="(%1)"/>
      <w:numFmt w:val="lowerLetter"/>
      <w:start w:val="1"/>
    </w:lvl>
  </w:abstractNum>
  <w:abstractNum w:abstractNumId="113">
    <w:nsid w:val="64AF49B"/>
    <w:multiLevelType w:val="hybridMultilevel"/>
    <w:lvl w:ilvl="0">
      <w:lvlJc w:val="left"/>
      <w:lvlText w:val="(%1)"/>
      <w:numFmt w:val="lowerLetter"/>
      <w:start w:val="2"/>
    </w:lvl>
  </w:abstractNum>
  <w:abstractNum w:abstractNumId="114">
    <w:nsid w:val="397C46BC"/>
    <w:multiLevelType w:val="hybridMultilevel"/>
    <w:lvl w:ilvl="0">
      <w:lvlJc w:val="left"/>
      <w:lvlText w:val="(%1)"/>
      <w:numFmt w:val="lowerLetter"/>
      <w:start w:val="1"/>
    </w:lvl>
    <w:lvl w:ilvl="1">
      <w:lvlJc w:val="left"/>
      <w:lvlText w:val="(%2)"/>
      <w:numFmt w:val="lowerRoman"/>
      <w:start w:val="1"/>
    </w:lvl>
  </w:abstractNum>
  <w:abstractNum w:abstractNumId="115">
    <w:nsid w:val="7E448DE9"/>
    <w:multiLevelType w:val="hybridMultilevel"/>
    <w:lvl w:ilvl="0">
      <w:lvlJc w:val="left"/>
      <w:lvlText w:val="(%1)"/>
      <w:numFmt w:val="lowerLetter"/>
      <w:start w:val="1"/>
    </w:lvl>
  </w:abstractNum>
  <w:abstractNum w:abstractNumId="116">
    <w:nsid w:val="5A9CC3E5"/>
    <w:multiLevelType w:val="hybridMultilevel"/>
    <w:lvl w:ilvl="0">
      <w:lvlJc w:val="left"/>
      <w:lvlText w:val="(%1)"/>
      <w:numFmt w:val="lowerLetter"/>
      <w:start w:val="1"/>
    </w:lvl>
  </w:abstractNum>
  <w:abstractNum w:abstractNumId="117">
    <w:nsid w:val="1AFE3625"/>
    <w:multiLevelType w:val="hybridMultilevel"/>
    <w:lvl w:ilvl="0">
      <w:lvlJc w:val="left"/>
      <w:lvlText w:val="(%1)"/>
      <w:numFmt w:val="lowerLetter"/>
      <w:start w:val="2"/>
    </w:lvl>
  </w:abstractNum>
  <w:abstractNum w:abstractNumId="118">
    <w:nsid w:val="3CA88ECF"/>
    <w:multiLevelType w:val="hybridMultilevel"/>
    <w:lvl w:ilvl="0">
      <w:lvlJc w:val="left"/>
      <w:lvlText w:val="(%1)"/>
      <w:numFmt w:val="lowerLetter"/>
      <w:start w:val="1"/>
    </w:lvl>
    <w:lvl w:ilvl="1">
      <w:lvlJc w:val="left"/>
      <w:lvlText w:val="(%2)"/>
      <w:numFmt w:val="lowerLetter"/>
      <w:start w:val="9"/>
    </w:lvl>
  </w:abstractNum>
  <w:abstractNum w:abstractNumId="119">
    <w:nsid w:val="6EBE4208"/>
    <w:multiLevelType w:val="hybridMultilevel"/>
    <w:lvl w:ilvl="0">
      <w:lvlJc w:val="left"/>
      <w:lvlText w:val="%1"/>
      <w:numFmt w:val="lowerLetter"/>
      <w:start w:val="1"/>
    </w:lvl>
    <w:lvl w:ilvl="1">
      <w:lvlJc w:val="left"/>
      <w:lvlText w:val="(%2)"/>
      <w:numFmt w:val="lowerRoman"/>
      <w:start w:val="2"/>
    </w:lvl>
  </w:abstractNum>
  <w:abstractNum w:abstractNumId="120">
    <w:nsid w:val="C058DF5"/>
    <w:multiLevelType w:val="hybridMultilevel"/>
    <w:lvl w:ilvl="0">
      <w:lvlJc w:val="left"/>
      <w:lvlText w:val="(%1)"/>
      <w:numFmt w:val="lowerLetter"/>
      <w:start w:val="2"/>
    </w:lvl>
    <w:lvl w:ilvl="1">
      <w:lvlJc w:val="left"/>
      <w:lvlText w:val="%2"/>
      <w:numFmt w:val="lowerRoman"/>
      <w:start w:val="1"/>
    </w:lvl>
  </w:abstractNum>
  <w:abstractNum w:abstractNumId="121">
    <w:nsid w:val="CBE5BE9"/>
    <w:multiLevelType w:val="hybridMultilevel"/>
    <w:lvl w:ilvl="0">
      <w:lvlJc w:val="left"/>
      <w:lvlText w:val="(%1)"/>
      <w:numFmt w:val="lowerLetter"/>
      <w:start w:val="5"/>
    </w:lvl>
  </w:abstractNum>
  <w:abstractNum w:abstractNumId="122">
    <w:nsid w:val="3102BBE2"/>
    <w:multiLevelType w:val="hybridMultilevel"/>
    <w:lvl w:ilvl="0">
      <w:lvlJc w:val="left"/>
      <w:lvlText w:val="(%1)"/>
      <w:numFmt w:val="lowerLetter"/>
      <w:start w:val="1"/>
    </w:lvl>
  </w:abstractNum>
  <w:abstractNum w:abstractNumId="123">
    <w:nsid w:val="26A02C5E"/>
    <w:multiLevelType w:val="hybridMultilevel"/>
    <w:lvl w:ilvl="0">
      <w:lvlJc w:val="left"/>
      <w:lvlText w:val="(%1)"/>
      <w:numFmt w:val="lowerLetter"/>
      <w:start w:val="4"/>
    </w:lvl>
  </w:abstractNum>
  <w:abstractNum w:abstractNumId="124">
    <w:nsid w:val="541C8153"/>
    <w:multiLevelType w:val="hybridMultilevel"/>
    <w:lvl w:ilvl="0">
      <w:lvlJc w:val="left"/>
      <w:lvlText w:val="(%1)"/>
      <w:numFmt w:val="lowerLetter"/>
      <w:start w:val="10"/>
    </w:lvl>
    <w:lvl w:ilvl="1">
      <w:lvlJc w:val="left"/>
      <w:lvlText w:val="(%2)"/>
      <w:numFmt w:val="lowerRoman"/>
      <w:start w:val="1"/>
    </w:lvl>
  </w:abstractNum>
  <w:abstractNum w:abstractNumId="125">
    <w:nsid w:val="67906F60"/>
    <w:multiLevelType w:val="hybridMultilevel"/>
    <w:lvl w:ilvl="0">
      <w:lvlJc w:val="left"/>
      <w:lvlText w:val="(%1)"/>
      <w:numFmt w:val="lowerLetter"/>
      <w:start w:val="11"/>
    </w:lvl>
  </w:abstractNum>
  <w:abstractNum w:abstractNumId="126">
    <w:nsid w:val="10DB9DAA"/>
    <w:multiLevelType w:val="hybridMultilevel"/>
    <w:lvl w:ilvl="0">
      <w:lvlJc w:val="left"/>
      <w:lvlText w:val="(%1)"/>
      <w:numFmt w:val="lowerLetter"/>
      <w:start w:val="15"/>
    </w:lvl>
  </w:abstractNum>
  <w:abstractNum w:abstractNumId="127">
    <w:nsid w:val="697D2D2"/>
    <w:multiLevelType w:val="hybridMultilevel"/>
    <w:lvl w:ilvl="0">
      <w:lvlJc w:val="left"/>
      <w:lvlText w:val="%1"/>
      <w:numFmt w:val="lowerLetter"/>
      <w:start w:val="1"/>
    </w:lvl>
    <w:lvl w:ilvl="1">
      <w:lvlJc w:val="left"/>
      <w:lvlText w:val="(%2)"/>
      <w:numFmt w:val="lowerLetter"/>
      <w:start w:val="1"/>
    </w:lvl>
  </w:abstractNum>
  <w:abstractNum w:abstractNumId="128">
    <w:nsid w:val="6D68AB2"/>
    <w:multiLevelType w:val="hybridMultilevel"/>
    <w:lvl w:ilvl="0">
      <w:lvlJc w:val="left"/>
      <w:lvlText w:val="(%1)"/>
      <w:numFmt w:val="lowerLetter"/>
      <w:start w:val="35"/>
    </w:lvl>
    <w:lvl w:ilvl="1">
      <w:lvlJc w:val="left"/>
      <w:lvlText w:val="(%2)"/>
      <w:numFmt w:val="lowerLetter"/>
      <w:start w:val="2"/>
    </w:lvl>
  </w:abstractNum>
  <w:abstractNum w:abstractNumId="129">
    <w:nsid w:val="3A966CD0"/>
    <w:multiLevelType w:val="hybridMultilevel"/>
    <w:lvl w:ilvl="0">
      <w:lvlJc w:val="left"/>
      <w:lvlText w:val="(%1)"/>
      <w:numFmt w:val="lowerLetter"/>
      <w:start w:val="8"/>
    </w:lvl>
    <w:lvl w:ilvl="1">
      <w:lvlJc w:val="left"/>
      <w:lvlText w:val="(%2)"/>
      <w:numFmt w:val="lowerRoman"/>
      <w:start w:val="1"/>
    </w:lvl>
  </w:abstractNum>
  <w:abstractNum w:abstractNumId="130">
    <w:nsid w:val="63F37E85"/>
    <w:multiLevelType w:val="hybridMultilevel"/>
    <w:lvl w:ilvl="0">
      <w:lvlJc w:val="left"/>
      <w:lvlText w:val="(%1)"/>
      <w:numFmt w:val="lowerLetter"/>
      <w:start w:val="10"/>
    </w:lvl>
  </w:abstractNum>
  <w:abstractNum w:abstractNumId="131">
    <w:nsid w:val="5895F5FA"/>
    <w:multiLevelType w:val="hybridMultilevel"/>
    <w:lvl w:ilvl="0">
      <w:lvlJc w:val="left"/>
      <w:lvlText w:val="(%1)"/>
      <w:numFmt w:val="lowerLetter"/>
      <w:start w:val="1"/>
    </w:lvl>
    <w:lvl w:ilvl="1">
      <w:lvlJc w:val="left"/>
      <w:lvlText w:val="(%2)"/>
      <w:numFmt w:val="lowerLetter"/>
      <w:start w:val="9"/>
    </w:lvl>
  </w:abstractNum>
  <w:abstractNum w:abstractNumId="132">
    <w:nsid w:val="38A5D054"/>
    <w:multiLevelType w:val="hybridMultilevel"/>
    <w:lvl w:ilvl="0">
      <w:lvlJc w:val="left"/>
      <w:lvlText w:val="%1"/>
      <w:numFmt w:val="lowerLetter"/>
      <w:start w:val="1"/>
    </w:lvl>
    <w:lvl w:ilvl="1">
      <w:lvlJc w:val="left"/>
      <w:lvlText w:val="(%2)"/>
      <w:numFmt w:val="lowerRoman"/>
      <w:start w:val="2"/>
    </w:lvl>
  </w:abstractNum>
  <w:abstractNum w:abstractNumId="133">
    <w:nsid w:val="F3F09D8"/>
    <w:multiLevelType w:val="hybridMultilevel"/>
    <w:lvl w:ilvl="0">
      <w:lvlJc w:val="left"/>
      <w:lvlText w:val="(%1)"/>
      <w:numFmt w:val="lowerLetter"/>
      <w:start w:val="2"/>
    </w:lvl>
    <w:lvl w:ilvl="1">
      <w:lvlJc w:val="left"/>
      <w:lvlText w:val="%2"/>
      <w:numFmt w:val="lowerRoman"/>
      <w:start w:val="1"/>
    </w:lvl>
  </w:abstractNum>
  <w:abstractNum w:abstractNumId="134">
    <w:nsid w:val="4B793735"/>
    <w:multiLevelType w:val="hybridMultilevel"/>
    <w:lvl w:ilvl="0">
      <w:lvlJc w:val="left"/>
      <w:lvlText w:val="(%1)"/>
      <w:numFmt w:val="lowerLetter"/>
      <w:start w:val="6"/>
    </w:lvl>
    <w:lvl w:ilvl="1">
      <w:lvlJc w:val="left"/>
      <w:lvlText w:val="(%2)"/>
      <w:numFmt w:val="lowerRoman"/>
      <w:start w:val="1"/>
    </w:lvl>
  </w:abstractNum>
  <w:abstractNum w:abstractNumId="135">
    <w:nsid w:val="4A10B4E8"/>
    <w:multiLevelType w:val="hybridMultilevel"/>
    <w:lvl w:ilvl="0">
      <w:lvlJc w:val="left"/>
      <w:lvlText w:val="(%1)"/>
      <w:numFmt w:val="lowerLetter"/>
      <w:start w:val="1"/>
    </w:lvl>
  </w:abstractNum>
  <w:abstractNum w:abstractNumId="136">
    <w:nsid w:val="43D3BCD4"/>
    <w:multiLevelType w:val="hybridMultilevel"/>
    <w:lvl w:ilvl="0">
      <w:lvlJc w:val="left"/>
      <w:lvlText w:val="(%1)"/>
      <w:numFmt w:val="lowerLetter"/>
      <w:start w:val="2"/>
    </w:lvl>
  </w:abstractNum>
  <w:abstractNum w:abstractNumId="137">
    <w:nsid w:val="4C2A7166"/>
    <w:multiLevelType w:val="hybridMultilevel"/>
    <w:lvl w:ilvl="0">
      <w:lvlJc w:val="left"/>
      <w:lvlText w:val="(%1)"/>
      <w:numFmt w:val="lowerLetter"/>
      <w:start w:val="5"/>
    </w:lvl>
  </w:abstractNum>
  <w:abstractNum w:abstractNumId="138">
    <w:nsid w:val="2E534A82"/>
    <w:multiLevelType w:val="hybridMultilevel"/>
    <w:lvl w:ilvl="0">
      <w:lvlJc w:val="left"/>
      <w:lvlText w:val="(%1)"/>
      <w:numFmt w:val="lowerLetter"/>
      <w:start w:val="1"/>
    </w:lvl>
  </w:abstractNum>
  <w:abstractNum w:abstractNumId="139">
    <w:nsid w:val="26F2D364"/>
    <w:multiLevelType w:val="hybridMultilevel"/>
    <w:lvl w:ilvl="0">
      <w:lvlJc w:val="left"/>
      <w:lvlText w:val="(%1)"/>
      <w:numFmt w:val="lowerLetter"/>
      <w:start w:val="4"/>
    </w:lvl>
  </w:abstractNum>
  <w:abstractNum w:abstractNumId="140">
    <w:nsid w:val="71C1AF98"/>
    <w:multiLevelType w:val="hybridMultilevel"/>
    <w:lvl w:ilvl="0">
      <w:lvlJc w:val="left"/>
      <w:lvlText w:val="(%1)"/>
      <w:numFmt w:val="decimal"/>
      <w:start w:val="30"/>
    </w:lvl>
  </w:abstractNum>
  <w:abstractNum w:abstractNumId="141">
    <w:nsid w:val="3D00B9D9"/>
    <w:multiLevelType w:val="hybridMultilevel"/>
    <w:lvl w:ilvl="0">
      <w:lvlJc w:val="left"/>
      <w:lvlText w:val="(%1)"/>
      <w:numFmt w:val="lowerLetter"/>
      <w:start w:val="2"/>
    </w:lvl>
  </w:abstractNum>
  <w:abstractNum w:abstractNumId="142">
    <w:nsid w:val="15BCABA8"/>
    <w:multiLevelType w:val="hybridMultilevel"/>
    <w:lvl w:ilvl="0">
      <w:lvlJc w:val="left"/>
      <w:lvlText w:val="%1."/>
      <w:numFmt w:val="decimal"/>
      <w:start w:val="1"/>
    </w:lvl>
    <w:lvl w:ilvl="1">
      <w:lvlJc w:val="left"/>
      <w:lvlText w:val="%2."/>
      <w:numFmt w:val="lowerLetter"/>
      <w:start w:val="1"/>
    </w:lvl>
  </w:abstractNum>
  <w:abstractNum w:abstractNumId="143">
    <w:nsid w:val="4E0B9A87"/>
    <w:multiLevelType w:val="hybridMultilevel"/>
    <w:lvl w:ilvl="0">
      <w:lvlJc w:val="left"/>
      <w:lvlText w:val="%1."/>
      <w:numFmt w:val="decimal"/>
      <w:start w:val="14"/>
    </w:lvl>
  </w:abstractNum>
  <w:abstractNum w:abstractNumId="144">
    <w:nsid w:val="434BAE75"/>
    <w:multiLevelType w:val="hybridMultilevel"/>
    <w:lvl w:ilvl="0">
      <w:lvlJc w:val="left"/>
      <w:lvlText w:val="%1."/>
      <w:numFmt w:val="upperLetter"/>
      <w:start w:val="1"/>
    </w:lvl>
  </w:abstractNum>
  <w:abstractNum w:abstractNumId="145">
    <w:nsid w:val="4F38F265"/>
    <w:multiLevelType w:val="hybridMultilevel"/>
    <w:lvl w:ilvl="0">
      <w:lvlJc w:val="left"/>
      <w:lvlText w:val="(%1)"/>
      <w:numFmt w:val="lowerRoman"/>
      <w:start w:val="2"/>
    </w:lvl>
  </w:abstractNum>
  <w:abstractNum w:abstractNumId="146">
    <w:nsid w:val="4C502870"/>
    <w:multiLevelType w:val="hybridMultilevel"/>
    <w:lvl w:ilvl="0">
      <w:lvlJc w:val="left"/>
      <w:lvlText w:val="%1."/>
      <w:numFmt w:val="decimal"/>
      <w:start w:val="1"/>
    </w:lvl>
  </w:abstractNum>
  <w:abstractNum w:abstractNumId="147">
    <w:nsid w:val="1DE8725A"/>
    <w:multiLevelType w:val="hybridMultilevel"/>
    <w:lvl w:ilvl="0">
      <w:lvlJc w:val="left"/>
      <w:lvlText w:val="(%1)"/>
      <w:numFmt w:val="upperLetter"/>
      <w:start w:val="1"/>
    </w:lvl>
  </w:abstractNum>
  <w:abstractNum w:abstractNumId="148">
    <w:nsid w:val="6A37288A"/>
    <w:multiLevelType w:val="hybridMultilevel"/>
    <w:lvl w:ilvl="0">
      <w:lvlJc w:val="left"/>
      <w:lvlText w:val="%1."/>
      <w:numFmt w:val="decimal"/>
      <w:start w:val="2"/>
    </w:lvl>
  </w:abstractNum>
  <w:abstractNum w:abstractNumId="149">
    <w:nsid w:val="8F8B73F"/>
    <w:multiLevelType w:val="hybridMultilevel"/>
    <w:lvl w:ilvl="0">
      <w:lvlJc w:val="left"/>
      <w:lvlText w:val="(%1)"/>
      <w:numFmt w:val="upperLetter"/>
      <w:start w:val="1"/>
    </w:lvl>
  </w:abstractNum>
  <w:abstractNum w:abstractNumId="150">
    <w:nsid w:val="CA6B462"/>
    <w:multiLevelType w:val="hybridMultilevel"/>
    <w:lvl w:ilvl="0">
      <w:lvlJc w:val="left"/>
      <w:lvlText w:val="(%1)"/>
      <w:numFmt w:val="upperLetter"/>
      <w:start w:val="1"/>
    </w:lvl>
  </w:abstractNum>
  <w:abstractNum w:abstractNumId="151">
    <w:nsid w:val="763CB680"/>
    <w:multiLevelType w:val="hybridMultilevel"/>
    <w:lvl w:ilvl="0">
      <w:lvlJc w:val="left"/>
      <w:lvlText w:val="(%1)"/>
      <w:numFmt w:val="upperLetter"/>
      <w:start w:val="1"/>
    </w:lvl>
  </w:abstractNum>
  <w:abstractNum w:abstractNumId="152">
    <w:nsid w:val="15B71329"/>
    <w:multiLevelType w:val="hybridMultilevel"/>
    <w:lvl w:ilvl="0">
      <w:lvlJc w:val="left"/>
      <w:lvlText w:val="(%1)"/>
      <w:numFmt w:val="upperLetter"/>
      <w:start w:val="1"/>
    </w:lvl>
  </w:abstractNum>
  <w:abstractNum w:abstractNumId="153">
    <w:nsid w:val="3DA97044"/>
    <w:multiLevelType w:val="hybridMultilevel"/>
    <w:lvl w:ilvl="0">
      <w:lvlJc w:val="left"/>
      <w:lvlText w:val="(%1)"/>
      <w:numFmt w:val="upperLetter"/>
      <w:start w:val="3"/>
    </w:lvl>
  </w:abstractNum>
  <w:abstractNum w:abstractNumId="154">
    <w:nsid w:val="1CDCE2DE"/>
    <w:multiLevelType w:val="hybridMultilevel"/>
    <w:lvl w:ilvl="0">
      <w:lvlJc w:val="left"/>
      <w:lvlText w:val="%1."/>
      <w:numFmt w:val="decimal"/>
      <w:start w:val="3"/>
    </w:lvl>
  </w:abstractNum>
  <w:abstractNum w:abstractNumId="155">
    <w:nsid w:val="69D3947C"/>
    <w:multiLevelType w:val="hybridMultilevel"/>
    <w:lvl w:ilvl="0">
      <w:lvlJc w:val="left"/>
      <w:lvlText w:val="(%1)"/>
      <w:numFmt w:val="upperLetter"/>
      <w:start w:val="2"/>
    </w:lvl>
  </w:abstractNum>
  <w:abstractNum w:abstractNumId="156">
    <w:nsid w:val="2539DFA5"/>
    <w:multiLevelType w:val="hybridMultilevel"/>
    <w:lvl w:ilvl="0">
      <w:lvlJc w:val="left"/>
      <w:lvlText w:val="%1."/>
      <w:numFmt w:val="decimal"/>
      <w:start w:val="4"/>
    </w:lvl>
  </w:abstractNum>
  <w:abstractNum w:abstractNumId="157">
    <w:nsid w:val="2DB88089"/>
    <w:multiLevelType w:val="hybridMultilevel"/>
    <w:lvl w:ilvl="0">
      <w:lvlJc w:val="left"/>
      <w:lvlText w:val="(%1)"/>
      <w:numFmt w:val="upperLetter"/>
      <w:start w:val="1"/>
    </w:lvl>
  </w:abstractNum>
  <w:abstractNum w:abstractNumId="158">
    <w:nsid w:val="706B674E"/>
    <w:multiLevelType w:val="hybridMultilevel"/>
    <w:lvl w:ilvl="0">
      <w:lvlJc w:val="left"/>
      <w:lvlText w:val="(%1)"/>
      <w:numFmt w:val="upperLetter"/>
      <w:start w:val="1"/>
    </w:lvl>
  </w:abstractNum>
  <w:abstractNum w:abstractNumId="159">
    <w:nsid w:val="2C106A57"/>
    <w:multiLevelType w:val="hybridMultilevel"/>
    <w:lvl w:ilvl="0">
      <w:lvlJc w:val="left"/>
      <w:lvlText w:val="%1"/>
      <w:numFmt w:val="decimal"/>
      <w:start w:val="1"/>
    </w:lvl>
    <w:lvl w:ilvl="1">
      <w:lvlJc w:val="left"/>
      <w:lvlText w:val="(%2)"/>
      <w:numFmt w:val="upperLetter"/>
      <w:start w:val="2"/>
    </w:lvl>
  </w:abstractNum>
  <w:abstractNum w:abstractNumId="160">
    <w:nsid w:val="684EED59"/>
    <w:multiLevelType w:val="hybridMultilevel"/>
    <w:lvl w:ilvl="0">
      <w:lvlJc w:val="left"/>
      <w:lvlText w:val="%1."/>
      <w:numFmt w:val="decimal"/>
      <w:start w:val="5"/>
    </w:lvl>
    <w:lvl w:ilvl="1">
      <w:lvlJc w:val="left"/>
      <w:lvlText w:val="%2"/>
      <w:numFmt w:val="upperLetter"/>
      <w:start w:val="1"/>
    </w:lvl>
  </w:abstractNum>
  <w:abstractNum w:abstractNumId="161">
    <w:nsid w:val="545EE5D3"/>
    <w:multiLevelType w:val="hybridMultilevel"/>
    <w:lvl w:ilvl="0">
      <w:lvlJc w:val="left"/>
      <w:lvlText w:val="(%1)"/>
      <w:numFmt w:val="upperLetter"/>
      <w:start w:val="1"/>
    </w:lvl>
  </w:abstractNum>
  <w:abstractNum w:abstractNumId="162">
    <w:nsid w:val="4A66051"/>
    <w:multiLevelType w:val="hybridMultilevel"/>
    <w:lvl w:ilvl="0">
      <w:lvlJc w:val="left"/>
      <w:lvlText w:val="(%1)"/>
      <w:numFmt w:val="upperLetter"/>
      <w:start w:val="2"/>
    </w:lvl>
    <w:lvl w:ilvl="1">
      <w:lvlJc w:val="left"/>
      <w:lvlText w:val="(%2)"/>
      <w:numFmt w:val="decimal"/>
      <w:start w:val="1"/>
    </w:lvl>
  </w:abstractNum>
  <w:abstractNum w:abstractNumId="163">
    <w:nsid w:val="20F4BDAD"/>
    <w:multiLevelType w:val="hybridMultilevel"/>
    <w:lvl w:ilvl="0">
      <w:lvlJc w:val="left"/>
      <w:lvlText w:val="(%1)"/>
      <w:numFmt w:val="upperLetter"/>
      <w:start w:val="1"/>
    </w:lvl>
  </w:abstractNum>
  <w:abstractNum w:abstractNumId="164">
    <w:nsid w:val="639DEFAC"/>
    <w:multiLevelType w:val="hybridMultilevel"/>
    <w:lvl w:ilvl="0">
      <w:lvlJc w:val="left"/>
      <w:lvlText w:val="(%1)"/>
      <w:numFmt w:val="upperLetter"/>
      <w:start w:val="4"/>
    </w:lvl>
    <w:lvl w:ilvl="1">
      <w:lvlJc w:val="left"/>
      <w:lvlText w:val="(%2)"/>
      <w:numFmt w:val="upperLetter"/>
      <w:start w:val="2"/>
    </w:lvl>
  </w:abstractNum>
  <w:abstractNum w:abstractNumId="165">
    <w:nsid w:val="501F9786"/>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66">
    <w:nsid w:val="6B057295"/>
    <w:multiLevelType w:val="hybridMultilevel"/>
    <w:lvl w:ilvl="0">
      <w:lvlJc w:val="left"/>
      <w:lvlText w:val="(%1)"/>
      <w:numFmt w:val="upperLetter"/>
      <w:start w:val="3"/>
    </w:lvl>
    <w:lvl w:ilvl="1">
      <w:lvlJc w:val="left"/>
      <w:lvlText w:val="(%2)"/>
      <w:numFmt w:val="decimal"/>
      <w:start w:val="1"/>
    </w:lvl>
  </w:abstractNum>
  <w:abstractNum w:abstractNumId="167">
    <w:nsid w:val="2771AC80"/>
    <w:multiLevelType w:val="hybridMultilevel"/>
    <w:lvl w:ilvl="0">
      <w:lvlJc w:val="left"/>
      <w:lvlText w:val="(%1)"/>
      <w:numFmt w:val="decimal"/>
      <w:start w:val="2"/>
    </w:lvl>
  </w:abstractNum>
  <w:abstractNum w:abstractNumId="168">
    <w:nsid w:val="1C4A08EC"/>
    <w:multiLevelType w:val="hybridMultilevel"/>
    <w:lvl w:ilvl="0">
      <w:lvlJc w:val="left"/>
      <w:lvlText w:val="(%1)"/>
      <w:numFmt w:val="decimal"/>
      <w:start w:val="1"/>
    </w:lvl>
  </w:abstractNum>
  <w:abstractNum w:abstractNumId="169">
    <w:nsid w:val="1958BD17"/>
    <w:multiLevelType w:val="hybridMultilevel"/>
    <w:lvl w:ilvl="0">
      <w:lvlJc w:val="left"/>
      <w:lvlText w:val="(%1)"/>
      <w:numFmt w:val="upperLetter"/>
      <w:start w:val="1"/>
    </w:lvl>
  </w:abstractNum>
  <w:abstractNum w:abstractNumId="170">
    <w:nsid w:val="4E647FE4"/>
    <w:multiLevelType w:val="hybridMultilevel"/>
    <w:lvl w:ilvl="0">
      <w:lvlJc w:val="left"/>
      <w:lvlText w:val="(%1)"/>
      <w:numFmt w:val="upperLetter"/>
      <w:start w:val="1"/>
    </w:lvl>
    <w:lvl w:ilvl="1">
      <w:lvlJc w:val="left"/>
      <w:lvlText w:val="(%2)"/>
      <w:numFmt w:val="decimal"/>
      <w:start w:val="2"/>
    </w:lvl>
  </w:abstractNum>
  <w:abstractNum w:abstractNumId="171">
    <w:nsid w:val="E0BB885"/>
    <w:multiLevelType w:val="hybridMultilevel"/>
    <w:lvl w:ilvl="0">
      <w:lvlJc w:val="left"/>
      <w:lvlText w:val="(%1)"/>
      <w:numFmt w:val="upperLetter"/>
      <w:start w:val="3"/>
    </w:lvl>
  </w:abstractNum>
  <w:abstractNum w:abstractNumId="172">
    <w:nsid w:val="565976F1"/>
    <w:multiLevelType w:val="hybridMultilevel"/>
    <w:lvl w:ilvl="0">
      <w:lvlJc w:val="left"/>
      <w:lvlText w:val="(%1)"/>
      <w:numFmt w:val="upperLetter"/>
      <w:start w:val="1"/>
    </w:lvl>
  </w:abstractNum>
  <w:abstractNum w:abstractNumId="173">
    <w:nsid w:val="64212B8C"/>
    <w:multiLevelType w:val="hybridMultilevel"/>
    <w:lvl w:ilvl="0">
      <w:lvlJc w:val="left"/>
      <w:lvlText w:val="(%1)"/>
      <w:numFmt w:val="upperLetter"/>
      <w:start w:val="5"/>
    </w:lvl>
  </w:abstractNum>
  <w:abstractNum w:abstractNumId="174">
    <w:nsid w:val="5C17530C"/>
    <w:multiLevelType w:val="hybridMultilevel"/>
    <w:lvl w:ilvl="0">
      <w:lvlJc w:val="left"/>
      <w:lvlText w:val="(%1)"/>
      <w:numFmt w:val="upperLetter"/>
      <w:start w:val="6"/>
    </w:lvl>
  </w:abstractNum>
  <w:abstractNum w:abstractNumId="175">
    <w:nsid w:val="19A52566"/>
    <w:multiLevelType w:val="hybridMultilevel"/>
    <w:lvl w:ilvl="0">
      <w:lvlJc w:val="left"/>
      <w:lvlText w:val="(%1)"/>
      <w:numFmt w:val="upperLetter"/>
      <w:start w:val="7"/>
    </w:lvl>
    <w:lvl w:ilvl="1">
      <w:lvlJc w:val="left"/>
      <w:lvlText w:val="(%2)"/>
      <w:numFmt w:val="decimal"/>
      <w:start w:val="45"/>
    </w:lvl>
  </w:abstractNum>
  <w:abstractNum w:abstractNumId="176">
    <w:nsid w:val="335A1DF1"/>
    <w:multiLevelType w:val="hybridMultilevel"/>
    <w:lvl w:ilvl="0">
      <w:lvlJc w:val="left"/>
      <w:lvlText w:val="(%1)"/>
      <w:numFmt w:val="upperLetter"/>
      <w:start w:val="8"/>
    </w:lvl>
  </w:abstractNum>
  <w:abstractNum w:abstractNumId="177">
    <w:nsid w:val="28677B7C"/>
    <w:multiLevelType w:val="hybridMultilevel"/>
    <w:lvl w:ilvl="0">
      <w:lvlJc w:val="left"/>
      <w:lvlText w:val="(%1)"/>
      <w:numFmt w:val="upperLetter"/>
      <w:start w:val="1"/>
    </w:lvl>
  </w:abstractNum>
  <w:abstractNum w:abstractNumId="178">
    <w:nsid w:val="378D97C0"/>
    <w:multiLevelType w:val="hybridMultilevel"/>
    <w:lvl w:ilvl="0">
      <w:lvlJc w:val="left"/>
      <w:lvlText w:val="(%1)"/>
      <w:numFmt w:val="upperLetter"/>
      <w:start w:val="3"/>
    </w:lvl>
  </w:abstractNum>
  <w:abstractNum w:abstractNumId="179">
    <w:nsid w:val="1D91467C"/>
    <w:multiLevelType w:val="hybridMultilevel"/>
    <w:lvl w:ilvl="0">
      <w:lvlJc w:val="left"/>
      <w:lvlText w:val="(%1)"/>
      <w:numFmt w:val="upperLetter"/>
      <w:start w:val="4"/>
    </w:lvl>
  </w:abstractNum>
  <w:abstractNum w:abstractNumId="180">
    <w:nsid w:val="316032BB"/>
    <w:multiLevelType w:val="hybridMultilevel"/>
    <w:lvl w:ilvl="0">
      <w:lvlJc w:val="left"/>
      <w:lvlText w:val="(%1)"/>
      <w:numFmt w:val="upperLetter"/>
      <w:start w:val="6"/>
    </w:lvl>
  </w:abstractNum>
  <w:abstractNum w:abstractNumId="181">
    <w:nsid w:val="44344C22"/>
    <w:multiLevelType w:val="hybridMultilevel"/>
    <w:lvl w:ilvl="0">
      <w:lvlJc w:val="left"/>
      <w:lvlText w:val="%1."/>
      <w:numFmt w:val="decimal"/>
      <w:start w:val="7"/>
    </w:lvl>
  </w:abstractNum>
  <w:abstractNum w:abstractNumId="182">
    <w:nsid w:val="13CDFCFC"/>
    <w:multiLevelType w:val="hybridMultilevel"/>
    <w:lvl w:ilvl="0">
      <w:lvlJc w:val="left"/>
      <w:lvlText w:val="%1."/>
      <w:numFmt w:val="decimal"/>
      <w:start w:val="8"/>
    </w:lvl>
  </w:abstractNum>
  <w:abstractNum w:abstractNumId="183">
    <w:nsid w:val="471745E4"/>
    <w:multiLevelType w:val="hybridMultilevel"/>
    <w:lvl w:ilvl="0">
      <w:lvlJc w:val="left"/>
      <w:lvlText w:val="(%1)"/>
      <w:numFmt w:val="upperLetter"/>
      <w:start w:val="1"/>
    </w:lvl>
  </w:abstractNum>
  <w:abstractNum w:abstractNumId="184">
    <w:nsid w:val="1DDBC66"/>
    <w:multiLevelType w:val="hybridMultilevel"/>
    <w:lvl w:ilvl="0">
      <w:lvlJc w:val="left"/>
      <w:lvlText w:val="(%1)"/>
      <w:numFmt w:val="upperLetter"/>
      <w:start w:val="1"/>
    </w:lvl>
  </w:abstractNum>
  <w:abstractNum w:abstractNumId="185">
    <w:nsid w:val="30AADFDA"/>
    <w:multiLevelType w:val="hybridMultilevel"/>
    <w:lvl w:ilvl="0">
      <w:lvlJc w:val="left"/>
      <w:lvlText w:val="(%1)"/>
      <w:numFmt w:val="decimal"/>
      <w:start w:val="1"/>
    </w:lvl>
  </w:abstractNum>
  <w:abstractNum w:abstractNumId="186">
    <w:nsid w:val="30EADA61"/>
    <w:multiLevelType w:val="hybridMultilevel"/>
    <w:lvl w:ilvl="0">
      <w:lvlJc w:val="left"/>
      <w:lvlText w:val="%1"/>
      <w:numFmt w:val="upperLetter"/>
      <w:start w:val="1"/>
    </w:lvl>
    <w:lvl w:ilvl="1">
      <w:lvlJc w:val="left"/>
      <w:lvlText w:val="(%2)"/>
      <w:numFmt w:val="upperLetter"/>
      <w:start w:val="1"/>
    </w:lvl>
  </w:abstractNum>
  <w:abstractNum w:abstractNumId="187">
    <w:nsid w:val="27179C0B"/>
    <w:multiLevelType w:val="hybridMultilevel"/>
    <w:lvl w:ilvl="0">
      <w:lvlJc w:val="left"/>
      <w:lvlText w:val="(%1)"/>
      <w:numFmt w:val="upperLetter"/>
      <w:start w:val="2"/>
    </w:lvl>
    <w:lvl w:ilvl="1">
      <w:lvlJc w:val="left"/>
      <w:lvlText w:val="%2"/>
      <w:numFmt w:val="upperLetter"/>
      <w:start w:val="1"/>
    </w:lvl>
  </w:abstractNum>
  <w:abstractNum w:abstractNumId="188">
    <w:nsid w:val="5E636063"/>
    <w:multiLevelType w:val="hybridMultilevel"/>
    <w:lvl w:ilvl="0">
      <w:lvlJc w:val="left"/>
      <w:lvlText w:val="(%1)"/>
      <w:numFmt w:val="decimal"/>
      <w:start w:val="1"/>
    </w:lvl>
  </w:abstractNum>
  <w:abstractNum w:abstractNumId="189">
    <w:nsid w:val="215641AF"/>
    <w:multiLevelType w:val="hybridMultilevel"/>
    <w:lvl w:ilvl="0">
      <w:lvlJc w:val="left"/>
      <w:lvlText w:val="(%1)"/>
      <w:numFmt w:val="upperLetter"/>
      <w:start w:val="1"/>
    </w:lvl>
  </w:abstractNum>
  <w:abstractNum w:abstractNumId="190">
    <w:nsid w:val="53280662"/>
    <w:multiLevelType w:val="hybridMultilevel"/>
    <w:lvl w:ilvl="0">
      <w:lvlJc w:val="left"/>
      <w:lvlText w:val="(%1)"/>
      <w:numFmt w:val="upperLetter"/>
      <w:start w:val="2"/>
    </w:lvl>
  </w:abstractNum>
  <w:abstractNum w:abstractNumId="191">
    <w:nsid w:val="46B24DBC"/>
    <w:multiLevelType w:val="hybridMultilevel"/>
    <w:lvl w:ilvl="0">
      <w:lvlJc w:val="left"/>
      <w:lvlText w:val="%1."/>
      <w:numFmt w:val="decimal"/>
      <w:start w:val="10"/>
    </w:lvl>
  </w:abstractNum>
  <w:abstractNum w:abstractNumId="192">
    <w:nsid w:val="75B52783"/>
    <w:multiLevelType w:val="hybridMultilevel"/>
    <w:lvl w:ilvl="0">
      <w:lvlJc w:val="left"/>
      <w:lvlText w:val="(%1)"/>
      <w:numFmt w:val="upperLetter"/>
      <w:start w:val="1"/>
    </w:lvl>
  </w:abstractNum>
  <w:abstractNum w:abstractNumId="193">
    <w:nsid w:val="57CE66B4"/>
    <w:multiLevelType w:val="hybridMultilevel"/>
    <w:lvl w:ilvl="0">
      <w:lvlJc w:val="left"/>
      <w:lvlText w:val="%1."/>
      <w:numFmt w:val="decimal"/>
      <w:start w:val="11"/>
    </w:lvl>
  </w:abstractNum>
  <w:abstractNum w:abstractNumId="194">
    <w:nsid w:val="67A70B69"/>
    <w:multiLevelType w:val="hybridMultilevel"/>
    <w:lvl w:ilvl="0">
      <w:lvlJc w:val="left"/>
      <w:lvlText w:val="(%1)"/>
      <w:numFmt w:val="upperLetter"/>
      <w:start w:val="1"/>
    </w:lvl>
    <w:lvl w:ilvl="1">
      <w:lvlJc w:val="left"/>
      <w:lvlText w:val="(%2)"/>
      <w:numFmt w:val="decimal"/>
      <w:start w:val="1"/>
    </w:lvl>
  </w:abstractNum>
  <w:abstractNum w:abstractNumId="195">
    <w:nsid w:val="5953172F"/>
    <w:multiLevelType w:val="hybridMultilevel"/>
    <w:lvl w:ilvl="0">
      <w:lvlJc w:val="left"/>
      <w:lvlText w:val="%1"/>
      <w:numFmt w:val="upperLetter"/>
      <w:start w:val="1"/>
    </w:lvl>
    <w:lvl w:ilvl="1">
      <w:lvlJc w:val="left"/>
      <w:lvlText w:val="(%2)"/>
      <w:numFmt w:val="decimal"/>
      <w:start w:val="4"/>
    </w:lvl>
  </w:abstractNum>
  <w:abstractNum w:abstractNumId="196">
    <w:nsid w:val="27EDFE3A"/>
    <w:multiLevelType w:val="hybridMultilevel"/>
    <w:lvl w:ilvl="0">
      <w:lvlJc w:val="left"/>
      <w:lvlText w:val="(%1)"/>
      <w:numFmt w:val="upperLetter"/>
      <w:start w:val="2"/>
    </w:lvl>
    <w:lvl w:ilvl="1">
      <w:lvlJc w:val="left"/>
      <w:lvlText w:val="(%2)"/>
      <w:numFmt w:val="decimal"/>
      <w:start w:val="1"/>
    </w:lvl>
  </w:abstractNum>
  <w:abstractNum w:abstractNumId="197">
    <w:nsid w:val="52AC7DFF"/>
    <w:multiLevelType w:val="hybridMultilevel"/>
    <w:lvl w:ilvl="0">
      <w:lvlJc w:val="left"/>
      <w:lvlText w:val="(%1)"/>
      <w:numFmt w:val="decimal"/>
      <w:start w:val="5"/>
    </w:lvl>
  </w:abstractNum>
  <w:abstractNum w:abstractNumId="198">
    <w:nsid w:val="C4C3AF"/>
    <w:multiLevelType w:val="hybridMultilevel"/>
    <w:lvl w:ilvl="0">
      <w:lvlJc w:val="left"/>
      <w:lvlText w:val="(%1)"/>
      <w:numFmt w:val="upperLetter"/>
      <w:start w:val="1"/>
    </w:lvl>
    <w:lvl w:ilvl="1">
      <w:lvlJc w:val="left"/>
      <w:lvlText w:val="(%2)"/>
      <w:numFmt w:val="decimal"/>
      <w:start w:val="1"/>
    </w:lvl>
  </w:abstractNum>
  <w:abstractNum w:abstractNumId="199">
    <w:nsid w:val="44380727"/>
    <w:multiLevelType w:val="hybridMultilevel"/>
    <w:lvl w:ilvl="0">
      <w:lvlJc w:val="left"/>
      <w:lvlText w:val="(%1)"/>
      <w:numFmt w:val="decimal"/>
      <w:start w:val="2"/>
    </w:lvl>
  </w:abstractNum>
  <w:abstractNum w:abstractNumId="200">
    <w:nsid w:val="6C053B16"/>
    <w:multiLevelType w:val="hybridMultilevel"/>
    <w:lvl w:ilvl="0">
      <w:lvlJc w:val="left"/>
      <w:lvlText w:val="%1"/>
      <w:numFmt w:val="upperLetter"/>
      <w:start w:val="1"/>
    </w:lvl>
    <w:lvl w:ilvl="1">
      <w:lvlJc w:val="left"/>
      <w:lvlText w:val="(%2)"/>
      <w:numFmt w:val="decimal"/>
      <w:start w:val="3"/>
    </w:lvl>
  </w:abstractNum>
  <w:abstractNum w:abstractNumId="201">
    <w:nsid w:val="4F294393"/>
    <w:multiLevelType w:val="hybridMultilevel"/>
    <w:lvl w:ilvl="0">
      <w:lvlJc w:val="left"/>
      <w:lvlText w:val="(%1)"/>
      <w:numFmt w:val="upperLetter"/>
      <w:start w:val="2"/>
    </w:lvl>
    <w:lvl w:ilvl="1">
      <w:lvlJc w:val="left"/>
      <w:lvlText w:val="(%2)"/>
      <w:numFmt w:val="decimal"/>
      <w:start w:val="1"/>
    </w:lvl>
  </w:abstractNum>
  <w:abstractNum w:abstractNumId="202">
    <w:nsid w:val="5243BFAC"/>
    <w:multiLevelType w:val="hybridMultilevel"/>
    <w:lvl w:ilvl="0">
      <w:lvlJc w:val="left"/>
      <w:lvlText w:val="%1"/>
      <w:numFmt w:val="upperLetter"/>
      <w:start w:val="1"/>
    </w:lvl>
    <w:lvl w:ilvl="1">
      <w:lvlJc w:val="left"/>
      <w:lvlText w:val="(%2)"/>
      <w:numFmt w:val="decimal"/>
      <w:start w:val="2"/>
    </w:lvl>
  </w:abstractNum>
  <w:abstractNum w:abstractNumId="203">
    <w:nsid w:val="425EB207"/>
    <w:multiLevelType w:val="hybridMultilevel"/>
    <w:lvl w:ilvl="0">
      <w:lvlJc w:val="left"/>
      <w:lvlText w:val="(%1)"/>
      <w:numFmt w:val="upperLetter"/>
      <w:start w:val="3"/>
    </w:lvl>
    <w:lvl w:ilvl="1">
      <w:lvlJc w:val="left"/>
      <w:lvlText w:val="(%2)"/>
      <w:numFmt w:val="decimal"/>
      <w:start w:val="1"/>
    </w:lvl>
  </w:abstractNum>
  <w:abstractNum w:abstractNumId="204">
    <w:nsid w:val="334A6F1F"/>
    <w:multiLevelType w:val="hybridMultilevel"/>
    <w:lvl w:ilvl="0">
      <w:lvlJc w:val="left"/>
      <w:lvlText w:val="(%1)"/>
      <w:numFmt w:val="decimal"/>
      <w:start w:val="4"/>
    </w:lvl>
  </w:abstractNum>
  <w:abstractNum w:abstractNumId="205">
    <w:nsid w:val="2E5B12B8"/>
    <w:multiLevelType w:val="hybridMultilevel"/>
    <w:lvl w:ilvl="0">
      <w:lvlJc w:val="left"/>
      <w:lvlText w:val="%1."/>
      <w:numFmt w:val="decimal"/>
      <w:start w:val="12"/>
    </w:lvl>
  </w:abstractNum>
  <w:abstractNum w:abstractNumId="206">
    <w:nsid w:val="5C03D76D"/>
    <w:multiLevelType w:val="hybridMultilevel"/>
    <w:lvl w:ilvl="0">
      <w:lvlJc w:val="left"/>
      <w:lvlText w:val="(%1)"/>
      <w:numFmt w:val="upperLetter"/>
      <w:start w:val="1"/>
    </w:lvl>
    <w:lvl w:ilvl="1">
      <w:lvlJc w:val="left"/>
      <w:lvlText w:val="(%2)"/>
      <w:numFmt w:val="decimal"/>
      <w:start w:val="1"/>
    </w:lvl>
  </w:abstractNum>
  <w:abstractNum w:abstractNumId="207">
    <w:nsid w:val="66A48D11"/>
    <w:multiLevelType w:val="hybridMultilevel"/>
    <w:lvl w:ilvl="0">
      <w:lvlJc w:val="left"/>
      <w:lvlText w:val="(%1)"/>
      <w:numFmt w:val="decimal"/>
      <w:start w:val="5"/>
    </w:lvl>
  </w:abstractNum>
  <w:abstractNum w:abstractNumId="208">
    <w:nsid w:val="56C28E34"/>
    <w:multiLevelType w:val="hybridMultilevel"/>
    <w:lvl w:ilvl="0">
      <w:lvlJc w:val="left"/>
      <w:lvlText w:val="%1"/>
      <w:numFmt w:val="decimal"/>
      <w:start w:val="1"/>
    </w:lvl>
    <w:lvl w:ilvl="1">
      <w:lvlJc w:val="left"/>
      <w:lvlText w:val="(%2)"/>
      <w:numFmt w:val="upperLetter"/>
      <w:start w:val="2"/>
    </w:lvl>
  </w:abstractNum>
  <w:abstractNum w:abstractNumId="209">
    <w:nsid w:val="13916F2D"/>
    <w:multiLevelType w:val="hybridMultilevel"/>
    <w:lvl w:ilvl="0">
      <w:lvlJc w:val="left"/>
      <w:lvlText w:val="%1."/>
      <w:numFmt w:val="decimal"/>
      <w:start w:val="13"/>
    </w:lvl>
    <w:lvl w:ilvl="1">
      <w:lvlJc w:val="left"/>
      <w:lvlText w:val="%2"/>
      <w:numFmt w:val="upperLetter"/>
      <w:start w:val="1"/>
    </w:lvl>
  </w:abstractNum>
  <w:abstractNum w:abstractNumId="210">
    <w:nsid w:val="435D38D"/>
    <w:multiLevelType w:val="hybridMultilevel"/>
    <w:lvl w:ilvl="0">
      <w:lvlJc w:val="left"/>
      <w:lvlText w:val="(%1)"/>
      <w:numFmt w:val="upperLetter"/>
      <w:start w:val="1"/>
    </w:lvl>
  </w:abstractNum>
  <w:abstractNum w:abstractNumId="211">
    <w:nsid w:val="822C0EF"/>
    <w:multiLevelType w:val="hybridMultilevel"/>
    <w:lvl w:ilvl="0">
      <w:lvlJc w:val="left"/>
      <w:lvlText w:val="(%1)"/>
      <w:numFmt w:val="upperLetter"/>
      <w:start w:val="1"/>
    </w:lvl>
  </w:abstractNum>
  <w:abstractNum w:abstractNumId="212">
    <w:nsid w:val="57C5BB4F"/>
    <w:multiLevelType w:val="hybridMultilevel"/>
    <w:lvl w:ilvl="0">
      <w:lvlJc w:val="left"/>
      <w:lvlText w:val="(%1)"/>
      <w:numFmt w:val="upperLetter"/>
      <w:start w:val="2"/>
    </w:lvl>
  </w:abstractNum>
  <w:abstractNum w:abstractNumId="213">
    <w:nsid w:val="1803D089"/>
    <w:multiLevelType w:val="hybridMultilevel"/>
    <w:lvl w:ilvl="0">
      <w:lvlJc w:val="left"/>
      <w:lvlText w:val="%1."/>
      <w:numFmt w:val="decimal"/>
      <w:start w:val="14"/>
    </w:lvl>
  </w:abstractNum>
  <w:abstractNum w:abstractNumId="214">
    <w:nsid w:val="4F3A06D4"/>
    <w:multiLevelType w:val="hybridMultilevel"/>
    <w:lvl w:ilvl="0">
      <w:lvlJc w:val="left"/>
      <w:lvlText w:val="(%1)"/>
      <w:numFmt w:val="upperLetter"/>
      <w:start w:val="1"/>
    </w:lvl>
  </w:abstractNum>
  <w:abstractNum w:abstractNumId="215">
    <w:nsid w:val="59A377B6"/>
    <w:multiLevelType w:val="hybridMultilevel"/>
    <w:lvl w:ilvl="0">
      <w:lvlJc w:val="left"/>
      <w:lvlText w:val="(%1)"/>
      <w:numFmt w:val="upperLetter"/>
      <w:start w:val="5"/>
    </w:lvl>
  </w:abstractNum>
  <w:abstractNum w:abstractNumId="216">
    <w:nsid w:val="48AEB063"/>
    <w:multiLevelType w:val="hybridMultilevel"/>
    <w:lvl w:ilvl="0">
      <w:lvlJc w:val="left"/>
      <w:lvlText w:val="(%1)"/>
      <w:numFmt w:val="upperLetter"/>
      <w:start w:val="1"/>
    </w:lvl>
  </w:abstractNum>
  <w:abstractNum w:abstractNumId="217">
    <w:nsid w:val="24E135"/>
    <w:multiLevelType w:val="hybridMultilevel"/>
    <w:lvl w:ilvl="0">
      <w:lvlJc w:val="left"/>
      <w:lvlText w:val="(%1)"/>
      <w:numFmt w:val="upperLetter"/>
      <w:start w:val="4"/>
    </w:lvl>
  </w:abstractNum>
  <w:abstractNum w:abstractNumId="218">
    <w:nsid w:val="BB13C1"/>
    <w:multiLevelType w:val="hybridMultilevel"/>
    <w:lvl w:ilvl="0">
      <w:lvlJc w:val="left"/>
      <w:lvlText w:val="%1"/>
      <w:numFmt w:val="decimal"/>
      <w:start w:val="1"/>
    </w:lvl>
    <w:lvl w:ilvl="1">
      <w:lvlJc w:val="left"/>
      <w:lvlText w:val="(%2)"/>
      <w:numFmt w:val="upperLetter"/>
      <w:start w:val="1"/>
    </w:lvl>
  </w:abstractNum>
  <w:abstractNum w:abstractNumId="219">
    <w:nsid w:val="271210C7"/>
    <w:multiLevelType w:val="hybridMultilevel"/>
    <w:lvl w:ilvl="0">
      <w:lvlJc w:val="left"/>
      <w:lvlText w:val="%1."/>
      <w:numFmt w:val="decimal"/>
      <w:start w:val="15"/>
    </w:lvl>
    <w:lvl w:ilvl="1">
      <w:lvlJc w:val="left"/>
      <w:lvlText w:val="%2"/>
      <w:numFmt w:val="upperLetter"/>
      <w:start w:val="1"/>
    </w:lvl>
  </w:abstractNum>
  <w:abstractNum w:abstractNumId="220">
    <w:nsid w:val="217B22E4"/>
    <w:multiLevelType w:val="hybridMultilevel"/>
    <w:lvl w:ilvl="0">
      <w:lvlJc w:val="left"/>
      <w:lvlText w:val="%1."/>
      <w:numFmt w:val="decimal"/>
      <w:start w:val="16"/>
    </w:lvl>
  </w:abstractNum>
  <w:abstractNum w:abstractNumId="221">
    <w:nsid w:val="53E31A24"/>
    <w:multiLevelType w:val="hybridMultilevel"/>
    <w:lvl w:ilvl="0">
      <w:lvlJc w:val="left"/>
      <w:lvlText w:val="(%1)"/>
      <w:numFmt w:val="decimal"/>
      <w:start w:val="90"/>
    </w:lvl>
  </w:abstractNum>
  <w:abstractNum w:abstractNumId="222">
    <w:nsid w:val="6DC45E83"/>
    <w:multiLevelType w:val="hybridMultilevel"/>
    <w:lvl w:ilvl="0">
      <w:lvlJc w:val="left"/>
      <w:lvlText w:val="(%1)"/>
      <w:numFmt w:val="upperLetter"/>
      <w:start w:val="1"/>
    </w:lvl>
  </w:abstractNum>
  <w:abstractNum w:abstractNumId="223">
    <w:nsid w:val="17304A67"/>
    <w:multiLevelType w:val="hybridMultilevel"/>
    <w:lvl w:ilvl="0">
      <w:lvlJc w:val="left"/>
      <w:lvlText w:val="(%1)"/>
      <w:numFmt w:val="upperLetter"/>
      <w:start w:val="7"/>
    </w:lvl>
  </w:abstractNum>
  <w:abstractNum w:abstractNumId="224">
    <w:nsid w:val="2BB180D8"/>
    <w:multiLevelType w:val="hybridMultilevel"/>
    <w:lvl w:ilvl="0">
      <w:lvlJc w:val="left"/>
      <w:lvlText w:val="(%1)"/>
      <w:numFmt w:val="upperLetter"/>
      <w:start w:val="1"/>
    </w:lvl>
  </w:abstractNum>
  <w:abstractNum w:abstractNumId="225">
    <w:nsid w:val="556B69ED"/>
    <w:multiLevelType w:val="hybridMultilevel"/>
    <w:lvl w:ilvl="0">
      <w:lvlJc w:val="left"/>
      <w:lvlText w:val="%1"/>
      <w:numFmt w:val="upperLetter"/>
      <w:start w:val="1"/>
    </w:lvl>
    <w:lvl w:ilvl="1">
      <w:lvlJc w:val="left"/>
      <w:lvlText w:val="(%2)"/>
      <w:numFmt w:val="decimal"/>
      <w:start w:val="1"/>
    </w:lvl>
  </w:abstractNum>
  <w:abstractNum w:abstractNumId="226">
    <w:nsid w:val="70836196"/>
    <w:multiLevelType w:val="hybridMultilevel"/>
    <w:lvl w:ilvl="0">
      <w:lvlJc w:val="left"/>
      <w:lvlText w:val="(%1)"/>
      <w:numFmt w:val="upperLetter"/>
      <w:start w:val="3"/>
    </w:lvl>
    <w:lvl w:ilvl="1">
      <w:lvlJc w:val="left"/>
      <w:lvlText w:val="(%2)"/>
      <w:numFmt w:val="decimal"/>
      <w:start w:val="1"/>
    </w:lvl>
  </w:abstractNum>
  <w:abstractNum w:abstractNumId="227">
    <w:nsid w:val="539F7F12"/>
    <w:multiLevelType w:val="hybridMultilevel"/>
    <w:lvl w:ilvl="0">
      <w:lvlJc w:val="left"/>
      <w:lvlText w:val="%1"/>
      <w:numFmt w:val="upperLetter"/>
      <w:start w:val="1"/>
    </w:lvl>
    <w:lvl w:ilvl="1">
      <w:lvlJc w:val="left"/>
      <w:lvlText w:val="(%2)"/>
      <w:numFmt w:val="decimal"/>
      <w:start w:val="4"/>
    </w:lvl>
  </w:abstractNum>
  <w:abstractNum w:abstractNumId="228">
    <w:nsid w:val="2817E7EC"/>
    <w:multiLevelType w:val="hybridMultilevel"/>
    <w:lvl w:ilvl="0">
      <w:lvlJc w:val="left"/>
      <w:lvlText w:val="(%1)"/>
      <w:numFmt w:val="upperLetter"/>
      <w:start w:val="4"/>
    </w:lvl>
    <w:lvl w:ilvl="1">
      <w:lvlJc w:val="left"/>
      <w:lvlText w:val="%2"/>
      <w:numFmt w:val="decimal"/>
      <w:start w:val="1"/>
    </w:lvl>
  </w:abstractNum>
  <w:abstractNum w:abstractNumId="229">
    <w:nsid w:val="71482545"/>
    <w:multiLevelType w:val="hybridMultilevel"/>
    <w:lvl w:ilvl="0">
      <w:lvlJc w:val="left"/>
      <w:lvlText w:val="(%1)"/>
      <w:numFmt w:val="upperLetter"/>
      <w:start w:val="1"/>
    </w:lvl>
  </w:abstractNum>
  <w:abstractNum w:abstractNumId="230">
    <w:nsid w:val="17D78639"/>
    <w:multiLevelType w:val="hybridMultilevel"/>
    <w:lvl w:ilvl="0">
      <w:lvlJc w:val="left"/>
      <w:lvlText w:val="(%1)"/>
      <w:numFmt w:val="upperLetter"/>
      <w:start w:val="2"/>
    </w:lvl>
  </w:abstractNum>
  <w:abstractNum w:abstractNumId="231">
    <w:nsid w:val="141D2302"/>
    <w:multiLevelType w:val="hybridMultilevel"/>
    <w:lvl w:ilvl="0">
      <w:lvlJc w:val="left"/>
      <w:lvlText w:val="%1"/>
      <w:numFmt w:val="decimal"/>
      <w:start w:val="1"/>
    </w:lvl>
    <w:lvl w:ilvl="1">
      <w:lvlJc w:val="left"/>
      <w:lvlText w:val="(%2)"/>
      <w:numFmt w:val="upperLetter"/>
      <w:start w:val="1"/>
    </w:lvl>
  </w:abstractNum>
  <w:abstractNum w:abstractNumId="232">
    <w:nsid w:val="407168D8"/>
    <w:multiLevelType w:val="hybridMultilevel"/>
    <w:lvl w:ilvl="0">
      <w:lvlJc w:val="left"/>
      <w:lvlText w:val="%1."/>
      <w:numFmt w:val="decimal"/>
      <w:start w:val="17"/>
    </w:lvl>
    <w:lvl w:ilvl="1">
      <w:lvlJc w:val="left"/>
      <w:lvlText w:val="%2"/>
      <w:numFmt w:val="upperLetter"/>
      <w:start w:val="1"/>
    </w:lvl>
  </w:abstractNum>
  <w:abstractNum w:abstractNumId="233">
    <w:nsid w:val="6A1B45E5"/>
    <w:multiLevelType w:val="hybridMultilevel"/>
    <w:lvl w:ilvl="0">
      <w:lvlJc w:val="left"/>
      <w:lvlText w:val="%1."/>
      <w:numFmt w:val="decimal"/>
      <w:start w:val="18"/>
    </w:lvl>
  </w:abstractNum>
  <w:abstractNum w:abstractNumId="234">
    <w:nsid w:val="567BD50A"/>
    <w:multiLevelType w:val="hybridMultilevel"/>
    <w:lvl w:ilvl="0">
      <w:lvlJc w:val="left"/>
      <w:lvlText w:val="(%1)"/>
      <w:numFmt w:val="upperLetter"/>
      <w:start w:val="1"/>
    </w:lvl>
  </w:abstractNum>
  <w:abstractNum w:abstractNumId="235">
    <w:nsid w:val="73BBD7F8"/>
    <w:multiLevelType w:val="hybridMultilevel"/>
    <w:lvl w:ilvl="0">
      <w:lvlJc w:val="left"/>
      <w:lvlText w:val="(%1)"/>
      <w:numFmt w:val="lowerRoman"/>
      <w:start w:val="1"/>
    </w:lvl>
  </w:abstractNum>
  <w:abstractNum w:abstractNumId="236">
    <w:nsid w:val="1876589D"/>
    <w:multiLevelType w:val="hybridMultilevel"/>
    <w:lvl w:ilvl="0">
      <w:lvlJc w:val="left"/>
      <w:lvlText w:val="(%1)"/>
      <w:numFmt w:val="upperLetter"/>
      <w:start w:val="1"/>
    </w:lvl>
  </w:abstractNum>
  <w:abstractNum w:abstractNumId="237">
    <w:nsid w:val="327FAC77"/>
    <w:multiLevelType w:val="hybridMultilevel"/>
    <w:lvl w:ilvl="0">
      <w:lvlJc w:val="left"/>
      <w:lvlText w:val="(%1)"/>
      <w:numFmt w:val="decimal"/>
      <w:start w:val="50"/>
    </w:lvl>
  </w:abstractNum>
  <w:abstractNum w:abstractNumId="238">
    <w:nsid w:val="5A606509"/>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239">
    <w:nsid w:val="6F38E6D1"/>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240">
    <w:nsid w:val="46111BA5"/>
    <w:multiLevelType w:val="hybridMultilevel"/>
    <w:lvl w:ilvl="0">
      <w:lvlJc w:val="left"/>
      <w:lvlText w:val="(%1)"/>
      <w:numFmt w:val="upperLetter"/>
      <w:start w:val="1"/>
    </w:lvl>
  </w:abstractNum>
  <w:abstractNum w:abstractNumId="241">
    <w:nsid w:val="5E963896"/>
    <w:multiLevelType w:val="hybridMultilevel"/>
    <w:lvl w:ilvl="0">
      <w:lvlJc w:val="left"/>
      <w:lvlText w:val="%1."/>
      <w:numFmt w:val="decimal"/>
      <w:start w:val="1"/>
    </w:lvl>
    <w:lvl w:ilvl="1">
      <w:lvlJc w:val="left"/>
      <w:lvlText w:val="(%2)"/>
      <w:numFmt w:val="lowerLetter"/>
      <w:start w:val="1"/>
    </w:lvl>
  </w:abstractNum>
  <w:abstractNum w:abstractNumId="242">
    <w:nsid w:val="775BA7C1"/>
    <w:multiLevelType w:val="hybridMultilevel"/>
    <w:lvl w:ilvl="0">
      <w:lvlJc w:val="left"/>
      <w:lvlText w:val="%1"/>
      <w:numFmt w:val="decimal"/>
      <w:start w:val="1"/>
    </w:lvl>
    <w:lvl w:ilvl="1">
      <w:lvlJc w:val="left"/>
      <w:lvlText w:val="(%2)"/>
      <w:numFmt w:val="lowerLetter"/>
      <w:start w:val="2"/>
    </w:lvl>
  </w:abstractNum>
  <w:abstractNum w:abstractNumId="243">
    <w:nsid w:val="1DD6D6F4"/>
    <w:multiLevelType w:val="hybridMultilevel"/>
    <w:lvl w:ilvl="0">
      <w:lvlJc w:val="left"/>
      <w:lvlText w:val="%1."/>
      <w:numFmt w:val="decimal"/>
      <w:start w:val="6"/>
    </w:lvl>
    <w:lvl w:ilvl="1">
      <w:lvlJc w:val="left"/>
      <w:lvlText w:val="%2"/>
      <w:numFmt w:val="lowerLetter"/>
      <w:start w:val="1"/>
    </w:lvl>
  </w:abstractNum>
  <w:abstractNum w:abstractNumId="244">
    <w:nsid w:val="769A091F"/>
    <w:multiLevelType w:val="hybridMultilevel"/>
    <w:lvl w:ilvl="0">
      <w:lvlJc w:val="left"/>
      <w:lvlText w:val="%1."/>
      <w:numFmt w:val="decimal"/>
      <w:start w:val="8"/>
    </w:lvl>
    <w:lvl w:ilvl="1">
      <w:lvlJc w:val="left"/>
      <w:lvlText w:val="(%2)"/>
      <w:numFmt w:val="lowerLetter"/>
      <w:start w:val="1"/>
    </w:lvl>
  </w:abstractNum>
  <w:abstractNum w:abstractNumId="245">
    <w:nsid w:val="4695AE95"/>
    <w:multiLevelType w:val="hybridMultilevel"/>
    <w:lvl w:ilvl="0">
      <w:lvlJc w:val="left"/>
      <w:lvlText w:val="%1."/>
      <w:numFmt w:val="decimal"/>
      <w:start w:val="10"/>
    </w:lvl>
  </w:abstractNum>
  <w:abstractNum w:abstractNumId="246">
    <w:nsid w:val="777A4EAA"/>
    <w:multiLevelType w:val="hybridMultilevel"/>
    <w:lvl w:ilvl="0">
      <w:lvlJc w:val="left"/>
      <w:lvlText w:val="%1."/>
      <w:numFmt w:val="decimal"/>
      <w:start w:val="11"/>
    </w:lvl>
    <w:lvl w:ilvl="1">
      <w:lvlJc w:val="left"/>
      <w:lvlText w:val="(%2)"/>
      <w:numFmt w:val="lowerLetter"/>
      <w:start w:val="1"/>
    </w:lvl>
  </w:abstractNum>
  <w:abstractNum w:abstractNumId="247">
    <w:nsid w:val="3F48B982"/>
    <w:multiLevelType w:val="hybridMultilevel"/>
    <w:lvl w:ilvl="0">
      <w:lvlJc w:val="left"/>
      <w:lvlText w:val="(%1)"/>
      <w:numFmt w:val="lowerLetter"/>
      <w:start w:val="3"/>
    </w:lvl>
  </w:abstractNum>
  <w:abstractNum w:abstractNumId="248">
    <w:nsid w:val="46BA8FCA"/>
    <w:multiLevelType w:val="hybridMultilevel"/>
    <w:lvl w:ilvl="0">
      <w:lvlJc w:val="left"/>
      <w:lvlText w:val="%1"/>
      <w:numFmt w:val="decimal"/>
      <w:start w:val="1"/>
    </w:lvl>
    <w:lvl w:ilvl="1">
      <w:lvlJc w:val="left"/>
      <w:lvlText w:val="(%2)"/>
      <w:numFmt w:val="lowerLetter"/>
      <w:start w:val="7"/>
    </w:lvl>
  </w:abstractNum>
  <w:abstractNum w:abstractNumId="249">
    <w:nsid w:val="7835626C"/>
    <w:multiLevelType w:val="hybridMultilevel"/>
    <w:lvl w:ilvl="0">
      <w:lvlJc w:val="left"/>
      <w:lvlText w:val="%1."/>
      <w:numFmt w:val="decimal"/>
      <w:start w:val="13"/>
    </w:lvl>
    <w:lvl w:ilvl="1">
      <w:lvlJc w:val="left"/>
      <w:lvlText w:val="%2"/>
      <w:numFmt w:val="lowerLetter"/>
      <w:start w:val="1"/>
    </w:lvl>
  </w:abstractNum>
  <w:abstractNum w:abstractNumId="250">
    <w:nsid w:val="665ACA49"/>
    <w:multiLevelType w:val="hybridMultilevel"/>
    <w:lvl w:ilvl="0">
      <w:lvlJc w:val="left"/>
      <w:lvlText w:val="%1."/>
      <w:numFmt w:val="decimal"/>
      <w:start w:val="14"/>
    </w:lvl>
  </w:abstractNum>
  <w:abstractNum w:abstractNumId="251">
    <w:nsid w:val="6835B2AE"/>
    <w:multiLevelType w:val="hybridMultilevel"/>
    <w:lvl w:ilvl="0">
      <w:lvlJc w:val="left"/>
      <w:lvlText w:val="(%1)"/>
      <w:numFmt w:val="lowerLetter"/>
      <w:start w:val="1"/>
    </w:lvl>
  </w:abstractNum>
  <w:abstractNum w:abstractNumId="252">
    <w:nsid w:val="4C187C90"/>
    <w:multiLevelType w:val="hybridMultilevel"/>
    <w:lvl w:ilvl="0">
      <w:lvlJc w:val="left"/>
      <w:lvlText w:val="(%1)"/>
      <w:numFmt w:val="lowerLetter"/>
      <w:start w:val="1"/>
    </w:lvl>
  </w:abstractNum>
  <w:abstractNum w:abstractNumId="253">
    <w:nsid w:val="541F28CD"/>
    <w:multiLevelType w:val="hybridMultilevel"/>
    <w:lvl w:ilvl="0">
      <w:lvlJc w:val="left"/>
      <w:lvlText w:val="(%1)"/>
      <w:numFmt w:val="lowerLetter"/>
      <w:start w:val="1"/>
    </w:lvl>
  </w:abstractNum>
  <w:abstractNum w:abstractNumId="254">
    <w:nsid w:val="7F65FD16"/>
    <w:multiLevelType w:val="hybridMultilevel"/>
    <w:lvl w:ilvl="0">
      <w:lvlJc w:val="left"/>
      <w:lvlText w:val="(%1)"/>
      <w:numFmt w:val="lowerLetter"/>
      <w:start w:val="1"/>
    </w:lvl>
  </w:abstractNum>
  <w:abstractNum w:abstractNumId="255">
    <w:nsid w:val="77C9FD68"/>
    <w:multiLevelType w:val="hybridMultilevel"/>
    <w:lvl w:ilvl="0">
      <w:lvlJc w:val="left"/>
      <w:lvlText w:val="(%1)"/>
      <w:numFmt w:val="lowerLetter"/>
      <w:start w:val="1"/>
    </w:lvl>
  </w:abstractNum>
  <w:abstractNum w:abstractNumId="256">
    <w:nsid w:val="298A92BA"/>
    <w:multiLevelType w:val="hybridMultilevel"/>
    <w:lvl w:ilvl="0">
      <w:lvlJc w:val="left"/>
      <w:lvlText w:val="(%1)"/>
      <w:numFmt w:val="lowerLetter"/>
      <w:start w:val="4"/>
    </w:lvl>
  </w:abstractNum>
  <w:abstractNum w:abstractNumId="257">
    <w:nsid w:val="6FE95EAC"/>
    <w:multiLevelType w:val="hybridMultilevel"/>
    <w:lvl w:ilvl="0">
      <w:lvlJc w:val="left"/>
      <w:lvlText w:val="(%1)"/>
      <w:numFmt w:val="lowerLetter"/>
      <w:start w:val="1"/>
    </w:lvl>
  </w:abstractNum>
  <w:abstractNum w:abstractNumId="258">
    <w:nsid w:val="4B697C7A"/>
    <w:multiLevelType w:val="hybridMultilevel"/>
    <w:lvl w:ilvl="0">
      <w:lvlJc w:val="left"/>
      <w:lvlText w:val="(%1)"/>
      <w:numFmt w:val="decimal"/>
      <w:start w:val="12"/>
    </w:lvl>
  </w:abstractNum>
  <w:abstractNum w:abstractNumId="259">
    <w:nsid w:val="51A27AA6"/>
    <w:multiLevelType w:val="hybridMultilevel"/>
    <w:lvl w:ilvl="0">
      <w:lvlJc w:val="left"/>
      <w:lvlText w:val="(%1)"/>
      <w:numFmt w:val="lowerLetter"/>
      <w:start w:val="1"/>
    </w:lvl>
  </w:abstractNum>
  <w:abstractNum w:abstractNumId="260">
    <w:nsid w:val="613183F2"/>
    <w:multiLevelType w:val="hybridMultilevel"/>
    <w:lvl w:ilvl="0">
      <w:lvlJc w:val="left"/>
      <w:lvlText w:val="(%1)"/>
      <w:numFmt w:val="lowerLetter"/>
      <w:start w:val="5"/>
    </w:lvl>
  </w:abstractNum>
  <w:abstractNum w:abstractNumId="261">
    <w:nsid w:val="634102B4"/>
    <w:multiLevelType w:val="hybridMultilevel"/>
    <w:lvl w:ilvl="0">
      <w:lvlJc w:val="left"/>
      <w:lvlText w:val="(%1)"/>
      <w:numFmt w:val="lowerLetter"/>
      <w:start w:val="7"/>
    </w:lvl>
  </w:abstractNum>
  <w:abstractNum w:abstractNumId="262">
    <w:nsid w:val="65BF9DA8"/>
    <w:multiLevelType w:val="hybridMultilevel"/>
    <w:lvl w:ilvl="0">
      <w:lvlJc w:val="left"/>
      <w:lvlText w:val="(%1)"/>
      <w:numFmt w:val="lowerLetter"/>
      <w:start w:val="1"/>
    </w:lvl>
  </w:abstractNum>
  <w:abstractNum w:abstractNumId="263">
    <w:nsid w:val="21A2ECCA"/>
    <w:multiLevelType w:val="hybridMultilevel"/>
    <w:lvl w:ilvl="0">
      <w:lvlJc w:val="left"/>
      <w:lvlText w:val="%1."/>
      <w:numFmt w:val="decimal"/>
      <w:start w:val="1"/>
    </w:lvl>
    <w:lvl w:ilvl="1">
      <w:lvlJc w:val="left"/>
      <w:lvlText w:val="%2."/>
      <w:numFmt w:val="lowerLetter"/>
      <w:start w:val="1"/>
    </w:lvl>
  </w:abstractNum>
  <w:abstractNum w:abstractNumId="264">
    <w:nsid w:val="4D5C4899"/>
    <w:multiLevelType w:val="hybridMultilevel"/>
    <w:lvl w:ilvl="0">
      <w:lvlJc w:val="left"/>
      <w:lvlText w:val="%1."/>
      <w:numFmt w:val="lowerLetter"/>
      <w:start w:val="2"/>
    </w:lvl>
  </w:abstractNum>
  <w:abstractNum w:abstractNumId="265">
    <w:nsid w:val="3C3B72B2"/>
    <w:multiLevelType w:val="hybridMultilevel"/>
    <w:lvl w:ilvl="0">
      <w:lvlJc w:val="left"/>
      <w:lvlText w:val="%1."/>
      <w:numFmt w:val="decimal"/>
      <w:start w:val="1"/>
    </w:lvl>
    <w:lvl w:ilvl="1">
      <w:lvlJc w:val="left"/>
      <w:lvlText w:val="%2."/>
      <w:numFmt w:val="lowerLetter"/>
      <w:start w:val="1"/>
    </w:lvl>
  </w:abstractNum>
  <w:abstractNum w:abstractNumId="266">
    <w:nsid w:val="155EC4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2026-02-05T16:09:54Z</dcterms:created>
  <dcterms:modified xsi:type="dcterms:W3CDTF">2026-02-05T16:09:54Z</dcterms:modified>
</cp:coreProperties>
</file>