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1"/>
        <w:gridCol w:w="124"/>
        <w:gridCol w:w="126"/>
        <w:gridCol w:w="2873"/>
        <w:gridCol w:w="2873"/>
        <w:gridCol w:w="406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001-39888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Affirm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84-2224323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650 California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(415) 960-1518</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9607" w:type="dxa"/>
        <w:jc w:val="center"/>
        <w:tblInd w:w="0" w:type="dxa"/>
        <w:tblLayout w:type="fixed"/>
        <w:tblCellMar>
          <w:top w:w="28" w:type="dxa"/>
          <w:left w:w="28" w:type="dxa"/>
          <w:bottom w:w="28" w:type="dxa"/>
          <w:right w:w="28" w:type="dxa"/>
        </w:tblCellMar>
      </w:tblPr>
      <w:tblGrid>
        <w:gridCol w:w="1415"/>
        <w:gridCol w:w="1246"/>
        <w:gridCol w:w="1254"/>
        <w:gridCol w:w="109"/>
        <w:gridCol w:w="109"/>
        <w:gridCol w:w="109"/>
        <w:gridCol w:w="519"/>
        <w:gridCol w:w="519"/>
        <w:gridCol w:w="521"/>
        <w:gridCol w:w="109"/>
        <w:gridCol w:w="109"/>
        <w:gridCol w:w="109"/>
        <w:gridCol w:w="1019"/>
        <w:gridCol w:w="1019"/>
        <w:gridCol w:w="1441"/>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AFRM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before="0" w:after="0"/>
        <w:jc w:val="center"/>
        <w:rPr/>
      </w:pPr>
      <w:r>
        <w:rPr/>
      </w:r>
    </w:p>
    <w:p>
      <w:pPr>
        <w:pStyle w:val="TextBody"/>
        <w:bidi w:val="0"/>
        <w:spacing w:lineRule="auto" w:line="345" w:before="0" w:after="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345"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17" w:type="dxa"/>
        <w:jc w:val="center"/>
        <w:tblInd w:w="0" w:type="dxa"/>
        <w:tblLayout w:type="fixed"/>
        <w:tblCellMar>
          <w:top w:w="28" w:type="dxa"/>
          <w:left w:w="28" w:type="dxa"/>
          <w:bottom w:w="28" w:type="dxa"/>
          <w:right w:w="28" w:type="dxa"/>
        </w:tblCellMar>
      </w:tblPr>
      <w:tblGrid>
        <w:gridCol w:w="641"/>
        <w:gridCol w:w="563"/>
        <w:gridCol w:w="565"/>
        <w:gridCol w:w="109"/>
        <w:gridCol w:w="109"/>
        <w:gridCol w:w="109"/>
        <w:gridCol w:w="679"/>
        <w:gridCol w:w="679"/>
        <w:gridCol w:w="682"/>
        <w:gridCol w:w="140"/>
        <w:gridCol w:w="140"/>
        <w:gridCol w:w="20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  ☐</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0"/>
              <w:ind w:left="0" w:right="0" w:firstLine="90"/>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  ☐</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  ☐</w:t>
            </w:r>
          </w:p>
        </w:tc>
      </w:tr>
    </w:tbl>
    <w:p>
      <w:pPr>
        <w:pStyle w:val="TextBody"/>
        <w:bidi w:val="0"/>
        <w:spacing w:lineRule="auto" w:line="345"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64" w:before="0" w:after="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left"/>
        <w:rPr/>
      </w:pPr>
      <w:r>
        <w:rPr/>
      </w:r>
    </w:p>
    <w:p>
      <w:pPr>
        <w:pStyle w:val="TextBody"/>
        <w:bidi w:val="0"/>
        <w:spacing w:lineRule="auto" w:line="345" w:before="0" w:after="0"/>
        <w:jc w:val="left"/>
        <w:rPr/>
      </w:pPr>
      <w:r>
        <w:rPr>
          <w:rFonts w:ascii="Times New Roman;sans-serif" w:hAnsi="Times New Roman;sans-serif"/>
          <w:b w:val="false"/>
          <w:color w:val="000000"/>
          <w:sz w:val="18"/>
          <w:shd w:fill="FFFFFF" w:val="clear"/>
        </w:rPr>
        <w:t xml:space="preserve">As </w:t>
      </w:r>
      <w:r>
        <w:rPr>
          <w:rFonts w:ascii="Times New Roman;sans-serif" w:hAnsi="Times New Roman;sans-serif"/>
          <w:b w:val="false"/>
          <w:color w:val="000000"/>
          <w:sz w:val="18"/>
        </w:rPr>
        <w:t>of May 2, 2025, the number of shares of the registrant’s Class A common stock outstanding was 281,825,613 and the number of shares of the registrant’s Class B common stock outstanding was 40,774,346.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420"/>
        <w:gridCol w:w="2962"/>
        <w:gridCol w:w="2984"/>
        <w:gridCol w:w="109"/>
        <w:gridCol w:w="109"/>
        <w:gridCol w:w="109"/>
        <w:gridCol w:w="149"/>
        <w:gridCol w:w="149"/>
        <w:gridCol w:w="214"/>
      </w:tblGrid>
      <w:tr>
        <w:trPr/>
        <w:tc>
          <w:tcPr>
            <w:tcW w:w="3420"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6baac4c934fd4917b3fb0eb8b4b4634d_1">
              <w:r>
                <w:rPr>
                  <w:rStyle w:val="InternetLink"/>
                  <w:rFonts w:ascii="Times New Roman;sans-serif" w:hAnsi="Times New Roman;sans-serif"/>
                  <w:b w:val="false"/>
                  <w:color w:val="0000FF"/>
                  <w:sz w:val="20"/>
                  <w:u w:val="single"/>
                </w:rPr>
                <w:t>Cover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6baac4c934fd4917b3fb0eb8b4b4634d_1">
              <w:r>
                <w:rPr>
                  <w:rStyle w:val="InternetLink"/>
                  <w:rFonts w:ascii="Times New Roman;sans-serif" w:hAnsi="Times New Roman;sans-serif"/>
                  <w:b w:val="false"/>
                  <w:color w:val="0000FF"/>
                  <w:sz w:val="20"/>
                  <w:u w:val="single"/>
                </w:rPr>
                <w:t>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7">
              <w:r>
                <w:rPr>
                  <w:rStyle w:val="InternetLink"/>
                  <w:rFonts w:ascii="Times New Roman;sans-serif" w:hAnsi="Times New Roman;sans-serif"/>
                  <w:b w:val="false"/>
                  <w:color w:val="0000FF"/>
                  <w:sz w:val="20"/>
                  <w:u w:val="single"/>
                </w:rPr>
                <w:t>2</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0">
              <w:r>
                <w:rPr>
                  <w:rStyle w:val="InternetLink"/>
                  <w:rFonts w:ascii="Times New Roman;sans-serif" w:hAnsi="Times New Roman;sans-serif"/>
                  <w:b w:val="false"/>
                  <w:color w:val="0000FF"/>
                  <w:sz w:val="20"/>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0">
              <w:r>
                <w:rPr>
                  <w:rStyle w:val="InternetLink"/>
                  <w:rFonts w:ascii="Times New Roman;sans-serif" w:hAnsi="Times New Roman;sans-serif"/>
                  <w:b w:val="false"/>
                  <w:color w:val="0000FF"/>
                  <w:sz w:val="20"/>
                  <w:u w:val="single"/>
                </w:rPr>
                <w:t>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3">
              <w:r>
                <w:rPr>
                  <w:rStyle w:val="InternetLink"/>
                  <w:rFonts w:ascii="Times New Roman;sans-serif" w:hAnsi="Times New Roman;sans-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3">
              <w:r>
                <w:rPr>
                  <w:rStyle w:val="InternetLink"/>
                  <w:rFonts w:ascii="Times New Roman;sans-serif" w:hAnsi="Times New Roman;sans-serif"/>
                  <w:b w:val="false"/>
                  <w:color w:val="0000FF"/>
                  <w:sz w:val="20"/>
                  <w:u w:val="single"/>
                </w:rPr>
                <w:t>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6">
              <w:r>
                <w:rPr>
                  <w:rStyle w:val="InternetLink"/>
                  <w:rFonts w:ascii="Times New Roman;sans-serif" w:hAnsi="Times New Roman;sans-serif"/>
                  <w:b w:val="false"/>
                  <w:color w:val="0000FF"/>
                  <w:sz w:val="20"/>
                  <w:u w:val="single"/>
                </w:rPr>
                <w:t>CONDENSED CONSOLIDATED BALANCE SHEETS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6">
              <w:r>
                <w:rPr>
                  <w:rStyle w:val="InternetLink"/>
                  <w:rFonts w:ascii="Times New Roman;sans-serif" w:hAnsi="Times New Roman;sans-serif"/>
                  <w:b w:val="false"/>
                  <w:color w:val="0000FF"/>
                  <w:sz w:val="20"/>
                  <w:u w:val="single"/>
                </w:rPr>
                <w:t>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9">
              <w:r>
                <w:rPr>
                  <w:rStyle w:val="InternetLink"/>
                  <w:rFonts w:ascii="Times New Roman;sans-serif" w:hAnsi="Times New Roman;sans-serif"/>
                  <w:b w:val="false"/>
                  <w:color w:val="0000FF"/>
                  <w:sz w:val="20"/>
                  <w:u w:val="single"/>
                </w:rPr>
                <w:t>CONDENSED CONSOLIDATED BALANCE SHEETS, CONT.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9">
              <w:r>
                <w:rPr>
                  <w:rStyle w:val="InternetLink"/>
                  <w:rFonts w:ascii="Times New Roman;sans-serif" w:hAnsi="Times New Roman;sans-serif"/>
                  <w:b w:val="false"/>
                  <w:color w:val="0000FF"/>
                  <w:sz w:val="20"/>
                  <w:u w:val="single"/>
                </w:rPr>
                <w:t>6</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22">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22">
              <w:r>
                <w:rPr>
                  <w:rStyle w:val="InternetLink"/>
                  <w:rFonts w:ascii="Times New Roman;sans-serif" w:hAnsi="Times New Roman;sans-serif"/>
                  <w:b w:val="false"/>
                  <w:color w:val="0000FF"/>
                  <w:sz w:val="20"/>
                  <w:u w:val="single"/>
                </w:rPr>
                <w:t>7</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25">
              <w:r>
                <w:rPr>
                  <w:rStyle w:val="InternetLink"/>
                  <w:rFonts w:ascii="Times New Roman;sans-serif" w:hAnsi="Times New Roman;sans-serif"/>
                  <w:b w:val="false"/>
                  <w:color w:val="0000FF"/>
                  <w:sz w:val="20"/>
                  <w:u w:val="single"/>
                </w:rPr>
                <w:t>CONDENSED CONSOLIDATED STATEMENT OF STOCKHOLDERS’ EQUITY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25">
              <w:r>
                <w:rPr>
                  <w:rStyle w:val="InternetLink"/>
                  <w:rFonts w:ascii="Times New Roman;sans-serif" w:hAnsi="Times New Roman;sans-serif"/>
                  <w:b w:val="false"/>
                  <w:color w:val="0000FF"/>
                  <w:sz w:val="20"/>
                  <w:u w:val="single"/>
                </w:rPr>
                <w:t>8</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28">
              <w:r>
                <w:rPr>
                  <w:rStyle w:val="InternetLink"/>
                  <w:rFonts w:ascii="Times New Roman;sans-serif" w:hAnsi="Times New Roman;sans-serif"/>
                  <w:b w:val="false"/>
                  <w:color w:val="0000FF"/>
                  <w:sz w:val="20"/>
                  <w:u w:val="single"/>
                </w:rPr>
                <w:t>CONDENSED CONSOLIDATED STATEMENTS OF CASH FLOWS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28">
              <w:r>
                <w:rPr>
                  <w:rStyle w:val="InternetLink"/>
                  <w:rFonts w:ascii="Times New Roman;sans-serif" w:hAnsi="Times New Roman;sans-serif"/>
                  <w:b w:val="false"/>
                  <w:color w:val="0000FF"/>
                  <w:sz w:val="20"/>
                  <w:u w:val="single"/>
                </w:rPr>
                <w:t>10</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31">
              <w:r>
                <w:rPr>
                  <w:rStyle w:val="InternetLink"/>
                  <w:rFonts w:ascii="Times New Roman;sans-serif" w:hAnsi="Times New Roman;sans-serif"/>
                  <w:b w:val="false"/>
                  <w:color w:val="0000FF"/>
                  <w:sz w:val="20"/>
                  <w:u w:val="single"/>
                </w:rPr>
                <w:t>CONDENSED CONSOLIDATED STATEMENTS OF CASH FLOWS, CONT.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31">
              <w:r>
                <w:rPr>
                  <w:rStyle w:val="InternetLink"/>
                  <w:rFonts w:ascii="Times New Roman;sans-serif" w:hAnsi="Times New Roman;sans-serif"/>
                  <w:b w:val="false"/>
                  <w:color w:val="0000FF"/>
                  <w:sz w:val="20"/>
                  <w:u w:val="single"/>
                </w:rPr>
                <w:t>11</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34">
              <w:r>
                <w:rPr>
                  <w:rStyle w:val="InternetLink"/>
                  <w:rFonts w:ascii="Times New Roman;sans-serif" w:hAnsi="Times New Roman;sans-serif"/>
                  <w:b w:val="false"/>
                  <w:color w:val="0000FF"/>
                  <w:sz w:val="20"/>
                  <w:u w:val="single"/>
                </w:rPr>
                <w:t>1. Business Description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34">
              <w:r>
                <w:rPr>
                  <w:rStyle w:val="InternetLink"/>
                  <w:rFonts w:ascii="Times New Roman;sans-serif" w:hAnsi="Times New Roman;sans-serif"/>
                  <w:b w:val="false"/>
                  <w:color w:val="0000FF"/>
                  <w:sz w:val="20"/>
                  <w:u w:val="single"/>
                </w:rPr>
                <w:t>12</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37">
              <w:r>
                <w:rPr>
                  <w:rStyle w:val="InternetLink"/>
                  <w:rFonts w:ascii="Times New Roman;sans-serif" w:hAnsi="Times New Roman;sans-serif"/>
                  <w:b w:val="false"/>
                  <w:color w:val="0000FF"/>
                  <w:sz w:val="20"/>
                  <w:u w:val="single"/>
                </w:rPr>
                <w:t>2.  Summary of Significant Accounting Policies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37">
              <w:r>
                <w:rPr>
                  <w:rStyle w:val="InternetLink"/>
                  <w:rFonts w:ascii="Times New Roman;sans-serif" w:hAnsi="Times New Roman;sans-serif"/>
                  <w:b w:val="false"/>
                  <w:color w:val="0000FF"/>
                  <w:sz w:val="20"/>
                  <w:u w:val="single"/>
                </w:rPr>
                <w:t>12</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40">
              <w:r>
                <w:rPr>
                  <w:rStyle w:val="InternetLink"/>
                  <w:rFonts w:ascii="Times New Roman;sans-serif" w:hAnsi="Times New Roman;sans-serif"/>
                  <w:b w:val="false"/>
                  <w:color w:val="0000FF"/>
                  <w:sz w:val="20"/>
                  <w:u w:val="single"/>
                </w:rPr>
                <w:t>3.  Revenue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40">
              <w:r>
                <w:rPr>
                  <w:rStyle w:val="InternetLink"/>
                  <w:rFonts w:ascii="Times New Roman;sans-serif" w:hAnsi="Times New Roman;sans-serif"/>
                  <w:b w:val="false"/>
                  <w:color w:val="0000FF"/>
                  <w:sz w:val="20"/>
                  <w:u w:val="single"/>
                </w:rPr>
                <w:t>14</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43">
              <w:r>
                <w:rPr>
                  <w:rStyle w:val="InternetLink"/>
                  <w:rFonts w:ascii="Times New Roman;sans-serif" w:hAnsi="Times New Roman;sans-serif"/>
                  <w:b w:val="false"/>
                  <w:color w:val="0000FF"/>
                  <w:sz w:val="20"/>
                  <w:u w:val="single"/>
                </w:rPr>
                <w:t>4. Loans Held for Investment and Allowance for Credit Losses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43">
              <w:r>
                <w:rPr>
                  <w:rStyle w:val="InternetLink"/>
                  <w:rFonts w:ascii="Times New Roman;sans-serif" w:hAnsi="Times New Roman;sans-serif"/>
                  <w:b w:val="false"/>
                  <w:color w:val="0000FF"/>
                  <w:sz w:val="20"/>
                  <w:u w:val="single"/>
                </w:rPr>
                <w:t>17</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46">
              <w:r>
                <w:rPr>
                  <w:rStyle w:val="InternetLink"/>
                  <w:rFonts w:ascii="Times New Roman;sans-serif" w:hAnsi="Times New Roman;sans-serif"/>
                  <w:b w:val="false"/>
                  <w:color w:val="0000FF"/>
                  <w:sz w:val="20"/>
                  <w:u w:val="single"/>
                </w:rPr>
                <w:t>5. Balance Sheet Components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46">
              <w:r>
                <w:rPr>
                  <w:rStyle w:val="InternetLink"/>
                  <w:rFonts w:ascii="Times New Roman;sans-serif" w:hAnsi="Times New Roman;sans-serif"/>
                  <w:b w:val="false"/>
                  <w:color w:val="0000FF"/>
                  <w:sz w:val="20"/>
                  <w:u w:val="single"/>
                </w:rPr>
                <w:t>21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49">
              <w:r>
                <w:rPr>
                  <w:rStyle w:val="InternetLink"/>
                  <w:rFonts w:ascii="Times New Roman;sans-serif" w:hAnsi="Times New Roman;sans-serif"/>
                  <w:b w:val="false"/>
                  <w:color w:val="0000FF"/>
                  <w:sz w:val="20"/>
                  <w:u w:val="single"/>
                </w:rPr>
                <w:t>6. Leases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49">
              <w:r>
                <w:rPr>
                  <w:rStyle w:val="InternetLink"/>
                  <w:rFonts w:ascii="Times New Roman;sans-serif" w:hAnsi="Times New Roman;sans-serif"/>
                  <w:b w:val="false"/>
                  <w:color w:val="0000FF"/>
                  <w:sz w:val="20"/>
                  <w:u w:val="single"/>
                </w:rPr>
                <w:t>24</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52">
              <w:r>
                <w:rPr>
                  <w:rStyle w:val="InternetLink"/>
                  <w:rFonts w:ascii="Times New Roman;sans-serif" w:hAnsi="Times New Roman;sans-serif"/>
                  <w:b w:val="false"/>
                  <w:color w:val="0000FF"/>
                  <w:sz w:val="20"/>
                  <w:u w:val="single"/>
                </w:rPr>
                <w:t>7. Commitments and Contingencies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52">
              <w:r>
                <w:rPr>
                  <w:rStyle w:val="InternetLink"/>
                  <w:rFonts w:ascii="Times New Roman;sans-serif" w:hAnsi="Times New Roman;sans-serif"/>
                  <w:b w:val="false"/>
                  <w:color w:val="0000FF"/>
                  <w:sz w:val="20"/>
                  <w:u w:val="single"/>
                </w:rPr>
                <w:t>25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55">
              <w:r>
                <w:rPr>
                  <w:rStyle w:val="InternetLink"/>
                  <w:rFonts w:ascii="Times New Roman;sans-serif" w:hAnsi="Times New Roman;sans-serif"/>
                  <w:b w:val="false"/>
                  <w:color w:val="0000FF"/>
                  <w:sz w:val="20"/>
                  <w:u w:val="single"/>
                </w:rPr>
                <w:t>8. Debt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55">
              <w:r>
                <w:rPr>
                  <w:rStyle w:val="InternetLink"/>
                  <w:rFonts w:ascii="Times New Roman;sans-serif" w:hAnsi="Times New Roman;sans-serif"/>
                  <w:b w:val="false"/>
                  <w:color w:val="0000FF"/>
                  <w:sz w:val="20"/>
                  <w:u w:val="single"/>
                </w:rPr>
                <w:t>27</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64">
              <w:r>
                <w:rPr>
                  <w:rStyle w:val="InternetLink"/>
                  <w:rFonts w:ascii="Times New Roman;sans-serif" w:hAnsi="Times New Roman;sans-serif"/>
                  <w:b w:val="false"/>
                  <w:color w:val="0000FF"/>
                  <w:sz w:val="20"/>
                  <w:u w:val="single"/>
                </w:rPr>
                <w:t>9. Securitization and Variable Interest Entities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64">
              <w:r>
                <w:rPr>
                  <w:rStyle w:val="InternetLink"/>
                  <w:rFonts w:ascii="Times New Roman;sans-serif" w:hAnsi="Times New Roman;sans-serif"/>
                  <w:b w:val="false"/>
                  <w:color w:val="0000FF"/>
                  <w:sz w:val="20"/>
                  <w:u w:val="single"/>
                </w:rPr>
                <w:t>33</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67">
              <w:r>
                <w:rPr>
                  <w:rStyle w:val="InternetLink"/>
                  <w:rFonts w:ascii="Times New Roman;sans-serif" w:hAnsi="Times New Roman;sans-serif"/>
                  <w:b w:val="false"/>
                  <w:color w:val="0000FF"/>
                  <w:sz w:val="20"/>
                  <w:u w:val="single"/>
                </w:rPr>
                <w:t>10.  Investments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67">
              <w:r>
                <w:rPr>
                  <w:rStyle w:val="InternetLink"/>
                  <w:rFonts w:ascii="Times New Roman;sans-serif" w:hAnsi="Times New Roman;sans-serif"/>
                  <w:b w:val="false"/>
                  <w:color w:val="0000FF"/>
                  <w:sz w:val="20"/>
                  <w:u w:val="single"/>
                </w:rPr>
                <w:t>35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70">
              <w:r>
                <w:rPr>
                  <w:rStyle w:val="InternetLink"/>
                  <w:rFonts w:ascii="Times New Roman;sans-serif" w:hAnsi="Times New Roman;sans-serif"/>
                  <w:b w:val="false"/>
                  <w:color w:val="0000FF"/>
                  <w:sz w:val="20"/>
                  <w:u w:val="single"/>
                </w:rPr>
                <w:t>11.  Derivative Financial Instruments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70">
              <w:r>
                <w:rPr>
                  <w:rStyle w:val="InternetLink"/>
                  <w:rFonts w:ascii="Times New Roman;sans-serif" w:hAnsi="Times New Roman;sans-serif"/>
                  <w:b w:val="false"/>
                  <w:color w:val="0000FF"/>
                  <w:sz w:val="20"/>
                  <w:u w:val="single"/>
                </w:rPr>
                <w:t>39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73">
              <w:r>
                <w:rPr>
                  <w:rStyle w:val="InternetLink"/>
                  <w:rFonts w:ascii="Times New Roman;sans-serif" w:hAnsi="Times New Roman;sans-serif"/>
                  <w:b w:val="false"/>
                  <w:color w:val="0000FF"/>
                  <w:sz w:val="20"/>
                  <w:u w:val="single"/>
                </w:rPr>
                <w:t>12. Fair Value of Financial Assets and Liabilities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73">
              <w:r>
                <w:rPr>
                  <w:rStyle w:val="InternetLink"/>
                  <w:rFonts w:ascii="Times New Roman;sans-serif" w:hAnsi="Times New Roman;sans-serif"/>
                  <w:b w:val="false"/>
                  <w:color w:val="0000FF"/>
                  <w:sz w:val="20"/>
                  <w:u w:val="single"/>
                </w:rPr>
                <w:t>41</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76">
              <w:r>
                <w:rPr>
                  <w:rStyle w:val="InternetLink"/>
                  <w:rFonts w:ascii="Times New Roman;sans-serif" w:hAnsi="Times New Roman;sans-serif"/>
                  <w:b w:val="false"/>
                  <w:color w:val="0000FF"/>
                  <w:sz w:val="20"/>
                  <w:u w:val="single"/>
                </w:rPr>
                <w:t>13. Stockholders</w:t>
              </w:r>
            </w:hyperlink>
            <w:r>
              <w:rPr>
                <w:color w:val="000000"/>
                <w:u w:val="single"/>
              </w:rPr>
              <w:t>’</w:t>
            </w:r>
            <w:hyperlink w:anchor="i6baac4c934fd4917b3fb0eb8b4b4634d_76">
              <w:r>
                <w:rPr>
                  <w:rStyle w:val="InternetLink"/>
                  <w:color w:val="0000FF"/>
                  <w:u w:val="single"/>
                </w:rPr>
                <w:t xml:space="preserve"> </w:t>
              </w:r>
            </w:hyperlink>
            <w:hyperlink w:anchor="i6baac4c934fd4917b3fb0eb8b4b4634d_76">
              <w:r>
                <w:rPr>
                  <w:rStyle w:val="InternetLink"/>
                  <w:rFonts w:ascii="Times New Roman;sans-serif" w:hAnsi="Times New Roman;sans-serif"/>
                  <w:b w:val="false"/>
                  <w:color w:val="0000FF"/>
                  <w:sz w:val="20"/>
                  <w:u w:val="single"/>
                </w:rPr>
                <w:t>Equity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76">
              <w:r>
                <w:rPr>
                  <w:rStyle w:val="InternetLink"/>
                  <w:rFonts w:ascii="Times New Roman;sans-serif" w:hAnsi="Times New Roman;sans-serif"/>
                  <w:b w:val="false"/>
                  <w:color w:val="0000FF"/>
                  <w:sz w:val="20"/>
                  <w:u w:val="single"/>
                </w:rPr>
                <w:t>52</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79">
              <w:r>
                <w:rPr>
                  <w:rStyle w:val="InternetLink"/>
                  <w:rFonts w:ascii="Times New Roman;sans-serif" w:hAnsi="Times New Roman;sans-serif"/>
                  <w:b w:val="false"/>
                  <w:color w:val="0000FF"/>
                  <w:sz w:val="20"/>
                  <w:u w:val="single"/>
                </w:rPr>
                <w:t>14. Equity Incentive Plans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79">
              <w:r>
                <w:rPr>
                  <w:rStyle w:val="InternetLink"/>
                  <w:rFonts w:ascii="Times New Roman;sans-serif" w:hAnsi="Times New Roman;sans-serif"/>
                  <w:b w:val="false"/>
                  <w:color w:val="0000FF"/>
                  <w:sz w:val="20"/>
                  <w:u w:val="single"/>
                </w:rPr>
                <w:t>53</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82">
              <w:r>
                <w:rPr>
                  <w:rStyle w:val="InternetLink"/>
                  <w:rFonts w:ascii="Times New Roman;sans-serif" w:hAnsi="Times New Roman;sans-serif"/>
                  <w:b w:val="false"/>
                  <w:color w:val="0000FF"/>
                  <w:sz w:val="20"/>
                  <w:u w:val="single"/>
                </w:rPr>
                <w:t>15. Restructuring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82">
              <w:r>
                <w:rPr>
                  <w:rStyle w:val="InternetLink"/>
                  <w:rFonts w:ascii="Times New Roman;sans-serif" w:hAnsi="Times New Roman;sans-serif"/>
                  <w:b w:val="false"/>
                  <w:color w:val="0000FF"/>
                  <w:sz w:val="20"/>
                  <w:u w:val="single"/>
                </w:rPr>
                <w:t>56</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85">
              <w:r>
                <w:rPr>
                  <w:rStyle w:val="InternetLink"/>
                  <w:rFonts w:ascii="Times New Roman;sans-serif" w:hAnsi="Times New Roman;sans-serif"/>
                  <w:b w:val="false"/>
                  <w:color w:val="0000FF"/>
                  <w:sz w:val="20"/>
                  <w:u w:val="single"/>
                </w:rPr>
                <w:t>16. Income Taxes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85">
              <w:r>
                <w:rPr>
                  <w:rStyle w:val="InternetLink"/>
                  <w:rFonts w:ascii="Times New Roman;sans-serif" w:hAnsi="Times New Roman;sans-serif"/>
                  <w:b w:val="false"/>
                  <w:color w:val="0000FF"/>
                  <w:sz w:val="20"/>
                  <w:u w:val="single"/>
                </w:rPr>
                <w:t>56</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88">
              <w:r>
                <w:rPr>
                  <w:rStyle w:val="InternetLink"/>
                  <w:rFonts w:ascii="Times New Roman;sans-serif" w:hAnsi="Times New Roman;sans-serif"/>
                  <w:b w:val="false"/>
                  <w:color w:val="0000FF"/>
                  <w:sz w:val="20"/>
                  <w:u w:val="single"/>
                </w:rPr>
                <w:t>17. Net Income (Loss) per Share Attributable to Common Stockholders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88">
              <w:r>
                <w:rPr>
                  <w:rStyle w:val="InternetLink"/>
                  <w:rFonts w:ascii="Times New Roman;sans-serif" w:hAnsi="Times New Roman;sans-serif"/>
                  <w:b w:val="false"/>
                  <w:color w:val="0000FF"/>
                  <w:sz w:val="20"/>
                  <w:u w:val="single"/>
                </w:rPr>
                <w:t>57</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94">
              <w:r>
                <w:rPr>
                  <w:rStyle w:val="InternetLink"/>
                  <w:rFonts w:ascii="Times New Roman;sans-serif" w:hAnsi="Times New Roman;sans-serif"/>
                  <w:b w:val="false"/>
                  <w:color w:val="0000FF"/>
                  <w:sz w:val="20"/>
                  <w:u w:val="single"/>
                </w:rPr>
                <w:t>Item 2. Management</w:t>
              </w:r>
            </w:hyperlink>
            <w:r>
              <w:rPr>
                <w:color w:val="000000"/>
                <w:shd w:fill="FFFFFF" w:val="clear"/>
              </w:rPr>
              <w:t>’</w:t>
            </w:r>
            <w:hyperlink w:anchor="i6baac4c934fd4917b3fb0eb8b4b4634d_94">
              <w:r>
                <w:rPr>
                  <w:rStyle w:val="InternetLink"/>
                  <w:rFonts w:ascii="Times New Roman;sans-serif" w:hAnsi="Times New Roman;sans-serif"/>
                  <w:b w:val="false"/>
                  <w:color w:val="0000FF"/>
                  <w:sz w:val="20"/>
                  <w:u w:val="single"/>
                </w:rPr>
                <w: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94">
              <w:r>
                <w:rPr>
                  <w:rStyle w:val="InternetLink"/>
                  <w:rFonts w:ascii="Times New Roman;sans-serif" w:hAnsi="Times New Roman;sans-serif"/>
                  <w:b w:val="false"/>
                  <w:color w:val="0000FF"/>
                  <w:sz w:val="20"/>
                  <w:u w:val="single"/>
                </w:rPr>
                <w:t>59</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30">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30">
              <w:r>
                <w:rPr>
                  <w:rStyle w:val="InternetLink"/>
                  <w:rFonts w:ascii="Times New Roman;sans-serif" w:hAnsi="Times New Roman;sans-serif"/>
                  <w:b w:val="false"/>
                  <w:color w:val="0000FF"/>
                  <w:sz w:val="20"/>
                  <w:u w:val="single"/>
                </w:rPr>
                <w:t>76</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33">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33">
              <w:r>
                <w:rPr>
                  <w:rStyle w:val="InternetLink"/>
                  <w:rFonts w:ascii="Times New Roman;sans-serif" w:hAnsi="Times New Roman;sans-serif"/>
                  <w:b w:val="false"/>
                  <w:color w:val="0000FF"/>
                  <w:sz w:val="20"/>
                  <w:u w:val="single"/>
                </w:rPr>
                <w:t>78</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36">
              <w:r>
                <w:rPr>
                  <w:rStyle w:val="InternetLink"/>
                  <w:rFonts w:ascii="Times New Roman;sans-serif" w:hAnsi="Times New Roman;sans-serif"/>
                  <w:b w:val="false"/>
                  <w:color w:val="0000FF"/>
                  <w:sz w:val="20"/>
                  <w:u w:val="single"/>
                </w:rPr>
                <w:t>Part II -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36">
              <w:r>
                <w:rPr>
                  <w:rStyle w:val="InternetLink"/>
                  <w:rFonts w:ascii="Times New Roman;sans-serif" w:hAnsi="Times New Roman;sans-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39">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39">
              <w:r>
                <w:rPr>
                  <w:rStyle w:val="InternetLink"/>
                  <w:rFonts w:ascii="Times New Roman;sans-serif" w:hAnsi="Times New Roman;sans-serif"/>
                  <w:b w:val="false"/>
                  <w:color w:val="0000FF"/>
                  <w:sz w:val="20"/>
                  <w:u w:val="single"/>
                </w:rPr>
                <w:t>79</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42">
              <w:r>
                <w:rPr>
                  <w:rStyle w:val="InternetLink"/>
                  <w:rFonts w:ascii="Times New Roman;sans-serif" w:hAnsi="Times New Roman;sans-serif"/>
                  <w:b w:val="false"/>
                  <w:color w:val="0000FF"/>
                  <w:sz w:val="20"/>
                  <w:u w:val="single"/>
                </w:rPr>
                <w:t>Item 1A. 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42">
              <w:r>
                <w:rPr>
                  <w:rStyle w:val="InternetLink"/>
                  <w:rFonts w:ascii="Times New Roman;sans-serif" w:hAnsi="Times New Roman;sans-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45">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45">
              <w:r>
                <w:rPr>
                  <w:rStyle w:val="InternetLink"/>
                  <w:rFonts w:ascii="Times New Roman;sans-serif" w:hAnsi="Times New Roman;sans-serif"/>
                  <w:b w:val="false"/>
                  <w:color w:val="0000FF"/>
                  <w:sz w:val="20"/>
                  <w:u w:val="single"/>
                </w:rPr>
                <w:t>80</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48">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48">
              <w:r>
                <w:rPr>
                  <w:rStyle w:val="InternetLink"/>
                  <w:rFonts w:ascii="Times New Roman;sans-serif" w:hAnsi="Times New Roman;sans-serif"/>
                  <w:b w:val="false"/>
                  <w:color w:val="0000FF"/>
                  <w:sz w:val="20"/>
                  <w:u w:val="single"/>
                </w:rPr>
                <w:t>80</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51">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51">
              <w:r>
                <w:rPr>
                  <w:rStyle w:val="InternetLink"/>
                  <w:rFonts w:ascii="Times New Roman;sans-serif" w:hAnsi="Times New Roman;sans-serif"/>
                  <w:b w:val="false"/>
                  <w:color w:val="0000FF"/>
                  <w:sz w:val="20"/>
                  <w:u w:val="single"/>
                </w:rPr>
                <w:t>80</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54">
              <w:r>
                <w:rPr>
                  <w:rStyle w:val="InternetLink"/>
                  <w:rFonts w:ascii="Times New Roman;sans-serif" w:hAnsi="Times New Roman;sans-serif"/>
                  <w:b w:val="false"/>
                  <w:color w:val="0000FF"/>
                  <w:sz w:val="20"/>
                  <w:u w:val="single"/>
                </w:rPr>
                <w:t>Item 5.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54">
              <w:r>
                <w:rPr>
                  <w:rStyle w:val="InternetLink"/>
                  <w:rFonts w:ascii="Times New Roman;sans-serif" w:hAnsi="Times New Roman;sans-serif"/>
                  <w:b w:val="false"/>
                  <w:color w:val="0000FF"/>
                  <w:sz w:val="20"/>
                  <w:u w:val="single"/>
                </w:rPr>
                <w:t>81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60">
              <w:r>
                <w:rPr>
                  <w:rStyle w:val="InternetLink"/>
                  <w:rFonts w:ascii="Times New Roman;sans-serif" w:hAnsi="Times New Roman;sans-serif"/>
                  <w:b w:val="false"/>
                  <w:color w:val="0000FF"/>
                  <w:sz w:val="20"/>
                  <w:u w:val="single"/>
                </w:rPr>
                <w:t>Item 6. Exhibits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60">
              <w:r>
                <w:rPr>
                  <w:rStyle w:val="InternetLink"/>
                  <w:rFonts w:ascii="Times New Roman;sans-serif" w:hAnsi="Times New Roman;sans-serif"/>
                  <w:b w:val="false"/>
                  <w:color w:val="0000FF"/>
                  <w:sz w:val="20"/>
                  <w:u w:val="single"/>
                </w:rPr>
                <w:t>82</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aac4c934fd4917b3fb0eb8b4b4634d_163">
              <w:r>
                <w:rPr>
                  <w:rStyle w:val="InternetLink"/>
                  <w:rFonts w:ascii="Times New Roman;sans-serif" w:hAnsi="Times New Roman;sans-serif"/>
                  <w:b w:val="false"/>
                  <w:color w:val="0000FF"/>
                  <w:sz w:val="20"/>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aac4c934fd4917b3fb0eb8b4b4634d_163">
              <w:r>
                <w:rPr>
                  <w:rStyle w:val="InternetLink"/>
                  <w:rFonts w:ascii="Times New Roman;sans-serif" w:hAnsi="Times New Roman;sans-serif"/>
                  <w:b w:val="false"/>
                  <w:color w:val="0000FF"/>
                  <w:sz w:val="20"/>
                  <w:u w:val="single"/>
                </w:rPr>
                <w:t>83</w:t>
              </w:r>
            </w:hyperlink>
          </w:p>
        </w:tc>
      </w:tr>
    </w:tbl>
    <w:p>
      <w:pPr>
        <w:pStyle w:val="TextBody"/>
        <w:bidi w:val="0"/>
        <w:spacing w:before="0" w:after="0"/>
        <w:ind w:left="0" w:right="0" w:firstLine="405"/>
        <w:jc w:val="left"/>
        <w:rPr/>
      </w:pPr>
      <w:r>
        <w:rPr/>
      </w:r>
    </w:p>
    <w:p>
      <w:pPr>
        <w:pStyle w:val="TextBody"/>
        <w:bidi w:val="0"/>
        <w:spacing w:before="0" w:after="0"/>
        <w:ind w:left="0" w:right="0" w:firstLine="405"/>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This Quarterly Report on Form 10-Q (“Form 10-Q”), as well as information included in oral statements or other written statements made or to be made by us, contains </w:t>
      </w:r>
      <w:r>
        <w:rPr>
          <w:rFonts w:ascii="Times New Roman;sans-serif" w:hAnsi="Times New Roman;sans-serif"/>
          <w:b w:val="false"/>
          <w:color w:val="000000"/>
          <w:sz w:val="20"/>
          <w:shd w:fill="FFFFFF" w:val="clear"/>
        </w:rPr>
        <w:t>forward-looking statements within the meaning of Section 27A of the Securities Act of 1933, as amended (the “Securities Act”), and Section 21E of the Securities Exchange Act of 1934, as amended (the “Exchange Act”), that involve substantial risks and uncertainties.</w:t>
      </w:r>
      <w:r>
        <w:rPr>
          <w:color w:val="000000"/>
        </w:rPr>
        <w:t xml:space="preserve"> </w:t>
      </w:r>
      <w:r>
        <w:rPr>
          <w:rFonts w:ascii="Times New Roman;sans-serif" w:hAnsi="Times New Roman;sans-serif"/>
          <w:b w:val="false"/>
          <w:color w:val="000000"/>
          <w:sz w:val="20"/>
          <w:shd w:fill="FFFFFF" w:val="clear"/>
        </w:rPr>
        <w:t>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expectations regarding our future revenue, expenses, and other operating results and key operating metrics;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attract new merchant partners and commerce platforms and grow our relationships with existing merchant partners and commerce platforms;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compete successfully in a highly competitive and evolving industry;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attract new consumers and retain and grow our relationships with our existing consumers;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expectations regarding the development, innovation, introduction of, and demand for, our products;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successfully maintain our relationship with existing originating bank partners and card issuing bank partners and engage additional originating bank partners and card issuing bank partners;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maintain, renew or replace our existing funding arrangements and build and grow new funding relationships;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any of our funding sources becoming unwilling or unable to provide funding to us on terms acceptable to us, or at all;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effectively price and score credit risk using our proprietary risk model;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performance of loans facilitated and originated through our platform;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future growth rate of our revenue and related key operating metrics;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achieve sustained profitability in the future;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and the ability of our originating bank and other partners, to comply, and remain in compliance with, laws and regulations that currently apply or become applicable to our business or the businesses of such partners;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protect our confidential, proprietary, or sensitive information;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past and future acquisitions, investments, and other strategic investments;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maintain, protect, and enhance our brand and intellectual property;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litigation, investigations, regulatory inquiries, and proceedings;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developments in our regulatory environment;</w:t>
      </w:r>
    </w:p>
    <w:p>
      <w:pPr>
        <w:pStyle w:val="TextBody"/>
        <w:bidi w:val="0"/>
        <w:spacing w:lineRule="auto" w:line="268" w:before="0" w:after="120"/>
        <w:ind w:left="0" w:right="0" w:hanging="360"/>
        <w:jc w:val="left"/>
        <w:rPr/>
      </w:pPr>
      <w:r>
        <w:rPr>
          <w:color w:val="000000"/>
        </w:rPr>
        <w:t>•</w:t>
      </w:r>
      <w:r>
        <w:rPr>
          <w:rFonts w:ascii="Times New Roman;sans-serif" w:hAnsi="Times New Roman;sans-serif"/>
          <w:b w:val="false"/>
          <w:color w:val="000000"/>
          <w:sz w:val="20"/>
        </w:rPr>
        <w:t>the impact of macroeconomic conditions on our business, including the impacts of inflation, an elevated interest rate environment and corresponding elevated negotiated interest rate spreads, ongoing recessionary concerns, uncertainty relating to the magnitude, duration and impact of tariffs on global trade, and the potential impact of macroeconomic conditions on the stability of the financial institutions with whom we do business;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size and growth rates of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2024 (the </w:t>
      </w:r>
      <w:r>
        <w:rPr>
          <w:color w:val="000000"/>
        </w:rPr>
        <w:t>“</w:t>
      </w:r>
      <w:r>
        <w:rPr>
          <w:rFonts w:ascii="Times New Roman;sans-serif" w:hAnsi="Times New Roman;sans-serif"/>
          <w:b w:val="false"/>
          <w:color w:val="000000"/>
          <w:sz w:val="20"/>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AFFIRM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2648"/>
        <w:gridCol w:w="2176"/>
        <w:gridCol w:w="2208"/>
        <w:gridCol w:w="109"/>
        <w:gridCol w:w="109"/>
        <w:gridCol w:w="109"/>
        <w:gridCol w:w="196"/>
        <w:gridCol w:w="976"/>
        <w:gridCol w:w="109"/>
        <w:gridCol w:w="109"/>
        <w:gridCol w:w="109"/>
        <w:gridCol w:w="109"/>
        <w:gridCol w:w="196"/>
        <w:gridCol w:w="886"/>
        <w:gridCol w:w="156"/>
      </w:tblGrid>
      <w:tr>
        <w:trPr/>
        <w:tc>
          <w:tcPr>
            <w:tcW w:w="264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available for 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(309,097)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6,255,459 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5,360,959 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agreement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10,436,187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9,519,619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third-party loan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7,561,272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6,787,630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 3,030,000,000 shares authorized, 281,746,395 shares issued and outstanding as of March 31, 2025; 3,030,000,000 shares authorized, 267,305,456 shares issued and outstanding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par value $0.00001 per share: 140,000,000 shares authorized, 40,774,346 shares issued and outstanding as of March 31, 2025; 140,000,000 authorized, 43,747,575 shares issued and 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5,862,555 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10,436,187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9,519,619</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AFFIRM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CONT.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tbl>
      <w:tblPr>
        <w:tblW w:w="7935" w:type="dxa"/>
        <w:jc w:val="center"/>
        <w:tblInd w:w="0" w:type="dxa"/>
        <w:tblLayout w:type="fixed"/>
        <w:tblCellMar>
          <w:top w:w="28" w:type="dxa"/>
          <w:left w:w="28" w:type="dxa"/>
          <w:bottom w:w="28" w:type="dxa"/>
          <w:right w:w="28" w:type="dxa"/>
        </w:tblCellMar>
      </w:tblPr>
      <w:tblGrid>
        <w:gridCol w:w="1734"/>
        <w:gridCol w:w="1523"/>
        <w:gridCol w:w="1528"/>
        <w:gridCol w:w="109"/>
        <w:gridCol w:w="109"/>
        <w:gridCol w:w="109"/>
        <w:gridCol w:w="207"/>
        <w:gridCol w:w="938"/>
        <w:gridCol w:w="115"/>
        <w:gridCol w:w="109"/>
        <w:gridCol w:w="109"/>
        <w:gridCol w:w="109"/>
        <w:gridCol w:w="196"/>
        <w:gridCol w:w="88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 of consolidated VIEs, included in total assets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6,426,888 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6,099,629 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6,240,884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5,378,135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of consolidated VIEs, included in total liabilities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4,084,934 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1,864,496 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of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5,978,278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5,070,022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Total net assets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262,606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308,113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AFFIRM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28"/>
        <w:gridCol w:w="1252"/>
        <w:gridCol w:w="1269"/>
        <w:gridCol w:w="109"/>
        <w:gridCol w:w="109"/>
        <w:gridCol w:w="109"/>
        <w:gridCol w:w="217"/>
        <w:gridCol w:w="834"/>
        <w:gridCol w:w="109"/>
        <w:gridCol w:w="109"/>
        <w:gridCol w:w="109"/>
        <w:gridCol w:w="109"/>
        <w:gridCol w:w="217"/>
        <w:gridCol w:w="834"/>
        <w:gridCol w:w="109"/>
        <w:gridCol w:w="109"/>
        <w:gridCol w:w="109"/>
        <w:gridCol w:w="109"/>
        <w:gridCol w:w="196"/>
        <w:gridCol w:w="886"/>
        <w:gridCol w:w="109"/>
        <w:gridCol w:w="109"/>
        <w:gridCol w:w="109"/>
        <w:gridCol w:w="109"/>
        <w:gridCol w:w="196"/>
        <w:gridCol w:w="886"/>
        <w:gridCol w:w="155"/>
      </w:tblGrid>
      <w:tr>
        <w:trPr/>
        <w:tc>
          <w:tcPr>
            <w:tcW w:w="16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Merchant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Card network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602,020 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783,135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576,157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2,347,995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1,663,814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Processing and servicing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 and data 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791,527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736,946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2,493,332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2,206,201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(160,789)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(145,337)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(542,387)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(471,388)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(472,621)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securities available for 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(144,095)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(39,998)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(474,499)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common stockholders for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324,053,967 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312,626,728 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321,505,149 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307,995,889 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312,626,728 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321,505,149 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307,995,889 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5"/>
        <w:gridCol w:w="277"/>
        <w:gridCol w:w="279"/>
        <w:gridCol w:w="109"/>
        <w:gridCol w:w="109"/>
        <w:gridCol w:w="109"/>
        <w:gridCol w:w="533"/>
        <w:gridCol w:w="533"/>
        <w:gridCol w:w="198"/>
        <w:gridCol w:w="109"/>
        <w:gridCol w:w="109"/>
        <w:gridCol w:w="109"/>
        <w:gridCol w:w="241"/>
        <w:gridCol w:w="315"/>
        <w:gridCol w:w="135"/>
        <w:gridCol w:w="109"/>
        <w:gridCol w:w="109"/>
        <w:gridCol w:w="109"/>
        <w:gridCol w:w="203"/>
        <w:gridCol w:w="919"/>
        <w:gridCol w:w="113"/>
        <w:gridCol w:w="109"/>
        <w:gridCol w:w="109"/>
        <w:gridCol w:w="109"/>
        <w:gridCol w:w="198"/>
        <w:gridCol w:w="902"/>
        <w:gridCol w:w="110"/>
        <w:gridCol w:w="109"/>
        <w:gridCol w:w="109"/>
        <w:gridCol w:w="109"/>
        <w:gridCol w:w="265"/>
        <w:gridCol w:w="898"/>
        <w:gridCol w:w="148"/>
        <w:gridCol w:w="109"/>
        <w:gridCol w:w="109"/>
        <w:gridCol w:w="109"/>
        <w:gridCol w:w="203"/>
        <w:gridCol w:w="921"/>
        <w:gridCol w:w="167"/>
      </w:tblGrid>
      <w:tr>
        <w:trPr/>
        <w:tc>
          <w:tcPr>
            <w:tcW w:w="6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Stockholders</w:t>
            </w:r>
            <w:r>
              <w:rPr>
                <w:color w:val="000000"/>
                <w:shd w:fill="FFFFFF" w:val="clear"/>
              </w:rPr>
              <w:t>’</w:t>
            </w:r>
            <w:r>
              <w:rPr>
                <w:color w:val="000000"/>
              </w:rPr>
              <w:t xml:space="preserve"> </w:t>
            </w:r>
            <w:r>
              <w:rPr>
                <w:rFonts w:ascii="Times New Roman;sans-serif" w:hAnsi="Times New Roman;sans-serif"/>
                <w:b/>
                <w:color w:val="000000"/>
                <w:sz w:val="16"/>
              </w:rPr>
              <w:t xml:space="preserve">Equity </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Shares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311,053,031</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5,862,555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(3,109,004)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(21,565)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2,731,989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432,277 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2,492,095 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(63,208)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313,977,403</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6,053,917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(3,209,226)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(9,122)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2,835,572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2,762,075 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(3,526,590)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2,317,736 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(95,335)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315,735,274</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5,961,956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(3,128,866)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(47,553)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2,785,540</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1,037,308 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3,499,453 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2,248,706 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322,520,741</w:t>
            </w:r>
            <w:r>
              <w:rPr>
                <w:color w:val="000000"/>
              </w:rPr>
              <w:t> </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6,045,479</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(3,126,062)</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(44,504)</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2,874,916</w:t>
            </w:r>
            <w:r>
              <w:rPr>
                <w:color w:val="000000"/>
              </w:rPr>
              <w:t>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STATEMENT OF STOCKHOLDERS’ EQUITY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5"/>
        <w:gridCol w:w="277"/>
        <w:gridCol w:w="279"/>
        <w:gridCol w:w="109"/>
        <w:gridCol w:w="109"/>
        <w:gridCol w:w="109"/>
        <w:gridCol w:w="533"/>
        <w:gridCol w:w="533"/>
        <w:gridCol w:w="198"/>
        <w:gridCol w:w="109"/>
        <w:gridCol w:w="109"/>
        <w:gridCol w:w="109"/>
        <w:gridCol w:w="241"/>
        <w:gridCol w:w="315"/>
        <w:gridCol w:w="135"/>
        <w:gridCol w:w="109"/>
        <w:gridCol w:w="109"/>
        <w:gridCol w:w="109"/>
        <w:gridCol w:w="203"/>
        <w:gridCol w:w="919"/>
        <w:gridCol w:w="113"/>
        <w:gridCol w:w="109"/>
        <w:gridCol w:w="109"/>
        <w:gridCol w:w="109"/>
        <w:gridCol w:w="198"/>
        <w:gridCol w:w="902"/>
        <w:gridCol w:w="110"/>
        <w:gridCol w:w="109"/>
        <w:gridCol w:w="109"/>
        <w:gridCol w:w="109"/>
        <w:gridCol w:w="265"/>
        <w:gridCol w:w="899"/>
        <w:gridCol w:w="149"/>
        <w:gridCol w:w="109"/>
        <w:gridCol w:w="109"/>
        <w:gridCol w:w="109"/>
        <w:gridCol w:w="203"/>
        <w:gridCol w:w="919"/>
        <w:gridCol w:w="167"/>
      </w:tblGrid>
      <w:tr>
        <w:trPr/>
        <w:tc>
          <w:tcPr>
            <w:tcW w:w="6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Comprehensive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Stockholders</w:t>
            </w:r>
            <w:r>
              <w:rPr>
                <w:color w:val="000000"/>
                <w:shd w:fill="FFFFFF" w:val="clear"/>
              </w:rPr>
              <w:t>’</w:t>
            </w:r>
            <w:r>
              <w:rPr>
                <w:color w:val="000000"/>
              </w:rPr>
              <w:t xml:space="preserve"> </w:t>
            </w:r>
            <w:r>
              <w:rPr>
                <w:rFonts w:ascii="Times New Roman;sans-serif" w:hAnsi="Times New Roman;sans-serif"/>
                <w:b/>
                <w:color w:val="000000"/>
                <w:sz w:val="16"/>
              </w:rPr>
              <w:t>Equity</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Shares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296,846,217</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5,140,850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(2,591,247)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(15,423)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2,534,183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495,350 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3,740,320 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(171,783)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301,081,887</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5,355,032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(2,763,030)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(25,205)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2,566,800</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1,922,621 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2,195,991 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(39,159)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305,534,346</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5,571,955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(2,929,932)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(7,142)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2,634,884</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233,328 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2,770,527 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(133,936)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308,538,201</w:t>
            </w:r>
            <w:r>
              <w:rPr>
                <w:color w:val="000000"/>
              </w:rPr>
              <w:t> </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5,704,626</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(3,063,868)</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(17,301)</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2,623,460</w:t>
            </w:r>
            <w:r>
              <w:rPr>
                <w:color w:val="000000"/>
              </w:rPr>
              <w:t>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16"/>
        </w:rPr>
        <w:t>The share amounts listed above combine Class A and Class B stock.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(Unaudited)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bl>
      <w:tblPr>
        <w:tblW w:w="8001" w:type="dxa"/>
        <w:jc w:val="center"/>
        <w:tblInd w:w="0" w:type="dxa"/>
        <w:tblLayout w:type="fixed"/>
        <w:tblCellMar>
          <w:top w:w="28" w:type="dxa"/>
          <w:left w:w="28" w:type="dxa"/>
          <w:bottom w:w="28" w:type="dxa"/>
          <w:right w:w="28" w:type="dxa"/>
        </w:tblCellMar>
      </w:tblPr>
      <w:tblGrid>
        <w:gridCol w:w="1885"/>
        <w:gridCol w:w="1663"/>
        <w:gridCol w:w="1672"/>
        <w:gridCol w:w="109"/>
        <w:gridCol w:w="109"/>
        <w:gridCol w:w="109"/>
        <w:gridCol w:w="181"/>
        <w:gridCol w:w="751"/>
        <w:gridCol w:w="109"/>
        <w:gridCol w:w="109"/>
        <w:gridCol w:w="109"/>
        <w:gridCol w:w="109"/>
        <w:gridCol w:w="181"/>
        <w:gridCol w:w="751"/>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March 31,</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premiums and discounts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fair value of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commercial agreement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discount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Commercial agreement warrant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and origination of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(3,051,742)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(3,136,368)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sale of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Payable to third-party loan buyers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and origination of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(22,727,969)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(15,557,208)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sale of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repayments and other loan servicing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13,649,667 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10,314,290 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Additions to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and repayments of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investing cash inflows/(outflows)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(787,516)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issuance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issuance of 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14,023,995 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8,825,076 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repayments of 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(13,932,542)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(8,964,832)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Extinguishment of convertible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(1,012,856)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notes and certificates by securitization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1,601,828 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repayments of notes issued by securitization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common stock options and warrants and contributions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of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767,180 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440,560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359,747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1,259,944 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1,735,959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1,619,691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CASH FLOWS, CONT.</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(Unaudited)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p>
      <w:pPr>
        <w:pStyle w:val="TextBody"/>
        <w:bidi w:val="0"/>
        <w:spacing w:before="0" w:after="0"/>
        <w:jc w:val="center"/>
        <w:rPr/>
      </w:pPr>
      <w:r>
        <w:rPr/>
      </w:r>
    </w:p>
    <w:tbl>
      <w:tblPr>
        <w:tblW w:w="8645" w:type="dxa"/>
        <w:jc w:val="center"/>
        <w:tblInd w:w="0" w:type="dxa"/>
        <w:tblLayout w:type="fixed"/>
        <w:tblCellMar>
          <w:top w:w="28" w:type="dxa"/>
          <w:left w:w="28" w:type="dxa"/>
          <w:bottom w:w="28" w:type="dxa"/>
          <w:right w:w="28" w:type="dxa"/>
        </w:tblCellMar>
      </w:tblPr>
      <w:tblGrid>
        <w:gridCol w:w="2017"/>
        <w:gridCol w:w="1771"/>
        <w:gridCol w:w="1776"/>
        <w:gridCol w:w="109"/>
        <w:gridCol w:w="109"/>
        <w:gridCol w:w="109"/>
        <w:gridCol w:w="196"/>
        <w:gridCol w:w="886"/>
        <w:gridCol w:w="109"/>
        <w:gridCol w:w="109"/>
        <w:gridCol w:w="109"/>
        <w:gridCol w:w="109"/>
        <w:gridCol w:w="196"/>
        <w:gridCol w:w="88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amounts on consolidated balance sheets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1,735,959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1,619,691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85" w:type="dxa"/>
        <w:jc w:val="center"/>
        <w:tblInd w:w="0" w:type="dxa"/>
        <w:tblLayout w:type="fixed"/>
        <w:tblCellMar>
          <w:top w:w="28" w:type="dxa"/>
          <w:left w:w="28" w:type="dxa"/>
          <w:bottom w:w="28" w:type="dxa"/>
          <w:right w:w="28" w:type="dxa"/>
        </w:tblCellMar>
      </w:tblPr>
      <w:tblGrid>
        <w:gridCol w:w="1885"/>
        <w:gridCol w:w="1657"/>
        <w:gridCol w:w="1662"/>
        <w:gridCol w:w="109"/>
        <w:gridCol w:w="109"/>
        <w:gridCol w:w="109"/>
        <w:gridCol w:w="196"/>
        <w:gridCol w:w="736"/>
        <w:gridCol w:w="109"/>
        <w:gridCol w:w="109"/>
        <w:gridCol w:w="109"/>
        <w:gridCol w:w="109"/>
        <w:gridCol w:w="196"/>
        <w:gridCol w:w="736"/>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included in 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retained under unconsolidated securitization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Business Description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Merchants partner with us to transform the consumer shopping experience and to acquire and convert consumers more effectively through our frictionless point-of-sale payment solutions.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2024. The balance sheet as of June 30, 2024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Within the interim condensed consolidated financial statements and tables presented in the accompanying notes, certain columns and rows may not sum due to the use of rounded numbers for disclosure purposes. The results of operations for the interim periods are not necessarily indicative of the results that may be expected for the full year or any other interim period.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directly originated loans, the evaluation for impairment of intangible assets and goodwill, the fair value of available for sale debt securities including retained interests in our securitization trusts, the fair value of risk sharing arrangements,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estimates are based on information available as of the date of the interim condensed consolidated financial statements; therefore, actual results could differ materially from those estimates.   </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changes to our significant accounting policies as disclosed in Note 2. Summary of Significant Accounting Policies of our Annual Report on Form 10-K for the fiscal year ended June 30, 2024, which was filed with the SEC on August 28, 2024. </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2023, the FASB issued Accounting Standards Update(“ASU”)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The new guidance modifies the existing annual and interim segment reporting disclosures. The purpose of the update is to enable investors to better understand an entity’s overall performance and assess potential future cash flows, primarily through enhanced disclosure requirements on significant segment expenses. The ASU is effective for annual reporting periods beginning after December 15, 2023 and interim periods within fiscal years beginning after December 15, 2024, and should be applied retrospectively to all prior periods presented in the financial statements.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The new guidance is expected to increase transparency and usefulness of income tax disclosures through improvements to the rate reconciliation, income taxes paid, and other disclosure requirements.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We are in the process of evaluating the impact of adopting this accounting standard update on our consolidated financial statements and disclosures.</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Reporting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2024, the FASB issued ASU 2024-03, </w:t>
      </w:r>
      <w:r>
        <w:rPr>
          <w:color w:val="000000"/>
        </w:rPr>
        <w:t>“</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Subsequent to the issuance of ASU 2024-03, the FASB issued ASU 2025-01 to clarify the 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with Conversion and Other Options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2024, the FASB issued ASU 2024-04, </w:t>
      </w:r>
      <w:r>
        <w:rPr>
          <w:color w:val="000000"/>
        </w:rPr>
        <w:t>“</w:t>
      </w:r>
      <w:r>
        <w:rPr>
          <w:rFonts w:ascii="Times New Roman;sans-serif" w:hAnsi="Times New Roman;sans-serif"/>
          <w:b w:val="false"/>
          <w:i/>
          <w:color w:val="000000"/>
          <w:sz w:val="20"/>
        </w:rPr>
        <w:t>Debt—Debt with Conversion and Other Options (Subtopic 470-20): Induced Conversions of Convertible Debt Instruments”</w:t>
      </w:r>
      <w:r>
        <w:rPr>
          <w:rFonts w:ascii="Times New Roman;sans-serif" w:hAnsi="Times New Roman;sans-serif"/>
          <w:b w:val="false"/>
          <w:color w:val="000000"/>
          <w:sz w:val="20"/>
        </w:rPr>
        <w:t>. The new guidance clarifies the requirements for determining whether certain settlements of convertible debt should be accounted for as an induced conversion. The ASU is effective for fiscal years beginning after December 15, 2025 and interim periods within those annual reporting periods,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disaggregated by revenue source (in thousands):</w:t>
      </w:r>
    </w:p>
    <w:p>
      <w:pPr>
        <w:pStyle w:val="TextBody"/>
        <w:bidi w:val="0"/>
        <w:spacing w:before="0" w:after="0"/>
        <w:ind w:left="0" w:right="0" w:firstLine="720"/>
        <w:jc w:val="left"/>
        <w:rPr/>
      </w:pPr>
      <w:r>
        <w:rPr/>
      </w:r>
    </w:p>
    <w:tbl>
      <w:tblPr>
        <w:tblW w:w="8531" w:type="dxa"/>
        <w:jc w:val="left"/>
        <w:tblInd w:w="0" w:type="dxa"/>
        <w:tblLayout w:type="fixed"/>
        <w:tblCellMar>
          <w:top w:w="28" w:type="dxa"/>
          <w:left w:w="28" w:type="dxa"/>
          <w:bottom w:w="28" w:type="dxa"/>
          <w:right w:w="28" w:type="dxa"/>
        </w:tblCellMar>
      </w:tblPr>
      <w:tblGrid>
        <w:gridCol w:w="830"/>
        <w:gridCol w:w="731"/>
        <w:gridCol w:w="733"/>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29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network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Merchant Network Revenue — Revenue from Contracts with Customers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31, 2025 and 2024, there were no merchants that individually exceeded 10% of total revenue.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Card Network Revenue — Revenue from Contracts with Customers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card-issuing partners to facilitate the issuance of physical and virtual cards to be used by consumers at checkout. Prior to purchase, consumers can apply at Affirm.com or via the Affirm app and, upon approval, use a physical or virtual card to complete their purchase online or in-store. The card is funded at the time a transaction is authorized using cash held by the card-issuing partner in a reserve fund. Eligible consumers can also use the Affirm Card, a card issued by a card-issuing partner to pay in full, via their linked bank account, or pay later, by using a unique post-purchase feature that allows them to instantly convert any eligible transaction into an installment loan. Where applicable, our originating bank partner, or wholly-owned subsidiaries, then originates a loan to the consumer after the transaction is confirmed by the merchant. The merchant is charged interchange fees for each successful card transaction, and a portion of this revenue is shared with us by our card-issuing partners.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service comprises a single performance obligation to the card-issuing partner to facilitate transactions with consumers.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consisted of the following components (in thousands):</w:t>
      </w:r>
    </w:p>
    <w:tbl>
      <w:tblPr>
        <w:tblW w:w="10205" w:type="dxa"/>
        <w:jc w:val="center"/>
        <w:tblInd w:w="0" w:type="dxa"/>
        <w:tblLayout w:type="fixed"/>
        <w:tblCellMar>
          <w:top w:w="28" w:type="dxa"/>
          <w:left w:w="28" w:type="dxa"/>
          <w:bottom w:w="28" w:type="dxa"/>
          <w:right w:w="28" w:type="dxa"/>
        </w:tblCellMar>
      </w:tblPr>
      <w:tblGrid>
        <w:gridCol w:w="1501"/>
        <w:gridCol w:w="1304"/>
        <w:gridCol w:w="1311"/>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5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income on unpaid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 charged-off,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100" w:after="283"/>
        <w:jc w:val="center"/>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March 31, 2025 and June 30, 2024, the balance of loans held for investment on non-accrual status was $5.1 million and $2.6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charged-off.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Sales of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recognize a risk sharing asset or liability in certain arrangements where payments are made or received based on the actual versus expected loan performance, as contractually agreed upon with the third party. Refer to Note 12. Fair Value of Financial Assets and Liabilities for further discussion of risk sharing arrangements.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Loans Held for Investment and Allowance for Credit Losses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Loans held for investment consisted of the following (in thousands):</w:t>
      </w:r>
    </w:p>
    <w:tbl>
      <w:tblPr>
        <w:tblW w:w="9620" w:type="dxa"/>
        <w:jc w:val="center"/>
        <w:tblInd w:w="0" w:type="dxa"/>
        <w:tblLayout w:type="fixed"/>
        <w:tblCellMar>
          <w:top w:w="28" w:type="dxa"/>
          <w:left w:w="28" w:type="dxa"/>
          <w:bottom w:w="28" w:type="dxa"/>
          <w:right w:w="28" w:type="dxa"/>
        </w:tblCellMar>
      </w:tblPr>
      <w:tblGrid>
        <w:gridCol w:w="2293"/>
        <w:gridCol w:w="2009"/>
        <w:gridCol w:w="2027"/>
        <w:gridCol w:w="109"/>
        <w:gridCol w:w="109"/>
        <w:gridCol w:w="109"/>
        <w:gridCol w:w="211"/>
        <w:gridCol w:w="976"/>
        <w:gridCol w:w="109"/>
        <w:gridCol w:w="109"/>
        <w:gridCol w:w="109"/>
        <w:gridCol w:w="109"/>
        <w:gridCol w:w="211"/>
        <w:gridCol w:w="976"/>
        <w:gridCol w:w="154"/>
      </w:tblGrid>
      <w:tr>
        <w:trPr/>
        <w:tc>
          <w:tcPr>
            <w:tcW w:w="229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on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Discount due to 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Discount due to loss on directly originated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Fair value adjustment on loans acquired through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$7.1 billion and $21.6 billion during the three and nine months ended March 31, 2025, respectively, and $5.1 billion and $15.6 billion during the three and nine months ended March 31, 2024, respectively. We directly originated $1.5 billion and $4.5 billion of loans during the three and nine months ended March 31, 2025, respectively, and $1.1 billion and $3.3 billion of loans during the three and nine months ended March 31,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consists of interest bearing and non-interest bearing consumer loans with original term lengths of up to sixty months originated in markets including the U.S., U.K., and Canada, with the majority of loans originated within the U.S. Given that our loan portfolio focuses on one product segment, unsecured consumer installment loans, we generally evaluate the entire portfolio as a single homogeneous loan portfolio to predict future losses, considering factors such as country of origin, loan product, origination channel, merchant and various borrower characteristics.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an analysis of the credit quality, by ITACs score, of the amortized cost basis excluding accrued interest receivable, by fiscal year of origination on loans held for investment and loans held for sale as of March 31, 2025 and June 30, 2024 (in thousands):</w:t>
      </w:r>
    </w:p>
    <w:p>
      <w:pPr>
        <w:pStyle w:val="TextBody"/>
        <w:bidi w:val="0"/>
        <w:spacing w:before="0" w:after="0"/>
        <w:ind w:left="0" w:right="0" w:firstLine="720"/>
        <w:jc w:val="left"/>
        <w:rPr/>
      </w:pPr>
      <w:r>
        <w:rPr/>
      </w:r>
    </w:p>
    <w:tbl>
      <w:tblPr>
        <w:tblW w:w="10447" w:type="dxa"/>
        <w:jc w:val="left"/>
        <w:tblInd w:w="0" w:type="dxa"/>
        <w:tblLayout w:type="fixed"/>
        <w:tblCellMar>
          <w:top w:w="28" w:type="dxa"/>
          <w:left w:w="28" w:type="dxa"/>
          <w:bottom w:w="28" w:type="dxa"/>
          <w:right w:w="28" w:type="dxa"/>
        </w:tblCellMar>
      </w:tblPr>
      <w:tblGrid>
        <w:gridCol w:w="374"/>
        <w:gridCol w:w="329"/>
        <w:gridCol w:w="228"/>
        <w:gridCol w:w="109"/>
        <w:gridCol w:w="109"/>
        <w:gridCol w:w="10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11"/>
        <w:gridCol w:w="976"/>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Costs Basis by 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 – 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 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 score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402" w:type="dxa"/>
        <w:jc w:val="left"/>
        <w:tblInd w:w="0" w:type="dxa"/>
        <w:tblLayout w:type="fixed"/>
        <w:tblCellMar>
          <w:top w:w="28" w:type="dxa"/>
          <w:left w:w="28" w:type="dxa"/>
          <w:bottom w:w="28" w:type="dxa"/>
          <w:right w:w="28" w:type="dxa"/>
        </w:tblCellMar>
      </w:tblPr>
      <w:tblGrid>
        <w:gridCol w:w="374"/>
        <w:gridCol w:w="329"/>
        <w:gridCol w:w="228"/>
        <w:gridCol w:w="109"/>
        <w:gridCol w:w="109"/>
        <w:gridCol w:w="10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976"/>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Costs Basis by 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 – 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 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 score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This balance represents loan receivables without sufficient data available for use by the Affirm scoring methodology including new markets and certain developing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charge-offs by fiscal year of origination as of March 31, 2025 (in thousands):</w:t>
      </w:r>
    </w:p>
    <w:tbl>
      <w:tblPr>
        <w:tblW w:w="10205" w:type="dxa"/>
        <w:jc w:val="left"/>
        <w:tblInd w:w="0" w:type="dxa"/>
        <w:tblLayout w:type="fixed"/>
        <w:tblCellMar>
          <w:top w:w="28" w:type="dxa"/>
          <w:left w:w="28" w:type="dxa"/>
          <w:bottom w:w="28" w:type="dxa"/>
          <w:right w:w="28" w:type="dxa"/>
        </w:tblCellMar>
      </w:tblPr>
      <w:tblGrid>
        <w:gridCol w:w="617"/>
        <w:gridCol w:w="542"/>
        <w:gridCol w:w="544"/>
        <w:gridCol w:w="109"/>
        <w:gridCol w:w="109"/>
        <w:gridCol w:w="109"/>
        <w:gridCol w:w="381"/>
        <w:gridCol w:w="381"/>
        <w:gridCol w:w="176"/>
        <w:gridCol w:w="109"/>
        <w:gridCol w:w="109"/>
        <w:gridCol w:w="109"/>
        <w:gridCol w:w="432"/>
        <w:gridCol w:w="434"/>
        <w:gridCol w:w="176"/>
        <w:gridCol w:w="109"/>
        <w:gridCol w:w="109"/>
        <w:gridCol w:w="109"/>
        <w:gridCol w:w="381"/>
        <w:gridCol w:w="381"/>
        <w:gridCol w:w="176"/>
        <w:gridCol w:w="109"/>
        <w:gridCol w:w="109"/>
        <w:gridCol w:w="109"/>
        <w:gridCol w:w="327"/>
        <w:gridCol w:w="329"/>
        <w:gridCol w:w="176"/>
        <w:gridCol w:w="109"/>
        <w:gridCol w:w="109"/>
        <w:gridCol w:w="109"/>
        <w:gridCol w:w="252"/>
        <w:gridCol w:w="254"/>
        <w:gridCol w:w="176"/>
        <w:gridCol w:w="109"/>
        <w:gridCol w:w="109"/>
        <w:gridCol w:w="109"/>
        <w:gridCol w:w="252"/>
        <w:gridCol w:w="254"/>
        <w:gridCol w:w="166"/>
        <w:gridCol w:w="109"/>
        <w:gridCol w:w="109"/>
        <w:gridCol w:w="109"/>
        <w:gridCol w:w="432"/>
        <w:gridCol w:w="434"/>
        <w:gridCol w:w="243"/>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Charge-offs by 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(295,661)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(409,152)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(90,270)</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(280,068)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(376,457)</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tbl>
      <w:tblPr>
        <w:tblW w:w="6170" w:type="dxa"/>
        <w:jc w:val="center"/>
        <w:tblInd w:w="0" w:type="dxa"/>
        <w:tblLayout w:type="fixed"/>
        <w:tblCellMar>
          <w:top w:w="28" w:type="dxa"/>
          <w:left w:w="28" w:type="dxa"/>
          <w:bottom w:w="28" w:type="dxa"/>
          <w:right w:w="28" w:type="dxa"/>
        </w:tblCellMar>
      </w:tblPr>
      <w:tblGrid>
        <w:gridCol w:w="1043"/>
        <w:gridCol w:w="916"/>
        <w:gridCol w:w="920"/>
        <w:gridCol w:w="109"/>
        <w:gridCol w:w="109"/>
        <w:gridCol w:w="109"/>
        <w:gridCol w:w="211"/>
        <w:gridCol w:w="976"/>
        <w:gridCol w:w="109"/>
        <w:gridCol w:w="109"/>
        <w:gridCol w:w="109"/>
        <w:gridCol w:w="109"/>
        <w:gridCol w:w="211"/>
        <w:gridCol w:w="97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Non-delinquent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29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 59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 89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90 – 119 calendar days past due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$49.1 million and $38.6 million of loan receivables as of March 31, 2025 and June 30, 2024, respectively, that are 90 days or more past due, but are not on non-accrual status.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allowance for credit losses at a level sufficient to absorb expected credit losses based on evaluating known and inherent risks in our loan portfolio. The allowance for credit losses reflects our estimate of expected lifetime credit losses, which consider the remaining contractual term, historical credit losses, consumer payment trends, estimated recoveries, and future payment expectations as of each balance sheet date. Adjustments to the allowance for changes in our estimate of lifetime expected credit losses are recognized in earnings through the provision for credit losses presented on our interim condensed consolidated statements of operations and comprehensive income (loss).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allowance for credit losses, including charge-offs, recoveries and provision for loan losses (in thousands):</w:t>
      </w:r>
    </w:p>
    <w:tbl>
      <w:tblPr>
        <w:tblW w:w="9101" w:type="dxa"/>
        <w:jc w:val="center"/>
        <w:tblInd w:w="0" w:type="dxa"/>
        <w:tblLayout w:type="fixed"/>
        <w:tblCellMar>
          <w:top w:w="28" w:type="dxa"/>
          <w:left w:w="28" w:type="dxa"/>
          <w:bottom w:w="28" w:type="dxa"/>
          <w:right w:w="28" w:type="dxa"/>
        </w:tblCellMar>
      </w:tblPr>
      <w:tblGrid>
        <w:gridCol w:w="1146"/>
        <w:gridCol w:w="1007"/>
        <w:gridCol w:w="101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charged-off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Primarily represents foreign currency translation adjustments and the initial allowance for purchased credit-deteriorated (PCD) loans.</w:t>
      </w:r>
    </w:p>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 Modifications for Borrowers Experiencing Financial Difficulty</w:t>
      </w:r>
    </w:p>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amortized cost basis of loans excluding accrued interest receivable that were modified for borrowers experiencing financial difficulty during the three and nine months ended March 31, 2025 and 2024, by type of modification (in thousands):</w:t>
      </w:r>
    </w:p>
    <w:p>
      <w:pPr>
        <w:pStyle w:val="TextBody"/>
        <w:bidi w:val="0"/>
        <w:spacing w:before="0" w:after="0"/>
        <w:ind w:left="0" w:right="0" w:firstLine="720"/>
        <w:jc w:val="left"/>
        <w:rPr/>
      </w:pPr>
      <w:r>
        <w:rPr/>
      </w:r>
    </w:p>
    <w:tbl>
      <w:tblPr>
        <w:tblW w:w="9360" w:type="dxa"/>
        <w:jc w:val="left"/>
        <w:tblInd w:w="0" w:type="dxa"/>
        <w:tblLayout w:type="fixed"/>
        <w:tblCellMar>
          <w:top w:w="28" w:type="dxa"/>
          <w:left w:w="28" w:type="dxa"/>
          <w:bottom w:w="28" w:type="dxa"/>
          <w:right w:w="28" w:type="dxa"/>
        </w:tblCellMar>
      </w:tblPr>
      <w:tblGrid>
        <w:gridCol w:w="1194"/>
        <w:gridCol w:w="1052"/>
        <w:gridCol w:w="1054"/>
        <w:gridCol w:w="109"/>
        <w:gridCol w:w="109"/>
        <w:gridCol w:w="109"/>
        <w:gridCol w:w="211"/>
        <w:gridCol w:w="616"/>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2024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2024 </w:t>
            </w:r>
            <w:r>
              <w:rPr>
                <w:rFonts w:ascii="Times New Roman;sans-serif" w:hAnsi="Times New Roman;sans-serif"/>
                <w:b/>
                <w:color w:val="000000"/>
                <w:sz w:val="13"/>
              </w:rPr>
              <w:t>(1)</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deferral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re-amortization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loan receivables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Amounts previously disclosed excluded modifications made to borrowers where the loan was less than 30 days delinquent at the time of modification.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borrowers who received payment deferrals during the three and nine months ended March 31, 2025 and 2024, the length of each deferral period was one month.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borrowers who received a loan re-amortization during the three and nine months ended March 31, 2025 and 2024, the payment amount was reduced by half and the term of the loan was extended between one month and twelve months.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delinquency status as of March 31, 2025 and 2024, by amortized cost basis excluding accrued interest receivable, of loan receivables that have been modified within the last 12 months where the borrower was experiencing financial difficulty at the time of modification (in thousands):</w:t>
      </w:r>
    </w:p>
    <w:p>
      <w:pPr>
        <w:pStyle w:val="TextBody"/>
        <w:bidi w:val="0"/>
        <w:spacing w:before="0" w:after="0"/>
        <w:jc w:val="left"/>
        <w:rPr/>
      </w:pPr>
      <w:r>
        <w:rPr/>
      </w:r>
    </w:p>
    <w:tbl>
      <w:tblPr>
        <w:tblW w:w="839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328"/>
        <w:gridCol w:w="1122"/>
        <w:gridCol w:w="169"/>
        <w:gridCol w:w="109"/>
        <w:gridCol w:w="109"/>
        <w:gridCol w:w="109"/>
        <w:gridCol w:w="534"/>
        <w:gridCol w:w="1182"/>
        <w:gridCol w:w="279"/>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Deferral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Re-amortization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Non-delinquent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29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 59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 89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 119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839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328"/>
        <w:gridCol w:w="1122"/>
        <w:gridCol w:w="169"/>
        <w:gridCol w:w="109"/>
        <w:gridCol w:w="109"/>
        <w:gridCol w:w="109"/>
        <w:gridCol w:w="449"/>
        <w:gridCol w:w="1312"/>
        <w:gridCol w:w="234"/>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March 31, 2024</w:t>
            </w:r>
            <w:r>
              <w:rPr>
                <w:color w:val="000000"/>
              </w:rPr>
              <w:t xml:space="preserve"> </w:t>
            </w:r>
            <w:r>
              <w:rPr>
                <w:rFonts w:ascii="Times New Roman;sans-serif" w:hAnsi="Times New Roman;sans-serif"/>
                <w:b/>
                <w:color w:val="000000"/>
                <w:sz w:val="13"/>
              </w:rPr>
              <w:t>(1)</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Deferral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Re-amortization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Non-delinquent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29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 59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 89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 119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Amounts previously disclosed excluded modifications made to borrowers where the loan was less than 30 days delinquent at the time of modification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modifications during the 12 months preceding March 31, 2025 and 2024, respectively, where the borrower was experiencing financial difficulty at the time of modification, the amortized cost basis of loans which have been charged off was $10.4 million and $7.8 million, respectively.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$18.2 million and $14.9 million as of March 31, 2025 and June 30, 2024, respectively.</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p>
      <w:pPr>
        <w:pStyle w:val="TextBody"/>
        <w:bidi w:val="0"/>
        <w:spacing w:before="0" w:after="0"/>
        <w:jc w:val="left"/>
        <w:rPr/>
      </w:pPr>
      <w:r>
        <w:rPr/>
      </w:r>
    </w:p>
    <w:tbl>
      <w:tblPr>
        <w:tblW w:w="7515" w:type="dxa"/>
        <w:jc w:val="left"/>
        <w:tblInd w:w="0" w:type="dxa"/>
        <w:tblLayout w:type="fixed"/>
        <w:tblCellMar>
          <w:top w:w="28" w:type="dxa"/>
          <w:left w:w="28" w:type="dxa"/>
          <w:bottom w:w="28" w:type="dxa"/>
          <w:right w:w="28" w:type="dxa"/>
        </w:tblCellMar>
      </w:tblPr>
      <w:tblGrid>
        <w:gridCol w:w="1503"/>
        <w:gridCol w:w="1324"/>
        <w:gridCol w:w="1328"/>
        <w:gridCol w:w="109"/>
        <w:gridCol w:w="109"/>
        <w:gridCol w:w="109"/>
        <w:gridCol w:w="109"/>
        <w:gridCol w:w="109"/>
        <w:gridCol w:w="237"/>
        <w:gridCol w:w="930"/>
        <w:gridCol w:w="122"/>
        <w:gridCol w:w="109"/>
        <w:gridCol w:w="109"/>
        <w:gridCol w:w="109"/>
        <w:gridCol w:w="212"/>
        <w:gridCol w:w="832"/>
        <w:gridCol w:w="155"/>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543,327 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427,686 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equipment and software was $59.4 million and $159.8 million for the three and nine months ended March 31, 2025, respectively, and $43.2 million and $105.7 million for the three and nine months ended March 31, 2024, respectively.</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impairment losses related to property, equipment and software were recorded during the three and nine months ended March 31, 2025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nine months ended March 31, 2025 were as follows (in thousands):</w:t>
      </w:r>
    </w:p>
    <w:p>
      <w:pPr>
        <w:pStyle w:val="TextBody"/>
        <w:bidi w:val="0"/>
        <w:spacing w:before="0" w:after="0"/>
        <w:ind w:left="0" w:right="0" w:firstLine="720"/>
        <w:jc w:val="left"/>
        <w:rPr/>
      </w:pPr>
      <w:r>
        <w:rPr/>
      </w:r>
    </w:p>
    <w:tbl>
      <w:tblPr>
        <w:tblW w:w="4053" w:type="dxa"/>
        <w:jc w:val="left"/>
        <w:tblInd w:w="0" w:type="dxa"/>
        <w:tblLayout w:type="fixed"/>
        <w:tblCellMar>
          <w:top w:w="28" w:type="dxa"/>
          <w:left w:w="28" w:type="dxa"/>
          <w:bottom w:w="28" w:type="dxa"/>
          <w:right w:w="28" w:type="dxa"/>
        </w:tblCellMar>
      </w:tblPr>
      <w:tblGrid>
        <w:gridCol w:w="919"/>
        <w:gridCol w:w="805"/>
        <w:gridCol w:w="811"/>
        <w:gridCol w:w="109"/>
        <w:gridCol w:w="109"/>
        <w:gridCol w:w="109"/>
        <w:gridCol w:w="211"/>
        <w:gridCol w:w="82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Adjustments to goodwill during the nine months ended March 31, 2025 pertained to foreign currency translation adjustments.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impairment losses related to goodwill were recorded during the three and nine months ended March 31, 2025. There were no impairment losses during the three months ended March 31, 2024. During the nine months ended March 31, 2024, we recognized goodwill disposal losses of $1.0 million included in general and administrative expenses within the interim condensed consolidated statements of operations and comprehensive income (loss).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61"/>
        <w:gridCol w:w="845"/>
        <w:gridCol w:w="848"/>
        <w:gridCol w:w="109"/>
        <w:gridCol w:w="109"/>
        <w:gridCol w:w="109"/>
        <w:gridCol w:w="211"/>
        <w:gridCol w:w="826"/>
        <w:gridCol w:w="109"/>
        <w:gridCol w:w="109"/>
        <w:gridCol w:w="109"/>
        <w:gridCol w:w="109"/>
        <w:gridCol w:w="340"/>
        <w:gridCol w:w="1204"/>
        <w:gridCol w:w="179"/>
        <w:gridCol w:w="109"/>
        <w:gridCol w:w="109"/>
        <w:gridCol w:w="109"/>
        <w:gridCol w:w="211"/>
        <w:gridCol w:w="721"/>
        <w:gridCol w:w="109"/>
        <w:gridCol w:w="109"/>
        <w:gridCol w:w="109"/>
        <w:gridCol w:w="109"/>
        <w:gridCol w:w="681"/>
        <w:gridCol w:w="681"/>
        <w:gridCol w:w="971"/>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Remaining Useful Life </w:t>
              <w:br/>
              <w:t>(in years)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domains, 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licenses and domains, indefinite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1"/>
        <w:gridCol w:w="995"/>
        <w:gridCol w:w="998"/>
        <w:gridCol w:w="109"/>
        <w:gridCol w:w="109"/>
        <w:gridCol w:w="109"/>
        <w:gridCol w:w="211"/>
        <w:gridCol w:w="826"/>
        <w:gridCol w:w="109"/>
        <w:gridCol w:w="109"/>
        <w:gridCol w:w="109"/>
        <w:gridCol w:w="109"/>
        <w:gridCol w:w="379"/>
        <w:gridCol w:w="1347"/>
        <w:gridCol w:w="200"/>
        <w:gridCol w:w="109"/>
        <w:gridCol w:w="109"/>
        <w:gridCol w:w="109"/>
        <w:gridCol w:w="211"/>
        <w:gridCol w:w="721"/>
        <w:gridCol w:w="109"/>
        <w:gridCol w:w="109"/>
        <w:gridCol w:w="109"/>
        <w:gridCol w:w="109"/>
        <w:gridCol w:w="484"/>
        <w:gridCol w:w="484"/>
        <w:gridCol w:w="692"/>
      </w:tblGrid>
      <w:tr>
        <w:trPr/>
        <w:tc>
          <w:tcPr>
            <w:tcW w:w="113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 Useful Life</w:t>
              <w:br/>
              <w:t>(in years)</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domains, 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licenses and domains, 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(89,707)</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Amortization expense for intangible assets was $0.1 million and $1.3 million for t</w:t>
      </w:r>
      <w:r>
        <w:rPr>
          <w:rFonts w:ascii="Times New Roman;sans-serif" w:hAnsi="Times New Roman;sans-serif"/>
          <w:b w:val="false"/>
          <w:color w:val="000000"/>
          <w:sz w:val="20"/>
          <w:shd w:fill="FFFFFF" w:val="clear"/>
        </w:rPr>
        <w:t xml:space="preserve">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respectively, and </w:t>
      </w:r>
      <w:r>
        <w:rPr>
          <w:rFonts w:ascii="Times New Roman;sans-serif" w:hAnsi="Times New Roman;sans-serif"/>
          <w:b w:val="false"/>
          <w:color w:val="000000"/>
          <w:sz w:val="20"/>
        </w:rPr>
        <w:t>$2.0 million</w:t>
      </w:r>
      <w:r>
        <w:rPr>
          <w:color w:val="000000"/>
          <w:shd w:fill="FFFFFF" w:val="clear"/>
        </w:rPr>
        <w:t xml:space="preserve"> </w:t>
      </w:r>
      <w:r>
        <w:rPr>
          <w:rFonts w:ascii="Times New Roman;sans-serif" w:hAnsi="Times New Roman;sans-serif"/>
          <w:b w:val="false"/>
          <w:color w:val="000000"/>
          <w:sz w:val="20"/>
        </w:rPr>
        <w:t xml:space="preserve">and $19.0 million for the three and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March 31, 2024, respectively. No impairment losses related to intangible assets were recorded during the three and nine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and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of these intangible assets as of March 31, 2025 is as follows, by fiscal year (in thousands):</w:t>
      </w:r>
    </w:p>
    <w:p>
      <w:pPr>
        <w:pStyle w:val="TextBody"/>
        <w:bidi w:val="0"/>
        <w:spacing w:before="0" w:after="0"/>
        <w:ind w:left="0" w:right="0" w:firstLine="720"/>
        <w:jc w:val="left"/>
        <w:rPr/>
      </w:pPr>
      <w:r>
        <w:rPr/>
      </w:r>
    </w:p>
    <w:tbl>
      <w:tblPr>
        <w:tblW w:w="3783" w:type="dxa"/>
        <w:jc w:val="left"/>
        <w:tblInd w:w="0" w:type="dxa"/>
        <w:tblLayout w:type="fixed"/>
        <w:tblCellMar>
          <w:top w:w="28" w:type="dxa"/>
          <w:left w:w="28" w:type="dxa"/>
          <w:bottom w:w="28" w:type="dxa"/>
          <w:right w:w="28" w:type="dxa"/>
        </w:tblCellMar>
      </w:tblPr>
      <w:tblGrid>
        <w:gridCol w:w="950"/>
        <w:gridCol w:w="835"/>
        <w:gridCol w:w="840"/>
        <w:gridCol w:w="109"/>
        <w:gridCol w:w="109"/>
        <w:gridCol w:w="109"/>
        <w:gridCol w:w="211"/>
        <w:gridCol w:w="46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Commercial Agreement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2021,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expected benefit period of four years. For the three and nine months ended March 31, 2025, we recognized amortization expense of $5.1 million and $15.6 million, respectively, and $6.9 million and $27.8 million for the three and nine months ended March 31, 2024, respectively, in our interim condensed consolidated statements of operations and comprehensive income (loss) as a component of sales and marketing expense. Refer to Note 13. Stockholders’ Equity</w:t>
      </w:r>
      <w:r>
        <w:rPr>
          <w:color w:val="000000"/>
        </w:rPr>
        <w:t xml:space="preserve"> </w:t>
      </w:r>
      <w:r>
        <w:rPr>
          <w:rFonts w:ascii="Times New Roman;sans-serif" w:hAnsi="Times New Roman;sans-serif"/>
          <w:b w:val="false"/>
          <w:color w:val="000000"/>
          <w:sz w:val="20"/>
        </w:rPr>
        <w:t xml:space="preserve">for further discussion of the warrants.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March 31, 2025. During fiscal year 2025, the expected benefit period was extended from six to nine years upon execution of a commercial agreement, which superseded and replaced the previous commercial agreement. The benefit period is reevaluated each reporting period. For the three and nine months ended March 31, 2025, we recorded amortization expense related to the commercial agreement asset of $5.8 million and $23.9 million respectively, and $8.9 million and $27.0 million for the three and nine months ended March 31, 2024, respectively, in our interim condensed consolidated statements of operations and comprehensive income (loss) as a component of sales and marketing expense.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Other assets consisted of the following (in thousands):</w:t>
      </w:r>
    </w:p>
    <w:tbl>
      <w:tblPr>
        <w:tblW w:w="7649" w:type="dxa"/>
        <w:jc w:val="center"/>
        <w:tblInd w:w="0" w:type="dxa"/>
        <w:tblLayout w:type="fixed"/>
        <w:tblCellMar>
          <w:top w:w="28" w:type="dxa"/>
          <w:left w:w="28" w:type="dxa"/>
          <w:bottom w:w="28" w:type="dxa"/>
          <w:right w:w="28" w:type="dxa"/>
        </w:tblCellMar>
      </w:tblPr>
      <w:tblGrid>
        <w:gridCol w:w="1553"/>
        <w:gridCol w:w="1365"/>
        <w:gridCol w:w="1371"/>
        <w:gridCol w:w="109"/>
        <w:gridCol w:w="109"/>
        <w:gridCol w:w="109"/>
        <w:gridCol w:w="237"/>
        <w:gridCol w:w="930"/>
        <w:gridCol w:w="122"/>
        <w:gridCol w:w="109"/>
        <w:gridCol w:w="109"/>
        <w:gridCol w:w="109"/>
        <w:gridCol w:w="212"/>
        <w:gridCol w:w="833"/>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payroll taxes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term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Accrued Expenses and Other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 (in thousands):</w:t>
      </w:r>
    </w:p>
    <w:p>
      <w:pPr>
        <w:pStyle w:val="TextBody"/>
        <w:bidi w:val="0"/>
        <w:spacing w:before="0" w:after="0"/>
        <w:ind w:left="0" w:right="0" w:firstLine="720"/>
        <w:jc w:val="left"/>
        <w:rPr/>
      </w:pPr>
      <w:r>
        <w:rPr/>
      </w:r>
    </w:p>
    <w:tbl>
      <w:tblPr>
        <w:tblW w:w="6786" w:type="dxa"/>
        <w:jc w:val="left"/>
        <w:tblInd w:w="0" w:type="dxa"/>
        <w:tblLayout w:type="fixed"/>
        <w:tblCellMar>
          <w:top w:w="28" w:type="dxa"/>
          <w:left w:w="28" w:type="dxa"/>
          <w:bottom w:w="28" w:type="dxa"/>
          <w:right w:w="28" w:type="dxa"/>
        </w:tblCellMar>
      </w:tblPr>
      <w:tblGrid>
        <w:gridCol w:w="1320"/>
        <w:gridCol w:w="1158"/>
        <w:gridCol w:w="1166"/>
        <w:gridCol w:w="109"/>
        <w:gridCol w:w="109"/>
        <w:gridCol w:w="109"/>
        <w:gridCol w:w="237"/>
        <w:gridCol w:w="930"/>
        <w:gridCol w:w="122"/>
        <w:gridCol w:w="109"/>
        <w:gridCol w:w="109"/>
        <w:gridCol w:w="109"/>
        <w:gridCol w:w="212"/>
        <w:gridCol w:w="832"/>
        <w:gridCol w:w="155"/>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held for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lease facilities under operating leases with various expiration dates through 2032. We have the option to renew or extend our leases. Certain lease agreements include the option to terminate the lease with prior written notice ranging from nine months to one year. As of March 31, 2025, we have not considered such provisions in the determination of the lease term, as it is not reasonably certain these options will be exercised. Leases have remaining terms that range from less than one year to eight years.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March 31, 2025, the collateral totaled $5.7 million, which was in the form of securities that have been classified as securities available for sale at fair value in the interim condensed consolidated balance sheets. As of June 30, 2024, the collateral totaled $8.8 million, of which $2.0 million was in the form of cash that was classified as restricted cash, and $6.8 million was in the form of securities which was classified as securities available for sale at fair value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impairment charge was incurred related to leases during the three and nine months ended March 31, 2025. No impairment charge was incurred related to leases during the three months ended March 31, 2024. During the nine months ended March 31, 2024, we subleased a portion of our leased office space in San Francisco, resulting in an impairment charge of $0.8 million, included in general and administrative expense on our interim condensed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is as follows (in thousands):</w:t>
      </w:r>
    </w:p>
    <w:p>
      <w:pPr>
        <w:pStyle w:val="TextBody"/>
        <w:bidi w:val="0"/>
        <w:spacing w:before="0" w:after="0"/>
        <w:ind w:left="0" w:right="0" w:firstLine="720"/>
        <w:jc w:val="left"/>
        <w:rPr/>
      </w:pPr>
      <w:r>
        <w:rPr/>
      </w:r>
    </w:p>
    <w:tbl>
      <w:tblPr>
        <w:tblW w:w="8054" w:type="dxa"/>
        <w:jc w:val="left"/>
        <w:tblInd w:w="0" w:type="dxa"/>
        <w:tblLayout w:type="fixed"/>
        <w:tblCellMar>
          <w:top w:w="28" w:type="dxa"/>
          <w:left w:w="28" w:type="dxa"/>
          <w:bottom w:w="28" w:type="dxa"/>
          <w:right w:w="28" w:type="dxa"/>
        </w:tblCellMar>
      </w:tblPr>
      <w:tblGrid>
        <w:gridCol w:w="831"/>
        <w:gridCol w:w="729"/>
        <w:gridCol w:w="734"/>
        <w:gridCol w:w="109"/>
        <w:gridCol w:w="109"/>
        <w:gridCol w:w="109"/>
        <w:gridCol w:w="286"/>
        <w:gridCol w:w="286"/>
        <w:gridCol w:w="286"/>
        <w:gridCol w:w="286"/>
        <w:gridCol w:w="286"/>
        <w:gridCol w:w="286"/>
        <w:gridCol w:w="286"/>
        <w:gridCol w:w="286"/>
        <w:gridCol w:w="286"/>
        <w:gridCol w:w="109"/>
        <w:gridCol w:w="109"/>
        <w:gridCol w:w="109"/>
        <w:gridCol w:w="269"/>
        <w:gridCol w:w="269"/>
        <w:gridCol w:w="269"/>
        <w:gridCol w:w="269"/>
        <w:gridCol w:w="269"/>
        <w:gridCol w:w="269"/>
        <w:gridCol w:w="269"/>
        <w:gridCol w:w="269"/>
        <w:gridCol w:w="380"/>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expense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$8,633</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$8,826</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Lease expenses for our short-term leases were immaterial for the periods presented.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subleased a portion of our leased facilities. Sublease income totaled $0.9 million and $3.4 million during the three and nine months ended March 31, 2025, respectively, and $1.3 million and $3.3 million during the three and nine months ended March 31, 2024,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term and discount rate information are summarized as follows:</w:t>
      </w:r>
    </w:p>
    <w:tbl>
      <w:tblPr>
        <w:tblW w:w="5772" w:type="dxa"/>
        <w:jc w:val="left"/>
        <w:tblInd w:w="0" w:type="dxa"/>
        <w:tblLayout w:type="fixed"/>
        <w:tblCellMar>
          <w:top w:w="28" w:type="dxa"/>
          <w:left w:w="28" w:type="dxa"/>
          <w:bottom w:w="28" w:type="dxa"/>
          <w:right w:w="28" w:type="dxa"/>
        </w:tblCellMar>
      </w:tblPr>
      <w:tblGrid>
        <w:gridCol w:w="1486"/>
        <w:gridCol w:w="1308"/>
        <w:gridCol w:w="1316"/>
        <w:gridCol w:w="109"/>
        <w:gridCol w:w="109"/>
        <w:gridCol w:w="109"/>
        <w:gridCol w:w="390"/>
        <w:gridCol w:w="390"/>
        <w:gridCol w:w="555"/>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future minimum lease payments are as follows, by fiscal year (in thousands):</w:t>
      </w:r>
    </w:p>
    <w:tbl>
      <w:tblPr>
        <w:tblW w:w="4518" w:type="dxa"/>
        <w:jc w:val="center"/>
        <w:tblInd w:w="0" w:type="dxa"/>
        <w:tblLayout w:type="fixed"/>
        <w:tblCellMar>
          <w:top w:w="28" w:type="dxa"/>
          <w:left w:w="28" w:type="dxa"/>
          <w:bottom w:w="28" w:type="dxa"/>
          <w:right w:w="28" w:type="dxa"/>
        </w:tblCellMar>
      </w:tblPr>
      <w:tblGrid>
        <w:gridCol w:w="1124"/>
        <w:gridCol w:w="988"/>
        <w:gridCol w:w="993"/>
        <w:gridCol w:w="109"/>
        <w:gridCol w:w="109"/>
        <w:gridCol w:w="109"/>
        <w:gridCol w:w="211"/>
        <w:gridCol w:w="721"/>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Loan Repurchase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March 31, 2025, the aggregate outstanding balance of loans held by third-party investors or unconsolidated VIEs was $6.8 billion, of which we have recorded a repurchase liability of $8.3 million within accrued expenses and other liabilities in our interim condensed consolidated balance sheets.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Kusnier v. Affirm Holdings, Inc.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contains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seek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Quiroga v. Levchin, et 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Jeffries v. Levchin, et 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Vallieres v. Levchin, et al.</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based on current knowledge, that the aggregate amount or range of losses that are estimable with respect to our legal proceedings, including the matters described above, would not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adverse effect on our consolidated financial position, results of operations or cash flows. Amounts accrued as of March 31, 2025 were not material. The ultimate outcome of legal proceedings involves judgments, estimates and inherent uncertainties, and cannot be predicted with certainty.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outstanding as of March 31, 2025 includes amounts classified on our interim condensed consolidated balance sheets as funding debt, notes issued by securitization trusts, and convertible senior notes. Secured debt includes borrowings from our warehouse facilities, variable funding notes, notes issued by securitization trusts and sale and repurchase agreements, unsecured debt includes outstanding convertible senior notes. Our unsecured revolving credit facility did not have any borrowings outstanding as of March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components and terms of our secured and unsecured debt as of March 31, 2025 (in thousands): </w:t>
      </w:r>
    </w:p>
    <w:tbl>
      <w:tblPr>
        <w:tblW w:w="10205" w:type="dxa"/>
        <w:jc w:val="left"/>
        <w:tblInd w:w="0" w:type="dxa"/>
        <w:tblLayout w:type="fixed"/>
        <w:tblCellMar>
          <w:top w:w="28" w:type="dxa"/>
          <w:left w:w="28" w:type="dxa"/>
          <w:bottom w:w="28" w:type="dxa"/>
          <w:right w:w="28" w:type="dxa"/>
        </w:tblCellMar>
      </w:tblPr>
      <w:tblGrid>
        <w:gridCol w:w="577"/>
        <w:gridCol w:w="283"/>
        <w:gridCol w:w="242"/>
        <w:gridCol w:w="198"/>
        <w:gridCol w:w="971"/>
        <w:gridCol w:w="110"/>
        <w:gridCol w:w="109"/>
        <w:gridCol w:w="109"/>
        <w:gridCol w:w="109"/>
        <w:gridCol w:w="304"/>
        <w:gridCol w:w="158"/>
        <w:gridCol w:w="123"/>
        <w:gridCol w:w="307"/>
        <w:gridCol w:w="307"/>
        <w:gridCol w:w="210"/>
        <w:gridCol w:w="109"/>
        <w:gridCol w:w="109"/>
        <w:gridCol w:w="109"/>
        <w:gridCol w:w="363"/>
        <w:gridCol w:w="363"/>
        <w:gridCol w:w="364"/>
        <w:gridCol w:w="109"/>
        <w:gridCol w:w="109"/>
        <w:gridCol w:w="109"/>
        <w:gridCol w:w="270"/>
        <w:gridCol w:w="270"/>
        <w:gridCol w:w="271"/>
        <w:gridCol w:w="109"/>
        <w:gridCol w:w="109"/>
        <w:gridCol w:w="109"/>
        <w:gridCol w:w="196"/>
        <w:gridCol w:w="871"/>
        <w:gridCol w:w="109"/>
        <w:gridCol w:w="109"/>
        <w:gridCol w:w="109"/>
        <w:gridCol w:w="109"/>
        <w:gridCol w:w="109"/>
        <w:gridCol w:w="109"/>
        <w:gridCol w:w="109"/>
        <w:gridCol w:w="219"/>
        <w:gridCol w:w="975"/>
        <w:gridCol w:w="182"/>
      </w:tblGrid>
      <w:tr>
        <w:trPr/>
        <w:tc>
          <w:tcPr>
            <w:tcW w:w="5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10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Spread </w:t>
            </w:r>
            <w:r>
              <w:rPr>
                <w:rFonts w:ascii="Times New Roman;sans-serif" w:hAnsi="Times New Roman;sans-serif"/>
                <w:b/>
                <w:color w:val="000000"/>
                <w:sz w:val="10"/>
              </w:rPr>
              <w:t xml:space="preserve">(2)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Commitment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Maturity 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Debt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Outstanding net of unamortized premiums and discount</w:t>
            </w:r>
          </w:p>
        </w:tc>
      </w:tr>
      <w:tr>
        <w:trPr/>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 - Max</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Secured debt</w:t>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debt</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warehouse facilities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1.65% - 2.00%</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0.20% - 0.50%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1,453,698 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International warehouse facilities </w:t>
            </w:r>
            <w:r>
              <w:rPr>
                <w:rFonts w:ascii="Times New Roman;sans-serif" w:hAnsi="Times New Roman;sans-serif"/>
                <w:b w:val="false"/>
                <w:color w:val="000000"/>
                <w:sz w:val="10"/>
              </w:rPr>
              <w:t>(1)</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 - 1.75%</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0.30% - 0.45%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2028 - 2030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362,964 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funding notes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repurchase agreements</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5.82% - 8.89%</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issued by securitization trusts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4.62% - 11.32%</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2028 - 2033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4,084,934 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10,388,110 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5,993,628 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Unsecured debt</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 Notes</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 Notes</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0.75%</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904,289 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Revolving credit facility </w:t>
            </w:r>
            <w:r>
              <w:rPr>
                <w:rFonts w:ascii="Times New Roman;sans-serif" w:hAnsi="Times New Roman;sans-serif"/>
                <w:b w:val="false"/>
                <w:color w:val="000000"/>
                <w:sz w:val="10"/>
              </w:rPr>
              <w:t>(4)</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0.75% - 1.75%</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330,000 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1,152,019 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7,195,499 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7,145,646 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 of March 31, 2025, international facilities finance the origination of loan receivables in Canada and are denominated in CAD. </w:t>
      </w:r>
    </w:p>
    <w:p>
      <w:pPr>
        <w:pStyle w:val="TextBody"/>
        <w:bidi w:val="0"/>
        <w:spacing w:lineRule="auto" w:line="26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Reference rates as of March 31, 2025 under our U.S. facilities bear interest at an annual benchmark rate of Secured Overnight Financing Rate (“SOFR”) or an alternative commercial paper rate plus an applicable spread. Reference rates as of March 31, 2025 under our international facilities bear interest at an annual benchmark rate of the Canadian Overnight Repo Rate Average (“CORRA”), Government of Canadian benchmark bond yields, or an alternative commercial paper rate plus an applicable spread. As debt arrangements are renewed, the reference rate and/or spread are subject to change.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Certain loans are pledged as collateral for borrowings in our facilities, except for our sales and repurchase agreements which are collateralized by the retained securitization notes receivables. The carrying value of these pledged assets was $6.6 billion as of March 31, 2025.</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This facility bears interest at a rate equal to, either (a) for SOFR borrowing, a SOFR rate determined by reference to the forward-looking term SOFR rate for the interest period, plus an applicable margin of 1.75% per annum or (b) for alternative base rate borrowings,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0.75%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Funding Debt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Warehouse Credit Facilities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The revolving period for each facility generally ends 4 - 12 months prior to the final maturity date, after which additional borrowings are not permitted. Advance rates range from 70% to 86% of the collateralized balance with respect to U.S. borrowing facilities and 67% to 88% of the collateralized balance with respect to facilities used to finance loans originated outside of the U.S., including Canada.</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these agreements are classified as funding debt within our interim condensed consolidated balance sheets and proceeds from the borrowings can only be used for the purposes of facilitating loan funding and origination. These borrowing facilities are bankruptcy-remote special-purpose vehicles in which creditors do not have recourse against the general credit of Affirm.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funding debt agreements contain certain customary negative covenants and financial covenants including maintaining certain levels of minimum liquidity, maximum leverage, and minimum tangible net worth. As of March 31, 2025, we were in compliance with all applicable covenants in the agreements.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Funding Note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syndicated revolving loan agreement through a securitization master trust which is utilized to fund the purchase and origination of loans. In connection with the loan agreement, the master trust issued a variable funding note (“VFN”), where borrowings will be secured by loan collateral sold to the master trust. Throughout the reinvestment period of the VFN, the master trust periodically issues asset-backed securitization notes, where securitization note proceeds affects the level of utilization of the VFN. Outstanding borrowings under the VFN are classified as funding debt within our interim condensed consolidated balance sheets.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 and Repurchase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 notes pledged. We record the debt outstanding under our sale and repurchase agreements within our funding debt in the interim condensed consolidated balance sheets.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Notes Issued by Securitization Trusts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issue asset-backed notes through securitization trusts using a combination of term, amortizing and revolving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in the interim condensed consolidated balance sheets. Refer to Note 9 Securitization and Variable Interest Entities for additional information.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2029 Notes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20, 2024, we issued approximately $920 million in aggregate principal amount of 0.75% convertible senior notes due 2029 (the “2029 Notes”) in a private placement to qualified institutional buyers pursuant to Rule 144A under the Securities Act of 1933, as amended. The total net proceeds from this offering, after deducting debt issuance costs, were approximately $903 million. The 2029 Notes represent senior unsecured obligations of the Company. The 2029 Notes will bear interest at a fixed rate of 0.75% per year, payable semiannually in arrears on June 15 and December 15 of each year, beginning on June 15, 2025. The 2029 Notes mature on December 15, 2029, unless such Notes are earlier converted, redeemed or repurchased in accordance with their terms.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$1,000 of principal of the 2029 Notes will initially be convertible into 9.8992 shares of our common stock, which is equivalent to an initial conversion price of approximately $101.02 per share, subject to adjustment upon the occurrence of certain specified events set forth in the indenture governing the 2029 Notes (the “2029 Indenture”). Holders of the 2029 Notes may convert their 2029 Notes at their option at any time on or after September 15, 2029 until close of business on the second scheduled trading day immediately preceding the maturity date of December 15, 2029. Further, holders of the 2029 Notes may convert all or any portion of their 2029 Notes at their option prior to the close of business on the business day immediately preceding September 15, 2029, only under the following circumstances: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during any calendar quarter commencing after the calendar quarter ending on March 31, 2025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during the five business day period after any five consecutive trading day period (the measurement period) in which the trading price (as defined in the indenture governing the 2029 Notes) per $1,000 principal amount of the 2029 Notes for each trading day of the measurement period was less than 98% of the product of the last reported sale price of the Company’s Class A common stock and the conversion rate on each such trading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if the Company calls any or all of the notes for redemption, at any time prior to the close of business on the scheduled trading day immediately preceding the redemption date; 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upon the occurrence of certain specified corporate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of the 2029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“2029 Indenture”) calculated on a proportionate basis for each trading day in a 40 trading day observation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sinking fund is provided for the 2029 Notes. We may redeem for cash all or part of the 2029 Notes on or after December 20, 2027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immediately preceding the date on which we provide notice of redemption at a redemption price equal to 100% of the principal amount of the notes to be redeemed, plus accrued and unpaid interest, if 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(as defined in the 2029 Indenture) occurs prior to the maturity date, holders of the 2029 Notes may require us to repurchase all or a portion of their notes for cash at a repurchase price equal to 100% of the principal amount of the 2029 Notes, plus any accrued and unpaid interest to, but excluding, the repurchase date. In addition, if specific corporate events occur prior to the maturity date of the 2029 Notes, we will be required to increase the conversion rate for holders who elect to convert their 2029 Notes in connection with such corporate events.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“2026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if the Company calls any or all of the notes for redemption, at any time prior to the close of business on the scheduled trading day immediately preceding the redemption date; 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upon the occurrence of certain specified corporate events.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of the 2026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“2026 Indenture”) calculated on a proportionate basis for each trading day in a 40 trading day observation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(as defined in the 2026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Repurchase of a Portion of the 2026 Notes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2023, the Board of Directors authorized the repurchase of up to $800 million in aggregate principal amount of the 2026 Notes through open market purchases, privately negotiated purchases, purchase plans under Rule 10b5-1 of the Securities Exchange Act of 1934, as amended (“Rule 10b5-1”), or through a combination thereof, through December 31, 2024. On December 13, 2024, the Board of Directors replaced the December 2023 authorization with an authorization to repurchase up to $960 million in aggregate principal amount of the 2026 Notes through December 31, 2024. In connection with these authorizations, during the nine months ended March 31, 2025, we paid $1.0 billion in cash for the repurchase of $1.1 billion aggregate principal amount of our 2026 Notes. The carrying amount of the extinguished 2026 Notes was approximately $1.1 billion resulting in a $82.4 million gain on early extinguishment of debt for the nine months ended March 31, 2025 which is reported as a component of other income, net within our interim consolidated statements of operations and comprehensive income (loss). The repurchased 2026 Notes were received and canceled. We utilized a combination of cash on hand and the net proceeds from the issuance of the 2029 Notes for these repurchases. During both the three and nine months ended March 31, 2024, we paid $25.5 million in cash for the repurchase of $31.1 million aggregate principal amount of our 2026 Notes under the December 2023 authorization. The carrying amount of the extinguished 2026 Notes was approximately $30.9 million resulting in a $5.4 million gain on early extinguishment of debt, which is reported as a component of other income, net within our interim consolidated statements of operations and comprehensive income (loss).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2024, the Board of Directors authorized the repurchase of up to $500 million in aggregate principal amount of the 2026 Notes. Note repurchases under the November 2024 authorization may be made from time to time during the period commencing January 1, 2025 through December 31, 2025 through open market purchases, privately negotiated purchases, purchase plans under Rule 10b5-1, or through a combination thereof. Repurchases are subject to available liquidity, general market and economic conditions, alternate uses for the capital, and other factors, and there is no minimum principal amount of 2026 Notes that the Company is obligated to repurchase. In connection with this authorization, there were no repurchases of 2026 Notes during the three months ended March 31, 2025. As of March 31, 2025, $248.7 million in aggregate principal amount of the 2026 Notes remains outstanding.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expense recognized related to the convertible senior notes (in thousands):</w:t>
      </w:r>
    </w:p>
    <w:tbl>
      <w:tblPr>
        <w:tblW w:w="10205" w:type="dxa"/>
        <w:jc w:val="left"/>
        <w:tblInd w:w="0" w:type="dxa"/>
        <w:tblLayout w:type="fixed"/>
        <w:tblCellMar>
          <w:top w:w="28" w:type="dxa"/>
          <w:left w:w="28" w:type="dxa"/>
          <w:bottom w:w="28" w:type="dxa"/>
          <w:right w:w="28" w:type="dxa"/>
        </w:tblCellMar>
      </w:tblPr>
      <w:tblGrid>
        <w:gridCol w:w="1616"/>
        <w:gridCol w:w="1418"/>
        <w:gridCol w:w="1426"/>
        <w:gridCol w:w="109"/>
        <w:gridCol w:w="109"/>
        <w:gridCol w:w="109"/>
        <w:gridCol w:w="263"/>
        <w:gridCol w:w="771"/>
        <w:gridCol w:w="136"/>
        <w:gridCol w:w="136"/>
        <w:gridCol w:w="136"/>
        <w:gridCol w:w="136"/>
        <w:gridCol w:w="263"/>
        <w:gridCol w:w="583"/>
        <w:gridCol w:w="136"/>
        <w:gridCol w:w="109"/>
        <w:gridCol w:w="109"/>
        <w:gridCol w:w="109"/>
        <w:gridCol w:w="237"/>
        <w:gridCol w:w="694"/>
        <w:gridCol w:w="122"/>
        <w:gridCol w:w="122"/>
        <w:gridCol w:w="122"/>
        <w:gridCol w:w="122"/>
        <w:gridCol w:w="237"/>
        <w:gridCol w:w="694"/>
        <w:gridCol w:w="181"/>
      </w:tblGrid>
      <w:tr>
        <w:trPr/>
        <w:tc>
          <w:tcPr>
            <w:tcW w:w="161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debt issuance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Coupon interest expense </w:t>
            </w:r>
            <w:r>
              <w:rPr>
                <w:rFonts w:ascii="Times New Roman;sans-serif" w:hAnsi="Times New Roman;sans-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expenses related to the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 xml:space="preserve">Included in our interim condensed consolidated statement of operations and comprehensive income (loss) within other income, net. </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coupon interest expense is related to the 2029 Notes.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remaining life of the 2026 Notes and 2029 Notes is approximately 20 months and 56 months,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16, 2024, we entered into an amendment to our Revolving Credit Agreement in order to permit the incurrence of indebtedness pursuant to the 2029 Senior Convertible Notes. The facility contains certain financial covenants which may result in an acceleration of the maturity if not maintained, and requires payment of a monthly unused commitment fee of 0.20% per annum on the undrawn balance available. As of March 31, 2025, we were in compliance with all applicable covenants in the agreements.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maturities of our funding debt, notes issued by securitization trusts and convertible notes consists of the following (in thousands):</w:t>
      </w:r>
    </w:p>
    <w:tbl>
      <w:tblPr>
        <w:tblW w:w="6168" w:type="dxa"/>
        <w:jc w:val="center"/>
        <w:tblInd w:w="0" w:type="dxa"/>
        <w:tblLayout w:type="fixed"/>
        <w:tblCellMar>
          <w:top w:w="28" w:type="dxa"/>
          <w:left w:w="28" w:type="dxa"/>
          <w:bottom w:w="28" w:type="dxa"/>
          <w:right w:w="28" w:type="dxa"/>
        </w:tblCellMar>
      </w:tblPr>
      <w:tblGrid>
        <w:gridCol w:w="1632"/>
        <w:gridCol w:w="1431"/>
        <w:gridCol w:w="1437"/>
        <w:gridCol w:w="109"/>
        <w:gridCol w:w="109"/>
        <w:gridCol w:w="109"/>
        <w:gridCol w:w="211"/>
        <w:gridCol w:w="976"/>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2027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Thereafter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funding debt, net of deferred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 of March 31, 2025, includes convertible senior notes due 2026 and 2029 with a carrying amounts of $248.7 million and $920.0 million, respectively. </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Securitization and Variable Interest Entities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VIEs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Warehouse Credit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established certain entities, deemed to be VIEs, to enter into warehouse credit facilities for the purpose of purchasing loans from our originating bank partners and funding directly originated loans. Refer to Note 8. Debt for additional information. The creditors of the VIEs have no recourse to the general credit of Affirm and the liabilities of the VIEs can only be settled by the respective VIEs’ assets; however, as the servicer of the loans pledged to our funding facilities, we have the power to direct the activities that most significantly impact the VIEs' economic performance. In addition, we retain significant economic exposure to the pledged loans and therefore, we are the primary beneficiary.</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Securitizations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securitization VIEs when we are deemed to be the primary beneficiary. For these VIEs, it is determined that we have the power to direct the activities that most significantly affect the VIEs’ economic performance and the obligation to absorb losses or right to receive benefits that could potentially be significant to the VIEs.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 The servicing fees earned from these arrangements are considered variable interests when we also hold significant retained interests in the VIEs and they would absorb losses or receive benefits that are more than an insignificant amount of the VIEs' expected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whether we are the primary beneficiary, management considers both qualitative and quantitative factors regarding the nature, size and form of our involvement with the VIEs. We perform reassessments an ongoing basis to evaluate whether we are the primary beneficiary of the VIEs.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securitization, the residual trust certificates represent the right to receive excess cash on the loans each collection period after all fees and required distributions have been made to the note holders on the related payment date. In addition to the retained residual trust certificates, our continued involvement includes loan servicing responsibilities over the life of the underlying loans.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defer and amortize debt issuance costs for consolidated securitization trusts on a straight-line basis over the expected life of the notes.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aggregate carrying value of financial assets and liabilities from our involvement with consolidated VIEs (in thousands): </w:t>
      </w:r>
    </w:p>
    <w:p>
      <w:pPr>
        <w:pStyle w:val="TextBody"/>
        <w:bidi w:val="0"/>
        <w:spacing w:before="0" w:after="0"/>
        <w:ind w:left="0" w:right="0" w:firstLine="720"/>
        <w:jc w:val="left"/>
        <w:rPr/>
      </w:pPr>
      <w:r>
        <w:rPr/>
      </w:r>
    </w:p>
    <w:tbl>
      <w:tblPr>
        <w:tblW w:w="7044"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Securitizations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44"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As of March 31, 2025, liabilities include $47.8 million of VFN classified as funding debt and $4.1 billion of asset-backed notes classified as notes issued from securitization trusts.</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Unconsolidated VIEs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transactions with unconsolidated VIEs include securitization trusts where we did not retain significant economic exposure through our variable interests and therefore we determined that we are not the primary beneficiary as of March 31, 2025.</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information pertains to unconsolidated VIEs where we hold a variable interest but are not the primary beneficiary (in thousands):</w:t>
      </w:r>
    </w:p>
    <w:tbl>
      <w:tblPr>
        <w:tblW w:w="9410" w:type="dxa"/>
        <w:jc w:val="left"/>
        <w:tblInd w:w="0" w:type="dxa"/>
        <w:tblLayout w:type="fixed"/>
        <w:tblCellMar>
          <w:top w:w="28" w:type="dxa"/>
          <w:left w:w="28" w:type="dxa"/>
          <w:bottom w:w="28" w:type="dxa"/>
          <w:right w:w="28" w:type="dxa"/>
        </w:tblCellMar>
      </w:tblPr>
      <w:tblGrid>
        <w:gridCol w:w="831"/>
        <w:gridCol w:w="729"/>
        <w:gridCol w:w="734"/>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81"/>
        <w:gridCol w:w="1643"/>
        <w:gridCol w:w="351"/>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Exposure to Losses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51,394 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10" w:type="dxa"/>
        <w:jc w:val="left"/>
        <w:tblInd w:w="0" w:type="dxa"/>
        <w:tblLayout w:type="fixed"/>
        <w:tblCellMar>
          <w:top w:w="28" w:type="dxa"/>
          <w:left w:w="28" w:type="dxa"/>
          <w:bottom w:w="28" w:type="dxa"/>
          <w:right w:w="28" w:type="dxa"/>
        </w:tblCellMar>
      </w:tblPr>
      <w:tblGrid>
        <w:gridCol w:w="831"/>
        <w:gridCol w:w="729"/>
        <w:gridCol w:w="734"/>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81"/>
        <w:gridCol w:w="1643"/>
        <w:gridCol w:w="351"/>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Exposure to Losses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51,861 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242424"/>
          <w:sz w:val="20"/>
          <w:shd w:fill="FFFFFF" w:val="clear"/>
        </w:rPr>
        <w:t>Maximum</w:t>
      </w:r>
      <w:r>
        <w:rPr>
          <w:color w:val="000000"/>
          <w:shd w:fill="FFFFFF" w:val="clear"/>
        </w:rPr>
        <w:t xml:space="preserve"> </w:t>
      </w:r>
      <w:r>
        <w:rPr>
          <w:rFonts w:ascii="Times New Roman;sans-serif" w:hAnsi="Times New Roman;sans-serif"/>
          <w:b w:val="false"/>
          <w:color w:val="000000"/>
          <w:sz w:val="20"/>
          <w:shd w:fill="FFFFFF" w:val="clear"/>
        </w:rPr>
        <w:t>exposure to losses represents our ex</w:t>
      </w:r>
      <w:r>
        <w:rPr>
          <w:rFonts w:ascii="Times New Roman;sans-serif" w:hAnsi="Times New Roman;sans-serif"/>
          <w:b w:val="false"/>
          <w:color w:val="000000"/>
          <w:sz w:val="20"/>
        </w:rPr>
        <w:t>posure through our continuing involvement as servicer and through our retained interests. For unconsolidated VIEs, this includes $50.9 million in retained notes and residual trust certificates disclosed within securities available for sale at fair value in our interim condensed consolidated balance sheets and $0.5 million related to our net servicing assets disclosed within our interim condensed consolidated balance sheets as of March 31, 2025.</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experience a loss due to future repurchase obligations resulting from breaches in representations and warranties in our securitization and third-party sale agreements. This amount was not material as of March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Retained Beneficial Interests in Unconsolidated VIEs</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shd w:fill="FFFFFF" w:val="clear"/>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w:t>
      </w:r>
      <w:r>
        <w:rPr>
          <w:color w:val="000000"/>
        </w:rPr>
        <w:t xml:space="preserve"> </w:t>
      </w:r>
      <w:r>
        <w:rPr>
          <w:rFonts w:ascii="Times New Roman;sans-serif" w:hAnsi="Times New Roman;sans-serif"/>
          <w:b w:val="false"/>
          <w:color w:val="000000"/>
          <w:sz w:val="20"/>
        </w:rPr>
        <w:t>as</w:t>
      </w:r>
      <w:r>
        <w:rPr>
          <w:color w:val="000000"/>
          <w:shd w:fill="FFFFFF" w:val="clear"/>
        </w:rPr>
        <w:t xml:space="preserve"> “</w:t>
      </w:r>
      <w:r>
        <w:rPr>
          <w:rFonts w:ascii="Times New Roman;sans-serif" w:hAnsi="Times New Roman;sans-serif"/>
          <w:b w:val="false"/>
          <w:color w:val="000000"/>
          <w:sz w:val="20"/>
          <w:shd w:fill="FFFFFF" w:val="clear"/>
        </w:rPr>
        <w:t xml:space="preserve">available for sale” and as such they are disclosed at fair value in our interim condensed consolidated balance sheets. </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shd w:fill="FFFFFF" w:val="clear"/>
        </w:rPr>
        <w:t xml:space="preserve">Refer to Note </w:t>
      </w:r>
      <w:r>
        <w:rPr>
          <w:rFonts w:ascii="Times New Roman;sans-serif" w:hAnsi="Times New Roman;sans-serif"/>
          <w:b w:val="false"/>
          <w:color w:val="000000"/>
          <w:sz w:val="20"/>
        </w:rPr>
        <w:t>12. Fair Value of Financial Assets and Liabilities</w:t>
      </w:r>
      <w:r>
        <w:rPr>
          <w:color w:val="000000"/>
          <w:shd w:fill="FFFFFF" w:val="clear"/>
        </w:rPr>
        <w:t xml:space="preserve"> </w:t>
      </w:r>
      <w:r>
        <w:rPr>
          <w:rFonts w:ascii="Times New Roman;sans-serif" w:hAnsi="Times New Roman;sans-serif"/>
          <w:b w:val="false"/>
          <w:color w:val="000000"/>
          <w:sz w:val="20"/>
          <w:shd w:fill="FFFFFF" w:val="clear"/>
        </w:rPr>
        <w:t xml:space="preserve">for additional information on the fair value sensitivity of the notes receivable and residual trust certificates. Additionally, as of </w:t>
      </w:r>
      <w:r>
        <w:rPr>
          <w:rFonts w:ascii="Times New Roman;sans-serif" w:hAnsi="Times New Roman;sans-serif"/>
          <w:b w:val="false"/>
          <w:color w:val="000000"/>
          <w:sz w:val="20"/>
        </w:rPr>
        <w:t xml:space="preserve">March 31, 2025, we have pledged certain of our retained beneficial interests as collateral in a sale and </w:t>
      </w:r>
      <w:r>
        <w:rPr>
          <w:rFonts w:ascii="Times New Roman;sans-serif" w:hAnsi="Times New Roman;sans-serif"/>
          <w:b w:val="false"/>
          <w:color w:val="000000"/>
          <w:sz w:val="20"/>
          <w:shd w:fill="FFFFFF" w:val="clear"/>
        </w:rPr>
        <w:t xml:space="preserve">repurchase agreement as described in </w:t>
      </w:r>
      <w:r>
        <w:rPr>
          <w:rFonts w:ascii="Times New Roman;sans-serif" w:hAnsi="Times New Roman;sans-serif"/>
          <w:b w:val="false"/>
          <w:color w:val="000000"/>
          <w:sz w:val="20"/>
        </w:rPr>
        <w:t>Note 8. Debt</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pStyle w:val="TextBody"/>
        <w:bidi w:val="0"/>
        <w:spacing w:before="0" w:after="0"/>
        <w:jc w:val="left"/>
        <w:rPr/>
      </w:pPr>
      <w:r>
        <w:rPr/>
      </w:r>
    </w:p>
    <w:tbl>
      <w:tblPr>
        <w:tblW w:w="7393" w:type="dxa"/>
        <w:jc w:val="left"/>
        <w:tblInd w:w="0" w:type="dxa"/>
        <w:tblLayout w:type="fixed"/>
        <w:tblCellMar>
          <w:top w:w="28" w:type="dxa"/>
          <w:left w:w="28" w:type="dxa"/>
          <w:bottom w:w="28" w:type="dxa"/>
          <w:right w:w="28" w:type="dxa"/>
        </w:tblCellMar>
      </w:tblPr>
      <w:tblGrid>
        <w:gridCol w:w="1488"/>
        <w:gridCol w:w="1306"/>
        <w:gridCol w:w="1315"/>
        <w:gridCol w:w="109"/>
        <w:gridCol w:w="109"/>
        <w:gridCol w:w="109"/>
        <w:gridCol w:w="237"/>
        <w:gridCol w:w="930"/>
        <w:gridCol w:w="122"/>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61,883 </w:t>
            </w:r>
          </w:p>
        </w:tc>
        <w:tc>
          <w:tcPr>
            <w:tcW w:w="1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931,361 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As of March 31, 2025 and June 30, 2024, these securities include $74.7 million and $54.1 million, respectively, pledged as collateral in connection with our standby letters of credit for office leases and certain commercial agreements.</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rPr>
        <w:t xml:space="preserve">These securities include $49.6 million and $46.7 million as of March 31, 2025 and June 30, 2024, respectively, pledged as collateral in connection with sale and repurchase agreements as discussed within </w:t>
      </w:r>
      <w:r>
        <w:rPr>
          <w:rFonts w:ascii="Times New Roman;sans-serif" w:hAnsi="Times New Roman;sans-serif"/>
          <w:b w:val="false"/>
          <w:color w:val="000000"/>
          <w:sz w:val="20"/>
          <w:shd w:fill="FFFFFF" w:val="clear"/>
        </w:rPr>
        <w:t>Note</w:t>
      </w:r>
      <w:r>
        <w:rPr>
          <w:color w:val="000000"/>
        </w:rPr>
        <w:t xml:space="preserve"> </w:t>
      </w:r>
      <w:r>
        <w:rPr>
          <w:rFonts w:ascii="Times New Roman;sans-serif" w:hAnsi="Times New Roman;sans-serif"/>
          <w:b w:val="false"/>
          <w:color w:val="000000"/>
          <w:sz w:val="20"/>
        </w:rPr>
        <w:t>8. Debt.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Available for Sale, at Fair Value</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rPr>
        <w:t xml:space="preserve">The amortized cost, gross unrealized gains and losses, allowance for credit losses, and fair value of securities available for sale 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June 30, 2024 were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99"/>
        <w:gridCol w:w="667"/>
        <w:gridCol w:w="671"/>
        <w:gridCol w:w="109"/>
        <w:gridCol w:w="109"/>
        <w:gridCol w:w="109"/>
        <w:gridCol w:w="221"/>
        <w:gridCol w:w="869"/>
        <w:gridCol w:w="114"/>
        <w:gridCol w:w="109"/>
        <w:gridCol w:w="109"/>
        <w:gridCol w:w="109"/>
        <w:gridCol w:w="287"/>
        <w:gridCol w:w="838"/>
        <w:gridCol w:w="148"/>
        <w:gridCol w:w="109"/>
        <w:gridCol w:w="109"/>
        <w:gridCol w:w="109"/>
        <w:gridCol w:w="339"/>
        <w:gridCol w:w="775"/>
        <w:gridCol w:w="176"/>
        <w:gridCol w:w="109"/>
        <w:gridCol w:w="109"/>
        <w:gridCol w:w="109"/>
        <w:gridCol w:w="360"/>
        <w:gridCol w:w="822"/>
        <w:gridCol w:w="186"/>
        <w:gridCol w:w="109"/>
        <w:gridCol w:w="109"/>
        <w:gridCol w:w="109"/>
        <w:gridCol w:w="211"/>
        <w:gridCol w:w="826"/>
        <w:gridCol w:w="161"/>
      </w:tblGrid>
      <w:tr>
        <w:trPr/>
        <w:tc>
          <w:tcPr>
            <w:tcW w:w="89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paper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US </w:t>
            </w:r>
            <w:r>
              <w:rPr>
                <w:rFonts w:ascii="Times New Roman;sans-serif" w:hAnsi="Times New Roman;sans-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861,942 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2"/>
        <w:gridCol w:w="627"/>
        <w:gridCol w:w="631"/>
        <w:gridCol w:w="109"/>
        <w:gridCol w:w="109"/>
        <w:gridCol w:w="109"/>
        <w:gridCol w:w="212"/>
        <w:gridCol w:w="981"/>
        <w:gridCol w:w="109"/>
        <w:gridCol w:w="109"/>
        <w:gridCol w:w="109"/>
        <w:gridCol w:w="109"/>
        <w:gridCol w:w="328"/>
        <w:gridCol w:w="727"/>
        <w:gridCol w:w="172"/>
        <w:gridCol w:w="109"/>
        <w:gridCol w:w="109"/>
        <w:gridCol w:w="109"/>
        <w:gridCol w:w="272"/>
        <w:gridCol w:w="849"/>
        <w:gridCol w:w="140"/>
        <w:gridCol w:w="109"/>
        <w:gridCol w:w="109"/>
        <w:gridCol w:w="109"/>
        <w:gridCol w:w="345"/>
        <w:gridCol w:w="788"/>
        <w:gridCol w:w="179"/>
        <w:gridCol w:w="109"/>
        <w:gridCol w:w="109"/>
        <w:gridCol w:w="109"/>
        <w:gridCol w:w="211"/>
        <w:gridCol w:w="976"/>
        <w:gridCol w:w="161"/>
      </w:tblGrid>
      <w:tr>
        <w:trPr/>
        <w:tc>
          <w:tcPr>
            <w:tcW w:w="86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paper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US </w:t>
            </w:r>
            <w:r>
              <w:rPr>
                <w:rFonts w:ascii="Times New Roman;sans-serif" w:hAnsi="Times New Roman;sans-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1,193,084 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 xml:space="preserve">June 30, 2024, Commercial paper and US government bonds included $81.8 million and $61.5 million, respectively, classified as cash and cash equivalents within the interim condensed consolidated balance sheets. </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June 30, 2024, these securities include $74.7 million and $54.1 million, respectively, pledged as collateral in connection with our standby letters of credit for office leases and certain commercial agreements.</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(3)</w:t>
      </w:r>
      <w:r>
        <w:rPr>
          <w:rFonts w:ascii="Times New Roman;sans-serif" w:hAnsi="Times New Roman;sans-serif"/>
          <w:b w:val="false"/>
          <w:color w:val="000000"/>
          <w:sz w:val="20"/>
        </w:rPr>
        <w:t>Approximately $49.6 million and $46.7 million as of March 31, 2025 and June 30, 2024, respectively, of these securities have been pledged as collateral in connection with sale and repurchase agreements discussed within Note 8.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June 30, 2024, there were no material reversals of prior period allowance for credit losses recognized for available for sale securities.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rPr>
        <w:t xml:space="preserve">A summary of securities available for sale with unrealized losses for which an allowance for credit losses has not been recorded, aggregated by investment category and the length of time that individual securities have been in a continuous loss position 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June 30, 2024, are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80"/>
        <w:gridCol w:w="472"/>
        <w:gridCol w:w="474"/>
        <w:gridCol w:w="109"/>
        <w:gridCol w:w="109"/>
        <w:gridCol w:w="109"/>
        <w:gridCol w:w="211"/>
        <w:gridCol w:w="826"/>
        <w:gridCol w:w="109"/>
        <w:gridCol w:w="109"/>
        <w:gridCol w:w="109"/>
        <w:gridCol w:w="109"/>
        <w:gridCol w:w="284"/>
        <w:gridCol w:w="648"/>
        <w:gridCol w:w="147"/>
        <w:gridCol w:w="109"/>
        <w:gridCol w:w="109"/>
        <w:gridCol w:w="109"/>
        <w:gridCol w:w="211"/>
        <w:gridCol w:w="721"/>
        <w:gridCol w:w="109"/>
        <w:gridCol w:w="109"/>
        <w:gridCol w:w="109"/>
        <w:gridCol w:w="109"/>
        <w:gridCol w:w="284"/>
        <w:gridCol w:w="648"/>
        <w:gridCol w:w="147"/>
        <w:gridCol w:w="109"/>
        <w:gridCol w:w="109"/>
        <w:gridCol w:w="109"/>
        <w:gridCol w:w="211"/>
        <w:gridCol w:w="826"/>
        <w:gridCol w:w="109"/>
        <w:gridCol w:w="109"/>
        <w:gridCol w:w="109"/>
        <w:gridCol w:w="109"/>
        <w:gridCol w:w="279"/>
        <w:gridCol w:w="638"/>
        <w:gridCol w:w="209"/>
      </w:tblGrid>
      <w:tr>
        <w:trPr/>
        <w:tc>
          <w:tcPr>
            <w:tcW w:w="68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securities available for sale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
        <w:gridCol w:w="475"/>
        <w:gridCol w:w="478"/>
        <w:gridCol w:w="109"/>
        <w:gridCol w:w="109"/>
        <w:gridCol w:w="109"/>
        <w:gridCol w:w="211"/>
        <w:gridCol w:w="826"/>
        <w:gridCol w:w="109"/>
        <w:gridCol w:w="109"/>
        <w:gridCol w:w="109"/>
        <w:gridCol w:w="109"/>
        <w:gridCol w:w="278"/>
        <w:gridCol w:w="635"/>
        <w:gridCol w:w="144"/>
        <w:gridCol w:w="109"/>
        <w:gridCol w:w="109"/>
        <w:gridCol w:w="109"/>
        <w:gridCol w:w="211"/>
        <w:gridCol w:w="826"/>
        <w:gridCol w:w="109"/>
        <w:gridCol w:w="109"/>
        <w:gridCol w:w="109"/>
        <w:gridCol w:w="109"/>
        <w:gridCol w:w="233"/>
        <w:gridCol w:w="719"/>
        <w:gridCol w:w="120"/>
        <w:gridCol w:w="109"/>
        <w:gridCol w:w="109"/>
        <w:gridCol w:w="109"/>
        <w:gridCol w:w="211"/>
        <w:gridCol w:w="826"/>
        <w:gridCol w:w="109"/>
        <w:gridCol w:w="109"/>
        <w:gridCol w:w="109"/>
        <w:gridCol w:w="109"/>
        <w:gridCol w:w="232"/>
        <w:gridCol w:w="715"/>
        <w:gridCol w:w="176"/>
      </w:tblGrid>
      <w:tr>
        <w:trPr/>
        <w:tc>
          <w:tcPr>
            <w:tcW w:w="6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securities available for sale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The number of positions with unrealized losses for which an allowance for credit losses has not been recorded totaled 70 and 137 as of March 31, 2025 and June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length of time to contractual maturities of securities available for sale 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June 30, 2024 were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03"/>
        <w:gridCol w:w="347"/>
        <w:gridCol w:w="349"/>
        <w:gridCol w:w="109"/>
        <w:gridCol w:w="109"/>
        <w:gridCol w:w="109"/>
        <w:gridCol w:w="211"/>
        <w:gridCol w:w="827"/>
        <w:gridCol w:w="109"/>
        <w:gridCol w:w="109"/>
        <w:gridCol w:w="109"/>
        <w:gridCol w:w="109"/>
        <w:gridCol w:w="211"/>
        <w:gridCol w:w="826"/>
        <w:gridCol w:w="109"/>
        <w:gridCol w:w="109"/>
        <w:gridCol w:w="109"/>
        <w:gridCol w:w="109"/>
        <w:gridCol w:w="212"/>
        <w:gridCol w:w="831"/>
        <w:gridCol w:w="109"/>
        <w:gridCol w:w="109"/>
        <w:gridCol w:w="109"/>
        <w:gridCol w:w="109"/>
        <w:gridCol w:w="212"/>
        <w:gridCol w:w="831"/>
        <w:gridCol w:w="109"/>
        <w:gridCol w:w="109"/>
        <w:gridCol w:w="109"/>
        <w:gridCol w:w="109"/>
        <w:gridCol w:w="211"/>
        <w:gridCol w:w="827"/>
        <w:gridCol w:w="109"/>
        <w:gridCol w:w="109"/>
        <w:gridCol w:w="109"/>
        <w:gridCol w:w="109"/>
        <w:gridCol w:w="211"/>
        <w:gridCol w:w="826"/>
        <w:gridCol w:w="163"/>
      </w:tblGrid>
      <w:tr>
        <w:trPr/>
        <w:tc>
          <w:tcPr>
            <w:tcW w:w="60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paper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861,942 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444" w:type="dxa"/>
        <w:jc w:val="left"/>
        <w:tblInd w:w="0" w:type="dxa"/>
        <w:tblLayout w:type="fixed"/>
        <w:tblCellMar>
          <w:top w:w="28" w:type="dxa"/>
          <w:left w:w="28" w:type="dxa"/>
          <w:bottom w:w="28" w:type="dxa"/>
          <w:right w:w="28" w:type="dxa"/>
        </w:tblCellMar>
      </w:tblPr>
      <w:tblGrid>
        <w:gridCol w:w="591"/>
        <w:gridCol w:w="334"/>
        <w:gridCol w:w="3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paper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As of March 31, 2025 and June 30, 2024, Commercial paper and US government bonds included $81.8 million and $61.5 million, respectively, classified as cash and cash equivalents within the interim condensed consolidated balance sheets.</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rPr>
        <w:t xml:space="preserve">Based on weighted average life of expected cash flows 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from matured or redeemed securities were $283.9 million and $990.4 million for the three and nine months ended March 31, 2025, respectively, and $465.7 million and $1,191.7 million for the three and nine months ended March 31, 2024,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available for sale securities, realized gains and losses were immaterial for the three and nine months ended March 31, 2025 and March 31, 2024.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Non-marketable Equity Securities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without a readily determinable fair value held at cost were $42.3 million and $37.8 million as of March 31, 2025 and June 30, 2024, respectively, and are included in other assets within the interim condensed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record any impairment during the three months ended March 31, 2025 and 2024. We recognized an impairment of $3.0 million for the nine months ended March 31, 2025 within other income, net in the interim consolidated statements of operations and comprehensive income (loss) in connection with one of our non-marketable equity security investments. The fair value of the investment was determined utilizing a methodology based on significant unobservable inputs, including management estimates and assumptions, and thus represent Level 3 measurements. During the nine months ended March 31, 2024, we recognized an impairment of $14.1 million within other income, net in the interim consolidated statements of operations in connection with one of our non-marketable equity security investments.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31, 2025, we recognized an upward adjustment of $0.1 million and $2.6 million, respectively, within other income, net in the interim consolidated statement of operations and comprehensive income (loss). For the three and nine months ended March 31, 2024, there were no upward or downward adjustments due to observable changes in orderly transactions.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Fixed Term Deposits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fixed term deposits matured as of March 31, 2025. For the period ending June 30, 2024, fixed term deposits were $35.2 million. Fixed term deposits consisted of interest bearing deposits held at financial institutions with original maturities greater than three months but no more than twelve months. These deposits were carried at cost, which approximates fair value, and were included in other assets within the interim condensed consolidated balance sheets.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Derivative Financial Instruments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following table summarizes the total fair value, including interest accruals, and outstanding notional amounts of derivative instruments as of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and June 30, 2024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47"/>
        <w:gridCol w:w="415"/>
        <w:gridCol w:w="418"/>
        <w:gridCol w:w="224"/>
        <w:gridCol w:w="879"/>
        <w:gridCol w:w="116"/>
        <w:gridCol w:w="109"/>
        <w:gridCol w:w="109"/>
        <w:gridCol w:w="109"/>
        <w:gridCol w:w="248"/>
        <w:gridCol w:w="727"/>
        <w:gridCol w:w="129"/>
        <w:gridCol w:w="109"/>
        <w:gridCol w:w="109"/>
        <w:gridCol w:w="109"/>
        <w:gridCol w:w="339"/>
        <w:gridCol w:w="653"/>
        <w:gridCol w:w="176"/>
        <w:gridCol w:w="109"/>
        <w:gridCol w:w="109"/>
        <w:gridCol w:w="109"/>
        <w:gridCol w:w="218"/>
        <w:gridCol w:w="1011"/>
        <w:gridCol w:w="112"/>
        <w:gridCol w:w="109"/>
        <w:gridCol w:w="109"/>
        <w:gridCol w:w="109"/>
        <w:gridCol w:w="229"/>
        <w:gridCol w:w="785"/>
        <w:gridCol w:w="118"/>
        <w:gridCol w:w="109"/>
        <w:gridCol w:w="109"/>
        <w:gridCol w:w="109"/>
        <w:gridCol w:w="331"/>
        <w:gridCol w:w="639"/>
        <w:gridCol w:w="256"/>
      </w:tblGrid>
      <w:tr>
        <w:trPr/>
        <w:tc>
          <w:tcPr>
            <w:tcW w:w="54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 cash flow hedges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hedges</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derivative assets/liabilities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412,489 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1,004,589 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impact of the cash flow hedges on Accumulated Other Comprehensive Income (“AOCI”) (in thousands):</w:t>
      </w:r>
    </w:p>
    <w:p>
      <w:pPr>
        <w:pStyle w:val="TextBody"/>
        <w:bidi w:val="0"/>
        <w:spacing w:before="0" w:after="0"/>
        <w:ind w:left="0" w:right="0" w:firstLine="720"/>
        <w:jc w:val="left"/>
        <w:rPr/>
      </w:pPr>
      <w:r>
        <w:rPr/>
      </w:r>
    </w:p>
    <w:tbl>
      <w:tblPr>
        <w:tblW w:w="9286"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258"/>
        <w:gridCol w:w="848"/>
        <w:gridCol w:w="133"/>
        <w:gridCol w:w="133"/>
        <w:gridCol w:w="133"/>
        <w:gridCol w:w="133"/>
        <w:gridCol w:w="258"/>
        <w:gridCol w:w="756"/>
        <w:gridCol w:w="133"/>
        <w:gridCol w:w="109"/>
        <w:gridCol w:w="109"/>
        <w:gridCol w:w="109"/>
        <w:gridCol w:w="247"/>
        <w:gridCol w:w="809"/>
        <w:gridCol w:w="127"/>
        <w:gridCol w:w="127"/>
        <w:gridCol w:w="127"/>
        <w:gridCol w:w="127"/>
        <w:gridCol w:w="247"/>
        <w:gridCol w:w="721"/>
        <w:gridCol w:w="180"/>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Amounts reclassified into earnings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at end of period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The amounts reclassified into earnings are presented in the interim consolidated statements of income within funding costs.</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we estimated that $0.1 million of net derivative losses included in AOCI are expected to be reclassified into earnings within the next 12 months.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impact of the derivative instruments on income and indicates where within the interim consolidated statements of operations and comprehensive income (loss) such impact is reported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1"/>
        <w:gridCol w:w="1413"/>
        <w:gridCol w:w="1396"/>
        <w:gridCol w:w="109"/>
        <w:gridCol w:w="109"/>
        <w:gridCol w:w="109"/>
        <w:gridCol w:w="314"/>
        <w:gridCol w:w="513"/>
        <w:gridCol w:w="154"/>
        <w:gridCol w:w="154"/>
        <w:gridCol w:w="154"/>
        <w:gridCol w:w="154"/>
        <w:gridCol w:w="300"/>
        <w:gridCol w:w="662"/>
        <w:gridCol w:w="154"/>
        <w:gridCol w:w="109"/>
        <w:gridCol w:w="109"/>
        <w:gridCol w:w="109"/>
        <w:gridCol w:w="258"/>
        <w:gridCol w:w="571"/>
        <w:gridCol w:w="133"/>
        <w:gridCol w:w="133"/>
        <w:gridCol w:w="133"/>
        <w:gridCol w:w="133"/>
        <w:gridCol w:w="258"/>
        <w:gridCol w:w="754"/>
        <w:gridCol w:w="199"/>
      </w:tblGrid>
      <w:tr>
        <w:trPr/>
        <w:tc>
          <w:tcPr>
            <w:tcW w:w="161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31,</w:t>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cash flow hedging</w:t>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derivatives not designated in hedging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Fair Value of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Recorded at Fair Value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following tables present information about our assets and liabilities that are measured at fair value on a recurring basis 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June 30, 2024 (in thousands):</w:t>
      </w:r>
    </w:p>
    <w:tbl>
      <w:tblPr>
        <w:tblW w:w="10205" w:type="dxa"/>
        <w:jc w:val="center"/>
        <w:tblInd w:w="0" w:type="dxa"/>
        <w:tblLayout w:type="fixed"/>
        <w:tblCellMar>
          <w:top w:w="28" w:type="dxa"/>
          <w:left w:w="28" w:type="dxa"/>
          <w:bottom w:w="28" w:type="dxa"/>
          <w:right w:w="28" w:type="dxa"/>
        </w:tblCellMar>
      </w:tblPr>
      <w:tblGrid>
        <w:gridCol w:w="1635"/>
        <w:gridCol w:w="1415"/>
        <w:gridCol w:w="1427"/>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5"/>
      </w:tblGrid>
      <w:tr>
        <w:trPr/>
        <w:tc>
          <w:tcPr>
            <w:tcW w:w="163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receivable and residual trust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fee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536"/>
        <w:gridCol w:w="1314"/>
        <w:gridCol w:w="1326"/>
        <w:gridCol w:w="109"/>
        <w:gridCol w:w="109"/>
        <w:gridCol w:w="109"/>
        <w:gridCol w:w="211"/>
        <w:gridCol w:w="721"/>
        <w:gridCol w:w="109"/>
        <w:gridCol w:w="109"/>
        <w:gridCol w:w="109"/>
        <w:gridCol w:w="109"/>
        <w:gridCol w:w="211"/>
        <w:gridCol w:w="976"/>
        <w:gridCol w:w="109"/>
        <w:gridCol w:w="109"/>
        <w:gridCol w:w="109"/>
        <w:gridCol w:w="109"/>
        <w:gridCol w:w="211"/>
        <w:gridCol w:w="721"/>
        <w:gridCol w:w="109"/>
        <w:gridCol w:w="109"/>
        <w:gridCol w:w="109"/>
        <w:gridCol w:w="109"/>
        <w:gridCol w:w="211"/>
        <w:gridCol w:w="976"/>
        <w:gridCol w:w="156"/>
      </w:tblGrid>
      <w:tr>
        <w:trPr/>
        <w:tc>
          <w:tcPr>
            <w:tcW w:w="153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receivable and residual trust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1,308,138 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fee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June 30, 2024, there were no transfers between levels.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 (Level 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Marketable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held marketable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June 30, 2024,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in the notes to the interim condensed consolidated financial statements for further details on our derivative instruments.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 using Significant Unobservable Inputs (Level 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Servicing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sold loans with an unpaid principal balance of $3.6 billion and $11.0 billion for the three and nine months ended March 31, 2025, respectively, $2.1 billion and $7.3 billion for the three and nine months ended March 31, 2024, respectively, for which we retained servicing rights.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June 30, 2024, we serviced loans which we sold with a remaining unpaid principal balance of $6.8 billion and $5.1 billion,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discounted cash flow models to arrive at an estimate of fair value. Significant assumptions used in the valuation of our servicing rights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Adequate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adequate compensation as the rate a willing market participant would require for servicing loans with similar characteristics as those in the serviced portfolio.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Default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timing and probability of early loan payoffs, loan defaults and write-offs, thus affecting the projected unpaid principal balance and expected term of the loan, which are used to project future servicing revenue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earned $32.1 million and $86.7 million of servicing income for the three and nine months ended March 31, 2025, respectively, and $25.3 million and $67.9 million for the three and nine months ended March 31, 2024, respectively.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both March 31, 2025 and June 30, 2024, the aggregate fair value of the servicing assets was measured at $0.6 million and presented within other assets in the interim condensed consolidated balance sheets. As of March 31, 2025 and June 30, 2024, the aggregate fair value of the servicing liabilities was measured at $0.1 million and $0.7 million, respectively, and presented within accrued expenses and other liabilities in the interim condensed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aggregate fair value of our servicing assets (in thousands):</w:t>
      </w:r>
    </w:p>
    <w:tbl>
      <w:tblPr>
        <w:tblW w:w="8584" w:type="dxa"/>
        <w:jc w:val="left"/>
        <w:tblInd w:w="0" w:type="dxa"/>
        <w:tblLayout w:type="fixed"/>
        <w:tblCellMar>
          <w:top w:w="28" w:type="dxa"/>
          <w:left w:w="28" w:type="dxa"/>
          <w:bottom w:w="28" w:type="dxa"/>
          <w:right w:w="28" w:type="dxa"/>
        </w:tblCellMar>
      </w:tblPr>
      <w:tblGrid>
        <w:gridCol w:w="1021"/>
        <w:gridCol w:w="898"/>
        <w:gridCol w:w="901"/>
        <w:gridCol w:w="109"/>
        <w:gridCol w:w="109"/>
        <w:gridCol w:w="109"/>
        <w:gridCol w:w="286"/>
        <w:gridCol w:w="633"/>
        <w:gridCol w:w="148"/>
        <w:gridCol w:w="148"/>
        <w:gridCol w:w="148"/>
        <w:gridCol w:w="148"/>
        <w:gridCol w:w="286"/>
        <w:gridCol w:w="633"/>
        <w:gridCol w:w="148"/>
        <w:gridCol w:w="109"/>
        <w:gridCol w:w="109"/>
        <w:gridCol w:w="109"/>
        <w:gridCol w:w="275"/>
        <w:gridCol w:w="607"/>
        <w:gridCol w:w="142"/>
        <w:gridCol w:w="142"/>
        <w:gridCol w:w="142"/>
        <w:gridCol w:w="142"/>
        <w:gridCol w:w="275"/>
        <w:gridCol w:w="607"/>
        <w:gridCol w:w="20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transfers of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aggregate fair value of our servicing liabilities (in thousands):</w:t>
      </w:r>
    </w:p>
    <w:tbl>
      <w:tblPr>
        <w:tblW w:w="8898" w:type="dxa"/>
        <w:jc w:val="left"/>
        <w:tblInd w:w="0" w:type="dxa"/>
        <w:tblLayout w:type="fixed"/>
        <w:tblCellMar>
          <w:top w:w="28" w:type="dxa"/>
          <w:left w:w="28" w:type="dxa"/>
          <w:bottom w:w="28" w:type="dxa"/>
          <w:right w:w="28" w:type="dxa"/>
        </w:tblCellMar>
      </w:tblPr>
      <w:tblGrid>
        <w:gridCol w:w="1135"/>
        <w:gridCol w:w="998"/>
        <w:gridCol w:w="1001"/>
        <w:gridCol w:w="109"/>
        <w:gridCol w:w="109"/>
        <w:gridCol w:w="109"/>
        <w:gridCol w:w="265"/>
        <w:gridCol w:w="586"/>
        <w:gridCol w:w="137"/>
        <w:gridCol w:w="137"/>
        <w:gridCol w:w="137"/>
        <w:gridCol w:w="137"/>
        <w:gridCol w:w="265"/>
        <w:gridCol w:w="775"/>
        <w:gridCol w:w="137"/>
        <w:gridCol w:w="109"/>
        <w:gridCol w:w="109"/>
        <w:gridCol w:w="109"/>
        <w:gridCol w:w="255"/>
        <w:gridCol w:w="564"/>
        <w:gridCol w:w="132"/>
        <w:gridCol w:w="132"/>
        <w:gridCol w:w="132"/>
        <w:gridCol w:w="132"/>
        <w:gridCol w:w="255"/>
        <w:gridCol w:w="746"/>
        <w:gridCol w:w="186"/>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transfers of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quantitative information about the significant unobservable inputs used for our Level 3 fair value measurement of servicing assets and liabilities as of March 31, 2025 and June 30, 2024:</w:t>
      </w:r>
    </w:p>
    <w:p>
      <w:pPr>
        <w:pStyle w:val="TextBody"/>
        <w:bidi w:val="0"/>
        <w:spacing w:before="0" w:after="0"/>
        <w:ind w:left="0" w:right="0" w:firstLine="720"/>
        <w:jc w:val="left"/>
        <w:rPr/>
      </w:pPr>
      <w:r>
        <w:rPr/>
      </w:r>
    </w:p>
    <w:tbl>
      <w:tblPr>
        <w:tblW w:w="9556" w:type="dxa"/>
        <w:jc w:val="left"/>
        <w:tblInd w:w="0" w:type="dxa"/>
        <w:tblLayout w:type="fixed"/>
        <w:tblCellMar>
          <w:top w:w="28" w:type="dxa"/>
          <w:left w:w="28" w:type="dxa"/>
          <w:bottom w:w="28" w:type="dxa"/>
          <w:right w:w="28" w:type="dxa"/>
        </w:tblCellMar>
      </w:tblPr>
      <w:tblGrid>
        <w:gridCol w:w="624"/>
        <w:gridCol w:w="549"/>
        <w:gridCol w:w="552"/>
        <w:gridCol w:w="109"/>
        <w:gridCol w:w="109"/>
        <w:gridCol w:w="109"/>
        <w:gridCol w:w="759"/>
        <w:gridCol w:w="759"/>
        <w:gridCol w:w="762"/>
        <w:gridCol w:w="109"/>
        <w:gridCol w:w="109"/>
        <w:gridCol w:w="109"/>
        <w:gridCol w:w="308"/>
        <w:gridCol w:w="308"/>
        <w:gridCol w:w="526"/>
        <w:gridCol w:w="109"/>
        <w:gridCol w:w="109"/>
        <w:gridCol w:w="109"/>
        <w:gridCol w:w="308"/>
        <w:gridCol w:w="308"/>
        <w:gridCol w:w="551"/>
        <w:gridCol w:w="109"/>
        <w:gridCol w:w="109"/>
        <w:gridCol w:w="109"/>
        <w:gridCol w:w="394"/>
        <w:gridCol w:w="394"/>
        <w:gridCol w:w="114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 Average </w:t>
            </w:r>
            <w:r>
              <w:rPr>
                <w:rFonts w:ascii="Times New Roman;sans-serif" w:hAnsi="Times New Roman;sans-serif"/>
                <w:b/>
                <w:color w:val="000000"/>
                <w:sz w:val="13"/>
              </w:rPr>
              <w:t>(3)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Adequate compensation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default rate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Adequate compensation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default rate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9556" w:type="dxa"/>
        <w:jc w:val="left"/>
        <w:tblInd w:w="0" w:type="dxa"/>
        <w:tblLayout w:type="fixed"/>
        <w:tblCellMar>
          <w:top w:w="28" w:type="dxa"/>
          <w:left w:w="28" w:type="dxa"/>
          <w:bottom w:w="28" w:type="dxa"/>
          <w:right w:w="28" w:type="dxa"/>
        </w:tblCellMar>
      </w:tblPr>
      <w:tblGrid>
        <w:gridCol w:w="624"/>
        <w:gridCol w:w="549"/>
        <w:gridCol w:w="552"/>
        <w:gridCol w:w="109"/>
        <w:gridCol w:w="109"/>
        <w:gridCol w:w="109"/>
        <w:gridCol w:w="759"/>
        <w:gridCol w:w="759"/>
        <w:gridCol w:w="762"/>
        <w:gridCol w:w="109"/>
        <w:gridCol w:w="109"/>
        <w:gridCol w:w="109"/>
        <w:gridCol w:w="308"/>
        <w:gridCol w:w="308"/>
        <w:gridCol w:w="526"/>
        <w:gridCol w:w="109"/>
        <w:gridCol w:w="109"/>
        <w:gridCol w:w="109"/>
        <w:gridCol w:w="308"/>
        <w:gridCol w:w="308"/>
        <w:gridCol w:w="551"/>
        <w:gridCol w:w="109"/>
        <w:gridCol w:w="109"/>
        <w:gridCol w:w="109"/>
        <w:gridCol w:w="394"/>
        <w:gridCol w:w="394"/>
        <w:gridCol w:w="114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 Average </w:t>
            </w:r>
            <w:r>
              <w:rPr>
                <w:rFonts w:ascii="Times New Roman;sans-serif" w:hAnsi="Times New Roman;sans-serif"/>
                <w:b/>
                <w:color w:val="000000"/>
                <w:sz w:val="13"/>
              </w:rPr>
              <w:t>(3)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Adequate compensation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default rate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Adequate compensation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default rate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Estimated annual cost of servicing a loan as a percentage of unpaid principal balance </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Annualized estimated gross charge-offs as a percentage of unpaid principal balance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Unobservable inputs were weighted by relative fair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that adverse changes in estimates would have on the fair value of the servicing assets and liabilities given hypothetical changes in significant unobservable inputs (in thousands):</w:t>
      </w:r>
    </w:p>
    <w:tbl>
      <w:tblPr>
        <w:tblW w:w="6563" w:type="dxa"/>
        <w:jc w:val="center"/>
        <w:tblInd w:w="0" w:type="dxa"/>
        <w:tblLayout w:type="fixed"/>
        <w:tblCellMar>
          <w:top w:w="28" w:type="dxa"/>
          <w:left w:w="28" w:type="dxa"/>
          <w:bottom w:w="28" w:type="dxa"/>
          <w:right w:w="28" w:type="dxa"/>
        </w:tblCellMar>
      </w:tblPr>
      <w:tblGrid>
        <w:gridCol w:w="1237"/>
        <w:gridCol w:w="1090"/>
        <w:gridCol w:w="1093"/>
        <w:gridCol w:w="109"/>
        <w:gridCol w:w="109"/>
        <w:gridCol w:w="109"/>
        <w:gridCol w:w="269"/>
        <w:gridCol w:w="882"/>
        <w:gridCol w:w="139"/>
        <w:gridCol w:w="109"/>
        <w:gridCol w:w="109"/>
        <w:gridCol w:w="109"/>
        <w:gridCol w:w="239"/>
        <w:gridCol w:w="785"/>
        <w:gridCol w:w="175"/>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default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default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default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default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default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default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Fee 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income (loss).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performance fee liability (in thousands):</w:t>
      </w:r>
    </w:p>
    <w:p>
      <w:pPr>
        <w:pStyle w:val="TextBody"/>
        <w:bidi w:val="0"/>
        <w:spacing w:before="0" w:after="0"/>
        <w:ind w:left="0" w:right="0" w:firstLine="720"/>
        <w:jc w:val="left"/>
        <w:rPr/>
      </w:pPr>
      <w:r>
        <w:rPr/>
      </w:r>
    </w:p>
    <w:tbl>
      <w:tblPr>
        <w:tblW w:w="8552"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247"/>
        <w:gridCol w:w="723"/>
        <w:gridCol w:w="127"/>
        <w:gridCol w:w="127"/>
        <w:gridCol w:w="127"/>
        <w:gridCol w:w="127"/>
        <w:gridCol w:w="247"/>
        <w:gridCol w:w="723"/>
        <w:gridCol w:w="127"/>
        <w:gridCol w:w="109"/>
        <w:gridCol w:w="109"/>
        <w:gridCol w:w="109"/>
        <w:gridCol w:w="238"/>
        <w:gridCol w:w="696"/>
        <w:gridCol w:w="123"/>
        <w:gridCol w:w="123"/>
        <w:gridCol w:w="123"/>
        <w:gridCol w:w="123"/>
        <w:gridCol w:w="238"/>
        <w:gridCol w:w="696"/>
        <w:gridCol w:w="17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quantitative information about the significant unobservable inputs used for our Level 3 fair value measurement of the performance fee liability as of March 31, 2025 and June 30, 2024:</w:t>
      </w:r>
    </w:p>
    <w:p>
      <w:pPr>
        <w:pStyle w:val="TextBody"/>
        <w:bidi w:val="0"/>
        <w:spacing w:before="0" w:after="0"/>
        <w:ind w:left="0" w:right="0" w:firstLine="720"/>
        <w:jc w:val="left"/>
        <w:rPr/>
      </w:pPr>
      <w:r>
        <w:rPr/>
      </w:r>
    </w:p>
    <w:tbl>
      <w:tblPr>
        <w:tblW w:w="6188"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9.39%</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w:t>
            </w:r>
          </w:p>
        </w:tc>
      </w:tr>
    </w:tbl>
    <w:tbl>
      <w:tblPr>
        <w:tblW w:w="6188" w:type="dxa"/>
        <w:jc w:val="center"/>
        <w:tblInd w:w="0" w:type="dxa"/>
        <w:tblLayout w:type="fixed"/>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9.81%</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Unobservable inputs were weighted by remaining principal balances </w:t>
      </w:r>
    </w:p>
    <w:p>
      <w:pPr>
        <w:pStyle w:val="TextBody"/>
        <w:bidi w:val="0"/>
        <w:spacing w:before="0" w:after="0"/>
        <w:jc w:val="left"/>
        <w:rPr/>
      </w:pPr>
      <w:r>
        <w:rPr/>
      </w:r>
    </w:p>
    <w:p>
      <w:pPr>
        <w:pStyle w:val="TextBody"/>
        <w:bidi w:val="0"/>
        <w:spacing w:lineRule="auto" w:line="295"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Retained Beneficial Interests in Unconsolidated VIEs</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shd w:fill="FFFFFF" w:val="clear"/>
        </w:rPr>
        <w:t xml:space="preserve">As of March 31, 2025, we held notes receivable and residual trust certificates with an aggregate fair value of </w:t>
      </w:r>
      <w:r>
        <w:rPr>
          <w:rFonts w:ascii="Times New Roman;sans-serif" w:hAnsi="Times New Roman;sans-serif"/>
          <w:b w:val="false"/>
          <w:color w:val="000000"/>
          <w:sz w:val="20"/>
        </w:rPr>
        <w:t>$50.9 million</w:t>
      </w:r>
      <w:r>
        <w:rPr>
          <w:color w:val="000000"/>
          <w:shd w:fill="FFFFFF" w:val="clear"/>
        </w:rPr>
        <w:t xml:space="preserve"> </w:t>
      </w:r>
      <w:r>
        <w:rPr>
          <w:rFonts w:ascii="Times New Roman;sans-serif" w:hAnsi="Times New Roman;sans-serif"/>
          <w:b w:val="false"/>
          <w:color w:val="000000"/>
          <w:sz w:val="20"/>
          <w:shd w:fill="FFFFFF" w:val="clear"/>
        </w:rPr>
        <w:t>in connection with</w:t>
      </w:r>
      <w:r>
        <w:rPr>
          <w:color w:val="000000"/>
        </w:rPr>
        <w:t xml:space="preserve"> </w:t>
      </w:r>
      <w:r>
        <w:rPr>
          <w:rFonts w:ascii="Times New Roman;sans-serif" w:hAnsi="Times New Roman;sans-serif"/>
          <w:b w:val="false"/>
          <w:color w:val="000000"/>
          <w:sz w:val="20"/>
        </w:rPr>
        <w:t xml:space="preserve">unconsolidated securitizations. </w:t>
      </w:r>
      <w:r>
        <w:rPr>
          <w:rFonts w:ascii="Times New Roman;sans-serif" w:hAnsi="Times New Roman;sans-serif"/>
          <w:b w:val="false"/>
          <w:color w:val="000000"/>
          <w:sz w:val="20"/>
          <w:shd w:fill="FFFFFF" w:val="clear"/>
        </w:rPr>
        <w:t xml:space="preserve">The balances correspond to the 5% economic risk retention we are required to maintain as the securitization sponsor. </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shd w:fill="FFFFFF" w:val="clear"/>
        </w:rPr>
        <w:t xml:space="preserve">These assets are measured at fair value using a discounted cash flow model, and presented within </w:t>
      </w:r>
      <w:r>
        <w:rPr>
          <w:rFonts w:ascii="Times New Roman;sans-serif" w:hAnsi="Times New Roman;sans-serif"/>
          <w:b w:val="false"/>
          <w:color w:val="000000"/>
          <w:sz w:val="20"/>
        </w:rPr>
        <w:t>securities available for sale at fair value</w:t>
      </w:r>
      <w:r>
        <w:rPr>
          <w:color w:val="000000"/>
          <w:shd w:fill="FFFFFF" w:val="clear"/>
        </w:rPr>
        <w:t xml:space="preserve"> </w:t>
      </w:r>
      <w:r>
        <w:rPr>
          <w:rFonts w:ascii="Times New Roman;sans-serif" w:hAnsi="Times New Roman;sans-serif"/>
          <w:b w:val="false"/>
          <w:color w:val="000000"/>
          <w:sz w:val="20"/>
          <w:shd w:fill="FFFFFF" w:val="clear"/>
        </w:rPr>
        <w:t xml:space="preserve">in the interim condensed consolidated balance sheets. Changes in the fair value, other than declines in fair value due to credit recognized as an allowance, are reflected in </w:t>
      </w:r>
      <w:r>
        <w:rPr>
          <w:rFonts w:ascii="Times New Roman;sans-serif" w:hAnsi="Times New Roman;sans-serif"/>
          <w:b w:val="false"/>
          <w:color w:val="000000"/>
          <w:sz w:val="20"/>
        </w:rPr>
        <w:t>other comprehensive income</w:t>
      </w:r>
      <w:r>
        <w:rPr>
          <w:color w:val="000000"/>
          <w:shd w:fill="FFFFFF" w:val="clear"/>
        </w:rPr>
        <w:t xml:space="preserve"> </w:t>
      </w:r>
      <w:r>
        <w:rPr>
          <w:rFonts w:ascii="Times New Roman;sans-serif" w:hAnsi="Times New Roman;sans-serif"/>
          <w:b w:val="false"/>
          <w:color w:val="000000"/>
          <w:sz w:val="20"/>
          <w:shd w:fill="FFFFFF" w:val="clear"/>
        </w:rPr>
        <w:t>in</w:t>
      </w:r>
      <w:r>
        <w:rPr>
          <w:color w:val="000000"/>
          <w:shd w:fill="FFFFFF" w:val="clear"/>
        </w:rPr>
        <w:t xml:space="preserve"> </w:t>
      </w:r>
      <w:r>
        <w:rPr>
          <w:rFonts w:ascii="Times New Roman;sans-serif" w:hAnsi="Times New Roman;sans-serif"/>
          <w:b w:val="false"/>
          <w:color w:val="000000"/>
          <w:sz w:val="20"/>
          <w:shd w:fill="FFFFFF" w:val="clear"/>
        </w:rPr>
        <w:t xml:space="preserve">the interim condensed consolidated statements of operations and comprehensive income (loss). Declines in fair value due to credit are reflected in </w:t>
      </w:r>
      <w:r>
        <w:rPr>
          <w:rFonts w:ascii="Times New Roman;sans-serif" w:hAnsi="Times New Roman;sans-serif"/>
          <w:b w:val="false"/>
          <w:color w:val="000000"/>
          <w:sz w:val="20"/>
        </w:rPr>
        <w:t>other income, net</w:t>
      </w:r>
      <w:r>
        <w:rPr>
          <w:color w:val="000000"/>
          <w:shd w:fill="FFFFFF" w:val="clear"/>
        </w:rPr>
        <w:t xml:space="preserve"> </w:t>
      </w:r>
      <w:r>
        <w:rPr>
          <w:rFonts w:ascii="Times New Roman;sans-serif" w:hAnsi="Times New Roman;sans-serif"/>
          <w:b w:val="false"/>
          <w:color w:val="000000"/>
          <w:sz w:val="20"/>
          <w:shd w:fill="FFFFFF" w:val="clear"/>
        </w:rPr>
        <w:t xml:space="preserve">in the interim condensed consolidated statements of operations and comprehensive income (loss).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notes and residual trust certificates (in thousands):</w:t>
      </w:r>
    </w:p>
    <w:tbl>
      <w:tblPr>
        <w:tblW w:w="10205" w:type="dxa"/>
        <w:jc w:val="left"/>
        <w:tblInd w:w="0" w:type="dxa"/>
        <w:tblLayout w:type="fixed"/>
        <w:tblCellMar>
          <w:top w:w="28" w:type="dxa"/>
          <w:left w:w="28" w:type="dxa"/>
          <w:bottom w:w="28" w:type="dxa"/>
          <w:right w:w="28" w:type="dxa"/>
        </w:tblCellMar>
      </w:tblPr>
      <w:tblGrid>
        <w:gridCol w:w="1617"/>
        <w:gridCol w:w="1415"/>
        <w:gridCol w:w="1420"/>
        <w:gridCol w:w="109"/>
        <w:gridCol w:w="109"/>
        <w:gridCol w:w="109"/>
        <w:gridCol w:w="225"/>
        <w:gridCol w:w="769"/>
        <w:gridCol w:w="115"/>
        <w:gridCol w:w="115"/>
        <w:gridCol w:w="115"/>
        <w:gridCol w:w="115"/>
        <w:gridCol w:w="225"/>
        <w:gridCol w:w="769"/>
        <w:gridCol w:w="115"/>
        <w:gridCol w:w="109"/>
        <w:gridCol w:w="109"/>
        <w:gridCol w:w="109"/>
        <w:gridCol w:w="217"/>
        <w:gridCol w:w="743"/>
        <w:gridCol w:w="111"/>
        <w:gridCol w:w="111"/>
        <w:gridCol w:w="111"/>
        <w:gridCol w:w="111"/>
        <w:gridCol w:w="217"/>
        <w:gridCol w:w="743"/>
        <w:gridCol w:w="172"/>
      </w:tblGrid>
      <w:tr>
        <w:trPr/>
        <w:tc>
          <w:tcPr>
            <w:tcW w:w="161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(due to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ans-serif" w:hAnsi="Times New Roman;sans-serif"/>
          <w:b w:val="false"/>
          <w:color w:val="000000"/>
          <w:sz w:val="20"/>
          <w:shd w:fill="FFFFFF" w:val="clear"/>
        </w:rPr>
        <w:t xml:space="preserve">The following tables present quantitative information about the significant unobservable inputs used for our Level 3 fair value measurement of the notes receivable and residual trust certificates as of March 31, 2025 </w:t>
      </w:r>
      <w:r>
        <w:rPr>
          <w:rFonts w:ascii="Times New Roman;sans-serif" w:hAnsi="Times New Roman;sans-serif"/>
          <w:b w:val="false"/>
          <w:color w:val="000000"/>
          <w:sz w:val="20"/>
        </w:rPr>
        <w:t>and June 30, 2024</w:t>
      </w:r>
      <w:r>
        <w:rPr>
          <w:rFonts w:ascii="Times New Roman;sans-serif" w:hAnsi="Times New Roman;sans-serif"/>
          <w:b w:val="false"/>
          <w:color w:val="000000"/>
          <w:sz w:val="20"/>
          <w:shd w:fill="FFFFFF" w:val="clear"/>
        </w:rPr>
        <w:t>:</w:t>
      </w:r>
    </w:p>
    <w:p>
      <w:pPr>
        <w:pStyle w:val="TextBody"/>
        <w:bidi w:val="0"/>
        <w:spacing w:before="0" w:after="0"/>
        <w:ind w:left="0" w:right="0" w:firstLine="720"/>
        <w:jc w:val="left"/>
        <w:rPr/>
      </w:pPr>
      <w:r>
        <w:rPr/>
      </w:r>
    </w:p>
    <w:tbl>
      <w:tblPr>
        <w:tblW w:w="6188"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22.52%</w:t>
            </w:r>
          </w:p>
        </w:tc>
      </w:tr>
    </w:tbl>
    <w:tbl>
      <w:tblPr>
        <w:tblW w:w="6533"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 Average </w:t>
            </w:r>
            <w:r>
              <w:rPr>
                <w:rFonts w:ascii="Times New Roman;sans-serif" w:hAnsi="Times New Roman;sans-serif"/>
                <w:b/>
                <w:color w:val="000000"/>
                <w:sz w:val="13"/>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8.93%</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6.17%</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Unobservable inputs were weighted by relative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effect that adverse changes in estimates would have on the fair value of the notes receivable and residual trust certificates given hypothetical changes in significant unobservable inputs (in thousands):</w:t>
      </w:r>
    </w:p>
    <w:p>
      <w:pPr>
        <w:pStyle w:val="TextBody"/>
        <w:bidi w:val="0"/>
        <w:spacing w:before="0" w:after="0"/>
        <w:ind w:left="0" w:right="0" w:firstLine="720"/>
        <w:jc w:val="left"/>
        <w:rPr/>
      </w:pPr>
      <w:r>
        <w:rPr/>
      </w:r>
    </w:p>
    <w:tbl>
      <w:tblPr>
        <w:tblW w:w="5933" w:type="dxa"/>
        <w:jc w:val="left"/>
        <w:tblInd w:w="0" w:type="dxa"/>
        <w:tblLayout w:type="fixed"/>
        <w:tblCellMar>
          <w:top w:w="28" w:type="dxa"/>
          <w:left w:w="28" w:type="dxa"/>
          <w:bottom w:w="28" w:type="dxa"/>
          <w:right w:w="28" w:type="dxa"/>
        </w:tblCellMar>
      </w:tblPr>
      <w:tblGrid>
        <w:gridCol w:w="1012"/>
        <w:gridCol w:w="886"/>
        <w:gridCol w:w="892"/>
        <w:gridCol w:w="109"/>
        <w:gridCol w:w="109"/>
        <w:gridCol w:w="109"/>
        <w:gridCol w:w="269"/>
        <w:gridCol w:w="882"/>
        <w:gridCol w:w="139"/>
        <w:gridCol w:w="109"/>
        <w:gridCol w:w="109"/>
        <w:gridCol w:w="109"/>
        <w:gridCol w:w="239"/>
        <w:gridCol w:w="785"/>
        <w:gridCol w:w="175"/>
      </w:tblGrid>
      <w:tr>
        <w:trPr/>
        <w:tc>
          <w:tcPr>
            <w:tcW w:w="10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decrease of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decrease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Profit Share 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in the interim condensed consolidated balance sheets.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profit share liability (in thousands):</w:t>
      </w:r>
    </w:p>
    <w:tbl>
      <w:tblPr>
        <w:tblW w:w="8552"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247"/>
        <w:gridCol w:w="723"/>
        <w:gridCol w:w="127"/>
        <w:gridCol w:w="127"/>
        <w:gridCol w:w="127"/>
        <w:gridCol w:w="127"/>
        <w:gridCol w:w="247"/>
        <w:gridCol w:w="723"/>
        <w:gridCol w:w="127"/>
        <w:gridCol w:w="109"/>
        <w:gridCol w:w="109"/>
        <w:gridCol w:w="109"/>
        <w:gridCol w:w="238"/>
        <w:gridCol w:w="696"/>
        <w:gridCol w:w="123"/>
        <w:gridCol w:w="123"/>
        <w:gridCol w:w="123"/>
        <w:gridCol w:w="123"/>
        <w:gridCol w:w="238"/>
        <w:gridCol w:w="696"/>
        <w:gridCol w:w="17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Facilitation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The following tables present quantitative information about the significant unobservable inputs used for our Level 3 fair value measurement of the profit sharing liability as of March 31, 2025 </w:t>
      </w:r>
      <w:r>
        <w:rPr>
          <w:rFonts w:ascii="Times New Roman;sans-serif" w:hAnsi="Times New Roman;sans-serif"/>
          <w:b w:val="false"/>
          <w:color w:val="000000"/>
          <w:sz w:val="20"/>
        </w:rPr>
        <w:t>and June 30, 2024</w:t>
      </w:r>
      <w:r>
        <w:rPr>
          <w:rFonts w:ascii="Times New Roman;sans-serif" w:hAnsi="Times New Roman;sans-serif"/>
          <w:b w:val="false"/>
          <w:color w:val="000000"/>
          <w:sz w:val="20"/>
          <w:shd w:fill="FFFFFF" w:val="clear"/>
        </w:rPr>
        <w:t>:</w:t>
      </w:r>
    </w:p>
    <w:p>
      <w:pPr>
        <w:pStyle w:val="TextBody"/>
        <w:bidi w:val="0"/>
        <w:spacing w:before="0" w:after="0"/>
        <w:ind w:left="0" w:right="0" w:firstLine="720"/>
        <w:jc w:val="left"/>
        <w:rPr/>
      </w:pPr>
      <w:r>
        <w:rPr/>
      </w:r>
    </w:p>
    <w:tbl>
      <w:tblPr>
        <w:tblW w:w="6188"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profitability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c>
      </w:tr>
    </w:tbl>
    <w:tbl>
      <w:tblPr>
        <w:tblW w:w="6188"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profitability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Unobservable inputs were weighted by relative fair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Risk Sharing Arrangements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certain capital funding arrangements with third 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 As of March 31, 2025 and June 30, 2024, we have sold $7.8 billion and $4.2 billion, respectively, unpaid principal balance of loans under these risk sharing arrangements, of which our maximum exposure to losses is $94.3 million and $81.2 million, respectively. This amount includes our maximum potential loss with respect to risk sharing liabilities of $33.1 million and risk sharing assets of $61.2 million, as of March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these arrangements as derivatives measured at fair value with gains and losses recognized in gain on sales of loans in our interim condensed consolidated statements of operations and comprehensive income (loss). For each counterparty, we have recognized a net asset or net liability based on the estimated fair value of future payments we expect to receive from or make to the counterparty. As of March 31, 2025 and June 30, 2024, we held assets related to these arrangements of $43.7 million and $33.9 million, respectively, and liabilities of $0.4 million and $0.9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estimated the fair value of future settlements using a discounted cash flow model. Significant assumptions used in the valuation of our risk sharing assets and liabilities are as follows: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future cash flows to be received or paid under the agreements are discounted as a part of determining the fair value of the risk sharing arrangements. The discount rate reflects the time value of money and a risk premium intended to reflect the amount of compensation market participants would require.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loss rate as the probability of loan defaults and write-offs, which are used to project future risk-sharing cash flows.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Prepayment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annualized prepayment rate as the expected excess loan payment received in a given month as a percentage of the outstanding principal balance at the beginning of the month minus the scheduled principal payment.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bookmarkStart w:id="0" w:name="ieba3fc7df7c748d8a205427a823b731b_13623"/>
      <w:bookmarkEnd w:id="0"/>
      <w:r>
        <w:rPr>
          <w:rFonts w:ascii="Times New Roman;sans-serif" w:hAnsi="Times New Roman;sans-serif"/>
          <w:b w:val="false"/>
          <w:color w:val="000000"/>
          <w:sz w:val="20"/>
        </w:rPr>
        <w:t>The following table summarizes the activity related to the fair value of the risk sharing assets (in thousands):</w:t>
      </w:r>
    </w:p>
    <w:tbl>
      <w:tblPr>
        <w:tblW w:w="8583" w:type="dxa"/>
        <w:jc w:val="left"/>
        <w:tblInd w:w="0" w:type="dxa"/>
        <w:tblLayout w:type="fixed"/>
        <w:tblCellMar>
          <w:top w:w="28" w:type="dxa"/>
          <w:left w:w="28" w:type="dxa"/>
          <w:bottom w:w="28" w:type="dxa"/>
          <w:right w:w="28" w:type="dxa"/>
        </w:tblCellMar>
      </w:tblPr>
      <w:tblGrid>
        <w:gridCol w:w="1021"/>
        <w:gridCol w:w="898"/>
        <w:gridCol w:w="901"/>
        <w:gridCol w:w="109"/>
        <w:gridCol w:w="109"/>
        <w:gridCol w:w="109"/>
        <w:gridCol w:w="226"/>
        <w:gridCol w:w="772"/>
        <w:gridCol w:w="116"/>
        <w:gridCol w:w="116"/>
        <w:gridCol w:w="116"/>
        <w:gridCol w:w="116"/>
        <w:gridCol w:w="226"/>
        <w:gridCol w:w="772"/>
        <w:gridCol w:w="116"/>
        <w:gridCol w:w="109"/>
        <w:gridCol w:w="109"/>
        <w:gridCol w:w="109"/>
        <w:gridCol w:w="218"/>
        <w:gridCol w:w="745"/>
        <w:gridCol w:w="112"/>
        <w:gridCol w:w="112"/>
        <w:gridCol w:w="112"/>
        <w:gridCol w:w="112"/>
        <w:gridCol w:w="218"/>
        <w:gridCol w:w="745"/>
        <w:gridCol w:w="159"/>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transfers of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risk sharing liabilities (in thousands):</w:t>
      </w:r>
    </w:p>
    <w:tbl>
      <w:tblPr>
        <w:tblW w:w="8551"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265"/>
        <w:gridCol w:w="775"/>
        <w:gridCol w:w="137"/>
        <w:gridCol w:w="137"/>
        <w:gridCol w:w="137"/>
        <w:gridCol w:w="137"/>
        <w:gridCol w:w="265"/>
        <w:gridCol w:w="586"/>
        <w:gridCol w:w="137"/>
        <w:gridCol w:w="109"/>
        <w:gridCol w:w="109"/>
        <w:gridCol w:w="109"/>
        <w:gridCol w:w="275"/>
        <w:gridCol w:w="607"/>
        <w:gridCol w:w="142"/>
        <w:gridCol w:w="142"/>
        <w:gridCol w:w="142"/>
        <w:gridCol w:w="142"/>
        <w:gridCol w:w="275"/>
        <w:gridCol w:w="607"/>
        <w:gridCol w:w="200"/>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quantitative information about the significant unobservable inputs used for our Level 3 fair value measurement of the risk sharing arrangements as of March 31, 2025:</w:t>
      </w:r>
    </w:p>
    <w:p>
      <w:pPr>
        <w:pStyle w:val="TextBody"/>
        <w:bidi w:val="0"/>
        <w:spacing w:before="0" w:after="0"/>
        <w:ind w:left="0" w:right="0" w:firstLine="720"/>
        <w:jc w:val="left"/>
        <w:rPr/>
      </w:pPr>
      <w:r>
        <w:rPr/>
      </w:r>
    </w:p>
    <w:tbl>
      <w:tblPr>
        <w:tblW w:w="8463" w:type="dxa"/>
        <w:jc w:val="left"/>
        <w:tblInd w:w="0" w:type="dxa"/>
        <w:tblLayout w:type="fixed"/>
        <w:tblCellMar>
          <w:top w:w="28" w:type="dxa"/>
          <w:left w:w="28" w:type="dxa"/>
          <w:bottom w:w="28" w:type="dxa"/>
          <w:right w:w="28" w:type="dxa"/>
        </w:tblCellMar>
      </w:tblPr>
      <w:tblGrid>
        <w:gridCol w:w="711"/>
        <w:gridCol w:w="624"/>
        <w:gridCol w:w="629"/>
        <w:gridCol w:w="109"/>
        <w:gridCol w:w="109"/>
        <w:gridCol w:w="109"/>
        <w:gridCol w:w="554"/>
        <w:gridCol w:w="554"/>
        <w:gridCol w:w="556"/>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4.06%</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22.85%</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r>
    </w:tbl>
    <w:p>
      <w:pPr>
        <w:pStyle w:val="TextBody"/>
        <w:bidi w:val="0"/>
        <w:spacing w:before="0" w:after="0"/>
        <w:jc w:val="left"/>
        <w:rPr/>
      </w:pPr>
      <w:r>
        <w:rPr/>
      </w:r>
    </w:p>
    <w:tbl>
      <w:tblPr>
        <w:tblW w:w="8463" w:type="dxa"/>
        <w:jc w:val="left"/>
        <w:tblInd w:w="0" w:type="dxa"/>
        <w:tblLayout w:type="fixed"/>
        <w:tblCellMar>
          <w:top w:w="28" w:type="dxa"/>
          <w:left w:w="28" w:type="dxa"/>
          <w:bottom w:w="28" w:type="dxa"/>
          <w:right w:w="28" w:type="dxa"/>
        </w:tblCellMar>
      </w:tblPr>
      <w:tblGrid>
        <w:gridCol w:w="711"/>
        <w:gridCol w:w="624"/>
        <w:gridCol w:w="629"/>
        <w:gridCol w:w="109"/>
        <w:gridCol w:w="109"/>
        <w:gridCol w:w="109"/>
        <w:gridCol w:w="554"/>
        <w:gridCol w:w="554"/>
        <w:gridCol w:w="556"/>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w:t>
            </w:r>
            <w:r>
              <w:rPr>
                <w:rFonts w:ascii="Times New Roman;sans-serif" w:hAnsi="Times New Roman;sans-serif"/>
                <w:b/>
                <w:color w:val="000000"/>
                <w:sz w:val="12"/>
              </w:rPr>
              <w:t>(1)</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28.48%</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sharing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Unobservable inputs were weighted by principal balance of loans sold under each cohort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that adverse changes in estimates would have on the fair value of the risk sharing assets and liabilities given hypothetical changes in significant unobservable inputs (in thousands):</w:t>
      </w:r>
    </w:p>
    <w:p>
      <w:pPr>
        <w:pStyle w:val="TextBody"/>
        <w:bidi w:val="0"/>
        <w:spacing w:before="0" w:after="0"/>
        <w:ind w:left="0" w:right="0" w:firstLine="720"/>
        <w:jc w:val="left"/>
        <w:rPr/>
      </w:pPr>
      <w:r>
        <w:rPr/>
      </w:r>
    </w:p>
    <w:tbl>
      <w:tblPr>
        <w:tblW w:w="5904" w:type="dxa"/>
        <w:jc w:val="left"/>
        <w:tblInd w:w="0" w:type="dxa"/>
        <w:tblLayout w:type="fixed"/>
        <w:tblCellMar>
          <w:top w:w="28" w:type="dxa"/>
          <w:left w:w="28" w:type="dxa"/>
          <w:bottom w:w="28" w:type="dxa"/>
          <w:right w:w="28" w:type="dxa"/>
        </w:tblCellMar>
      </w:tblPr>
      <w:tblGrid>
        <w:gridCol w:w="1000"/>
        <w:gridCol w:w="878"/>
        <w:gridCol w:w="882"/>
        <w:gridCol w:w="109"/>
        <w:gridCol w:w="109"/>
        <w:gridCol w:w="109"/>
        <w:gridCol w:w="244"/>
        <w:gridCol w:w="920"/>
        <w:gridCol w:w="126"/>
        <w:gridCol w:w="109"/>
        <w:gridCol w:w="109"/>
        <w:gridCol w:w="109"/>
        <w:gridCol w:w="218"/>
        <w:gridCol w:w="823"/>
        <w:gridCol w:w="159"/>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Risk sharing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Risk sharing liabilities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Not Recorded at Fair Value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The following table presents the fair value and our assessment of the classification of this measurement within the fair value hierarchy for financial assets and liabilities held at amortized cost as of </w:t>
      </w:r>
      <w:r>
        <w:rPr>
          <w:rFonts w:ascii="Times New Roman;sans-serif" w:hAnsi="Times New Roman;sans-serif"/>
          <w:b w:val="false"/>
          <w:color w:val="000000"/>
          <w:sz w:val="20"/>
        </w:rPr>
        <w:t>March 31, 2025 and June 30, 2024 (in thousands):</w:t>
      </w:r>
    </w:p>
    <w:tbl>
      <w:tblPr>
        <w:tblW w:w="10205" w:type="dxa"/>
        <w:jc w:val="left"/>
        <w:tblInd w:w="0" w:type="dxa"/>
        <w:tblLayout w:type="fixed"/>
        <w:tblCellMar>
          <w:top w:w="28" w:type="dxa"/>
          <w:left w:w="28" w:type="dxa"/>
          <w:bottom w:w="28" w:type="dxa"/>
          <w:right w:w="28" w:type="dxa"/>
        </w:tblCellMar>
      </w:tblPr>
      <w:tblGrid>
        <w:gridCol w:w="977"/>
        <w:gridCol w:w="630"/>
        <w:gridCol w:w="635"/>
        <w:gridCol w:w="109"/>
        <w:gridCol w:w="109"/>
        <w:gridCol w:w="109"/>
        <w:gridCol w:w="229"/>
        <w:gridCol w:w="1062"/>
        <w:gridCol w:w="118"/>
        <w:gridCol w:w="109"/>
        <w:gridCol w:w="109"/>
        <w:gridCol w:w="109"/>
        <w:gridCol w:w="211"/>
        <w:gridCol w:w="406"/>
        <w:gridCol w:w="109"/>
        <w:gridCol w:w="109"/>
        <w:gridCol w:w="109"/>
        <w:gridCol w:w="109"/>
        <w:gridCol w:w="211"/>
        <w:gridCol w:w="976"/>
        <w:gridCol w:w="109"/>
        <w:gridCol w:w="109"/>
        <w:gridCol w:w="109"/>
        <w:gridCol w:w="109"/>
        <w:gridCol w:w="211"/>
        <w:gridCol w:w="976"/>
        <w:gridCol w:w="109"/>
        <w:gridCol w:w="109"/>
        <w:gridCol w:w="109"/>
        <w:gridCol w:w="109"/>
        <w:gridCol w:w="251"/>
        <w:gridCol w:w="1163"/>
        <w:gridCol w:w="187"/>
      </w:tblGrid>
      <w:tr>
        <w:trPr/>
        <w:tc>
          <w:tcPr>
            <w:tcW w:w="97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Fair Value</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Loans held for sale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6,255,459 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6,682,131 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6,262,729 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6,689,401 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Convertible senior notes, net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1,152,019 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4,084,934 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Funding debt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1,926,795 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7,163,748 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7,085,326 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77"/>
        <w:gridCol w:w="630"/>
        <w:gridCol w:w="635"/>
        <w:gridCol w:w="109"/>
        <w:gridCol w:w="109"/>
        <w:gridCol w:w="109"/>
        <w:gridCol w:w="229"/>
        <w:gridCol w:w="1062"/>
        <w:gridCol w:w="118"/>
        <w:gridCol w:w="109"/>
        <w:gridCol w:w="109"/>
        <w:gridCol w:w="109"/>
        <w:gridCol w:w="211"/>
        <w:gridCol w:w="406"/>
        <w:gridCol w:w="109"/>
        <w:gridCol w:w="109"/>
        <w:gridCol w:w="109"/>
        <w:gridCol w:w="109"/>
        <w:gridCol w:w="211"/>
        <w:gridCol w:w="976"/>
        <w:gridCol w:w="109"/>
        <w:gridCol w:w="109"/>
        <w:gridCol w:w="109"/>
        <w:gridCol w:w="109"/>
        <w:gridCol w:w="211"/>
        <w:gridCol w:w="976"/>
        <w:gridCol w:w="109"/>
        <w:gridCol w:w="109"/>
        <w:gridCol w:w="109"/>
        <w:gridCol w:w="109"/>
        <w:gridCol w:w="251"/>
        <w:gridCol w:w="1163"/>
        <w:gridCol w:w="187"/>
      </w:tblGrid>
      <w:tr>
        <w:trPr/>
        <w:tc>
          <w:tcPr>
            <w:tcW w:w="97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Fair Value</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Loans held for sale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5,360,959 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5,616,973 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5,404,207 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5,660,221 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Convertible senior notes, net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1,341,430 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3,236,873 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2,506,929 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Funding debt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6,430,002 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5,483,387 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Amortized cost approximates fair value for loans held for sale and other assets.</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rPr>
        <w:t xml:space="preserve">As of March 31, 2025, includes convertible senior notes due 2026 with a carrying amount and fair value of $247.7 million and $230.5 million, respectively, and convertible senior notes due 2029 with a carrying amount and fair value of $904.3 million and $814.1 million, respectively. As of June 30, 2024, includes convertible senior notes due 2026 with a carrying amount and fair value of $1.3 billion and $1.1 billion, respectively. The estimated fair value of the convertible senior notes is determined based on a market approach, using the estimated or actual bids and offers of the notes in an over-the-counter market on the last business day of the period. </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(3)</w:t>
      </w:r>
      <w:r>
        <w:rPr>
          <w:rFonts w:ascii="Times New Roman;sans-serif" w:hAnsi="Times New Roman;sans-serif"/>
          <w:b w:val="false"/>
          <w:color w:val="000000"/>
          <w:sz w:val="20"/>
        </w:rPr>
        <w:t>As of March 31, 2025 and June 30, 2024, debt issuance costs in the amount of $18.1 million and $14.8 million, respectively, was included within funding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shares of common stock reserved for issuance as follows:</w:t>
      </w:r>
    </w:p>
    <w:tbl>
      <w:tblPr>
        <w:tblW w:w="8663" w:type="dxa"/>
        <w:jc w:val="center"/>
        <w:tblInd w:w="0" w:type="dxa"/>
        <w:tblLayout w:type="fixed"/>
        <w:tblCellMar>
          <w:top w:w="28" w:type="dxa"/>
          <w:left w:w="28" w:type="dxa"/>
          <w:bottom w:w="28" w:type="dxa"/>
          <w:right w:w="28" w:type="dxa"/>
        </w:tblCellMar>
      </w:tblPr>
      <w:tblGrid>
        <w:gridCol w:w="1783"/>
        <w:gridCol w:w="1564"/>
        <w:gridCol w:w="1572"/>
        <w:gridCol w:w="109"/>
        <w:gridCol w:w="109"/>
        <w:gridCol w:w="109"/>
        <w:gridCol w:w="540"/>
        <w:gridCol w:w="541"/>
        <w:gridCol w:w="431"/>
        <w:gridCol w:w="109"/>
        <w:gridCol w:w="109"/>
        <w:gridCol w:w="109"/>
        <w:gridCol w:w="540"/>
        <w:gridCol w:w="541"/>
        <w:gridCol w:w="497"/>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outstanding under equity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42,923,080 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47,622,117 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future grant under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52,455,797 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43,492,755 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95,378,877 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91,114,872 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warrants are included as a component of additional paid in capital within the interim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we granted warrants to purchase 22,000,000 shares of common stock in connection with our commercial agreements with Amazon. 7,000,000 of the warrant shares have an exercise price of $0.01 per share and originally had a term of 3.5 years. A portion of these warrants were fully vested at the grant date and the remainder were fully vested as of December 31, 2024. As of March 31, 2025, 3,500,000 of these warrants have been exercised. In February 2025, the term for the remaining unexercised warrant shares were extended for an additional 4.0 years. The remaining 15,000,000 warrant shares have an exercise price of $100 per share and a term of 7.5 years. We valued the warrants at the grant date using the Black-Scholes-Merton option pricing model. Refer to Note 5. Balance Sheet Components for more information on the asset and related amortization during the period. The remaining grant-date fair value of the warrants will be recognized within our interim condensed consolidated statements of operations and comprehensive income (loss) as a component of sales and marketing expense as the warrants vest, based upon Amazon’s satisfaction of the vesting conditions.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March 31, 2025, a total of $41.2 million and $245.7 million, respectively, was recognized within sales and marketing expense, which included $5.1 million and $15.6 million, respectively, in amortization expense of the commercial agreement asset and $36.1 million and $230.1 million, respectively, in expense based upon the grant-date fair value of the warrant shares that vested. During the three and nine months ended March 31, 2024, a total of $102.9 million and $334.4 million, respectively, was recognized within sales and marketing expense, which included $6.9 million and $27.8 million, respectively, in amortization expense of the commercial agreement asset and $96.0 million and $306.6 million, respectively, in expense based upon the grant-date fair value of the warrant shares that vested.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offering of the 2029 Notes, in December 2024, the Board of Directors authorized the repurchase of up to $350.0 million of common stock through open market purchases, privately negotiated transactions or through a combination thereof. The authorization terminated on December 31, 2024 and did not obligate the Company to acquire any particular amount of its common stock. Pursuant to this authorization, we utilized net proceeds from the offering, as well as cash on hand, to complete the repurchase of 3.5 million shares of Class A common stock from certain holders of the 2026 notes in privately negotiated transactions for an aggregate purchase price of approximately $250.0 million. Refer to Note 8. Debt in the notes to the interim condensed consolidated financial statements for more information on the 2029 Notes.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share repurchases on the settlement date. Repurchased shares are subsequently retired and returned to the status of authorized but unissued. Our policy for share retirements is to deduct the par value from common stock and to reflect any excess of cost over par value as a deduction from additional paid-in capital.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share repurchases during the three or nine month periods ended March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Equity Incentive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2012 Stock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Amended and Restated 2012 Stock Plan (the “Plan”), we may grant incentive and nonqualified stock options, restricted stock, and restricted stock units (“RSUs”) to employees, officers, directors, and consultants. As of March 31, 2025, the maximum number of shares of common stock which may be issued under the Plan is 176,604,160 Class A shares. As of March 31, 2025 and June 30, 2024, there were 52,455,797 and 43,492,755 shares of Class A common stock, respectively, available for future grants under the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over a period of four years or with 25% vesting on the 12 month anniversary of the vesting commencement date, and the remainder vesting on a pro-rata basis each month over the next three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stock option activity for the nine months ended March 31, 2025:</w:t>
      </w:r>
    </w:p>
    <w:tbl>
      <w:tblPr>
        <w:tblW w:w="10205" w:type="dxa"/>
        <w:jc w:val="center"/>
        <w:tblInd w:w="0" w:type="dxa"/>
        <w:tblLayout w:type="fixed"/>
        <w:tblCellMar>
          <w:top w:w="28" w:type="dxa"/>
          <w:left w:w="28" w:type="dxa"/>
          <w:bottom w:w="28" w:type="dxa"/>
          <w:right w:w="28" w:type="dxa"/>
        </w:tblCellMar>
      </w:tblPr>
      <w:tblGrid>
        <w:gridCol w:w="1004"/>
        <w:gridCol w:w="698"/>
        <w:gridCol w:w="703"/>
        <w:gridCol w:w="109"/>
        <w:gridCol w:w="109"/>
        <w:gridCol w:w="109"/>
        <w:gridCol w:w="540"/>
        <w:gridCol w:w="541"/>
        <w:gridCol w:w="326"/>
        <w:gridCol w:w="109"/>
        <w:gridCol w:w="109"/>
        <w:gridCol w:w="109"/>
        <w:gridCol w:w="311"/>
        <w:gridCol w:w="909"/>
        <w:gridCol w:w="160"/>
        <w:gridCol w:w="109"/>
        <w:gridCol w:w="109"/>
        <w:gridCol w:w="109"/>
        <w:gridCol w:w="648"/>
        <w:gridCol w:w="648"/>
        <w:gridCol w:w="650"/>
        <w:gridCol w:w="109"/>
        <w:gridCol w:w="109"/>
        <w:gridCol w:w="109"/>
        <w:gridCol w:w="310"/>
        <w:gridCol w:w="1215"/>
        <w:gridCol w:w="234"/>
      </w:tblGrid>
      <w:tr>
        <w:trPr/>
        <w:tc>
          <w:tcPr>
            <w:tcW w:w="100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16,794,697 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677,433 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(4,230,110)</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13,210,001 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10,562,612 </w:t>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 and exercisable, and expected to vest thereafter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13,129,573 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358,087 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Options expected to vest reflect the application of an estimated forfeiture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options granted during the nine months ended March 31, 2025 was $31.74. As of March 31, 2025, unrecognized compensation expense related to unvested stock options was approximately $44.1 million, which is expected to be recognized over a remaining weighted-average period of 2.3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Value Creation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2020, the Company</w:t>
      </w:r>
      <w:r>
        <w:rPr>
          <w:color w:val="000000"/>
          <w:shd w:fill="FFFFFF" w:val="clear"/>
        </w:rPr>
        <w:t>’</w:t>
      </w:r>
      <w:r>
        <w:rPr>
          <w:rFonts w:ascii="Times New Roman;sans-serif" w:hAnsi="Times New Roman;sans-serif"/>
          <w:b w:val="false"/>
          <w:color w:val="000000"/>
          <w:sz w:val="20"/>
        </w:rPr>
        <w:t>s Board of Directors approved a long-term, multi-year performance-based stock option grant providing Mr. Levchin with the opportunity to earn the right to purchase up to 12,500,000 shares of the Company</w:t>
      </w:r>
      <w:r>
        <w:rPr>
          <w:color w:val="000000"/>
          <w:shd w:fill="FFFFFF" w:val="clear"/>
        </w:rPr>
        <w:t>’</w:t>
      </w:r>
      <w:r>
        <w:rPr>
          <w:rFonts w:ascii="Times New Roman;sans-serif" w:hAnsi="Times New Roman;sans-serif"/>
          <w:b w:val="false"/>
          <w:color w:val="000000"/>
          <w:sz w:val="20"/>
        </w:rPr>
        <w:t xml:space="preserve">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We incurred stock-based compensation expense of $6.4 million and $31.1 million during the three and nine months ended March 31, 2025, respectively, and $13.3 million and $52.4 million during the three and nine months ended March 31, 2024, respectively, associated with the Value Creation Award as a component of general and administrative expense within the interim condensed consolidated statements of operations and comprehensive income (loss).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unrecognized compensation expense related to the Value Creation Award was approximately $17.3 million, which is expected to be recognized over a remaining weighted-average period of 0.8 years.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RSU activity during the nine months ended March 31, 2025:</w:t>
      </w:r>
    </w:p>
    <w:tbl>
      <w:tblPr>
        <w:tblW w:w="8239" w:type="dxa"/>
        <w:jc w:val="center"/>
        <w:tblInd w:w="0" w:type="dxa"/>
        <w:tblLayout w:type="fixed"/>
        <w:tblCellMar>
          <w:top w:w="28" w:type="dxa"/>
          <w:left w:w="28" w:type="dxa"/>
          <w:bottom w:w="28" w:type="dxa"/>
          <w:right w:w="28" w:type="dxa"/>
        </w:tblCellMar>
      </w:tblPr>
      <w:tblGrid>
        <w:gridCol w:w="941"/>
        <w:gridCol w:w="824"/>
        <w:gridCol w:w="830"/>
        <w:gridCol w:w="109"/>
        <w:gridCol w:w="109"/>
        <w:gridCol w:w="109"/>
        <w:gridCol w:w="576"/>
        <w:gridCol w:w="579"/>
        <w:gridCol w:w="506"/>
        <w:gridCol w:w="109"/>
        <w:gridCol w:w="109"/>
        <w:gridCol w:w="109"/>
        <w:gridCol w:w="716"/>
        <w:gridCol w:w="2091"/>
        <w:gridCol w:w="522"/>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18,327,420 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11,688,123 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(11,166,064)</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(1,636,400)</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17,213,079 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unrecognized compensation expense related to unvested RSUs was approximately $485.4 million, which is expected to be recognized over a remaining weighted-average period of 1.7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16.1 million shares of Class A common stock are reserved and available for issuance under the ESPP and 1.9 million shares have been issued as of March 31, 2025.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(in thousands):</w:t>
      </w:r>
    </w:p>
    <w:tbl>
      <w:tblPr>
        <w:tblW w:w="10205" w:type="dxa"/>
        <w:jc w:val="center"/>
        <w:tblInd w:w="0" w:type="dxa"/>
        <w:tblLayout w:type="fixed"/>
        <w:tblCellMar>
          <w:top w:w="28" w:type="dxa"/>
          <w:left w:w="28" w:type="dxa"/>
          <w:bottom w:w="28" w:type="dxa"/>
          <w:right w:w="28" w:type="dxa"/>
        </w:tblCellMar>
      </w:tblPr>
      <w:tblGrid>
        <w:gridCol w:w="1547"/>
        <w:gridCol w:w="1358"/>
        <w:gridCol w:w="13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in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into property, equipment and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Restructuring and other</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committed to a restructuring plan (the “February 2023 Plan”) that included reducing our workforce and vacating a portion of our San Francisco office. The February 2023 Plan was completed during fiscal 2024, and we do not expect future costs or payments related to the plan.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no outstanding liability related to previously accrued exit and disposal costs. For the three and nine months ended March 31, 2024, exit and disposal costs were $5.2 million and $6.9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March 31, 2025, we recorded income tax expense (benefit) of $2.5 million and $6.9 million, respectively, which was primarily attributable to various U.S. state and foreign income taxes. For the three and nine months ended March 31, 2024, we recorded income tax expense (benefit) of $0.9 million and $1.2 million, respectively, which was primarily attributable to deferred taxes recognized by certain foreign subsidiaries, various U.S. state and other foreign income taxes, and the tax amortization of certain intangibles.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us for the prior three fiscal years. The presence of a three-year cumulative loss limits the ability to consider other subjective evidence, such as our expectations of future taxable income and projections for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Net Income (Loss) per Share Attributable to Common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basic and diluted net loss per share attributable to common stockholders for Class A and Class B common stock (in thousands, except share and per share data):</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395"/>
        <w:gridCol w:w="1195"/>
        <w:gridCol w:w="1208"/>
        <w:gridCol w:w="109"/>
        <w:gridCol w:w="109"/>
        <w:gridCol w:w="109"/>
        <w:gridCol w:w="302"/>
        <w:gridCol w:w="884"/>
        <w:gridCol w:w="124"/>
        <w:gridCol w:w="124"/>
        <w:gridCol w:w="124"/>
        <w:gridCol w:w="124"/>
        <w:gridCol w:w="315"/>
        <w:gridCol w:w="766"/>
        <w:gridCol w:w="124"/>
        <w:gridCol w:w="109"/>
        <w:gridCol w:w="109"/>
        <w:gridCol w:w="109"/>
        <w:gridCol w:w="264"/>
        <w:gridCol w:w="922"/>
        <w:gridCol w:w="109"/>
        <w:gridCol w:w="109"/>
        <w:gridCol w:w="109"/>
        <w:gridCol w:w="109"/>
        <w:gridCol w:w="270"/>
        <w:gridCol w:w="811"/>
        <w:gridCol w:w="163"/>
      </w:tblGrid>
      <w:tr>
        <w:trPr/>
        <w:tc>
          <w:tcPr>
            <w:tcW w:w="13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283,262,753 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40,791,214 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279,578,539 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41,926,610 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10,646,113 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including early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8,801,161 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creation award vested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303,433,118 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40,791,214 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279,578,539 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41,926,610 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5"/>
        <w:gridCol w:w="1226"/>
        <w:gridCol w:w="1240"/>
        <w:gridCol w:w="109"/>
        <w:gridCol w:w="109"/>
        <w:gridCol w:w="109"/>
        <w:gridCol w:w="237"/>
        <w:gridCol w:w="949"/>
        <w:gridCol w:w="109"/>
        <w:gridCol w:w="109"/>
        <w:gridCol w:w="109"/>
        <w:gridCol w:w="109"/>
        <w:gridCol w:w="240"/>
        <w:gridCol w:w="841"/>
        <w:gridCol w:w="109"/>
        <w:gridCol w:w="109"/>
        <w:gridCol w:w="109"/>
        <w:gridCol w:w="109"/>
        <w:gridCol w:w="237"/>
        <w:gridCol w:w="949"/>
        <w:gridCol w:w="109"/>
        <w:gridCol w:w="109"/>
        <w:gridCol w:w="109"/>
        <w:gridCol w:w="109"/>
        <w:gridCol w:w="240"/>
        <w:gridCol w:w="841"/>
        <w:gridCol w:w="155"/>
      </w:tblGrid>
      <w:tr>
        <w:trPr/>
        <w:tc>
          <w:tcPr>
            <w:tcW w:w="141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266,363,196 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253,437,891 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54,557,998 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266,363,196 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46,263,532 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253,437,891 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54,557,998 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common stock equivalents were excluded from the calculation of diluted net income (loss) per share attributable to common stockholders because their inclusion would have been anti-dilutive:</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05"/>
        <w:gridCol w:w="972"/>
        <w:gridCol w:w="978"/>
        <w:gridCol w:w="109"/>
        <w:gridCol w:w="109"/>
        <w:gridCol w:w="109"/>
        <w:gridCol w:w="677"/>
        <w:gridCol w:w="299"/>
        <w:gridCol w:w="224"/>
        <w:gridCol w:w="224"/>
        <w:gridCol w:w="224"/>
        <w:gridCol w:w="224"/>
        <w:gridCol w:w="750"/>
        <w:gridCol w:w="331"/>
        <w:gridCol w:w="224"/>
        <w:gridCol w:w="109"/>
        <w:gridCol w:w="109"/>
        <w:gridCol w:w="109"/>
        <w:gridCol w:w="750"/>
        <w:gridCol w:w="331"/>
        <w:gridCol w:w="213"/>
        <w:gridCol w:w="213"/>
        <w:gridCol w:w="213"/>
        <w:gridCol w:w="213"/>
        <w:gridCol w:w="750"/>
        <w:gridCol w:w="331"/>
        <w:gridCol w:w="305"/>
      </w:tblGrid>
      <w:tr>
        <w:trPr/>
        <w:tc>
          <w:tcPr>
            <w:tcW w:w="110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677,495 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17,660,162 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17,213,079 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17,660,162 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including early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953,308 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16,886,267 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13,210,001 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16,886,267 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6,753,922 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5,760,721 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6,753,922 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5,760,721 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creation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8,384,725 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40,521,514 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41,400,998 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40,521,514 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center"/>
        <w:rPr/>
      </w:pPr>
      <w:r>
        <w:rPr/>
      </w:r>
    </w:p>
    <w:p>
      <w:pPr>
        <w:pStyle w:val="TextBody"/>
        <w:bidi w:val="0"/>
        <w:spacing w:lineRule="auto" w:line="288" w:before="0" w:after="200"/>
        <w:ind w:left="0" w:right="0" w:firstLine="720"/>
        <w:jc w:val="left"/>
        <w:rPr/>
      </w:pPr>
      <w:r>
        <w:rPr>
          <w:rFonts w:ascii="Times New Roman;sans-serif" w:hAnsi="Times New Roman;sans-serif"/>
          <w:b w:val="false"/>
          <w:i/>
          <w:color w:val="000000"/>
          <w:sz w:val="20"/>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2024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responsibly and with confidence, easier for merchants and commerce platforms to convert sales and grow, and easier for commerce to thrive.</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consumer acquisition tools. Our solutions empower merchants to more efficiently promote and sell their products, optimize their consumer acquisition strategies, and drive incremental sales. We also provide valuable product-level data and insights — information that merchants cannot easily get elsewhere — to better inform their strategies. Finally, for consumers, our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a loan, manage payments, open a high-yield savings account, and access a personalized marketplace.</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1270" w:type="dxa"/>
        <w:jc w:val="left"/>
        <w:tblInd w:w="0" w:type="dxa"/>
        <w:tblLayout w:type="fixed"/>
        <w:tblCellMar>
          <w:top w:w="28" w:type="dxa"/>
          <w:left w:w="28" w:type="dxa"/>
          <w:bottom w:w="28" w:type="dxa"/>
          <w:right w:w="28" w:type="dxa"/>
        </w:tblCellMar>
      </w:tblPr>
      <w:tblGrid>
        <w:gridCol w:w="412"/>
        <w:gridCol w:w="244"/>
        <w:gridCol w:w="245"/>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218"/>
        <w:gridCol w:w="218"/>
        <w:gridCol w:w="286"/>
        <w:gridCol w:w="109"/>
        <w:gridCol w:w="109"/>
        <w:gridCol w:w="109"/>
        <w:gridCol w:w="196"/>
        <w:gridCol w:w="886"/>
        <w:gridCol w:w="109"/>
        <w:gridCol w:w="109"/>
        <w:gridCol w:w="109"/>
        <w:gridCol w:w="109"/>
        <w:gridCol w:w="196"/>
        <w:gridCol w:w="886"/>
        <w:gridCol w:w="109"/>
        <w:gridCol w:w="109"/>
        <w:gridCol w:w="109"/>
        <w:gridCol w:w="109"/>
        <w:gridCol w:w="196"/>
        <w:gridCol w:w="751"/>
        <w:gridCol w:w="109"/>
        <w:gridCol w:w="109"/>
        <w:gridCol w:w="109"/>
        <w:gridCol w:w="109"/>
        <w:gridCol w:w="210"/>
        <w:gridCol w:w="211"/>
        <w:gridCol w:w="331"/>
      </w:tblGrid>
      <w:tr>
        <w:trPr/>
        <w:tc>
          <w:tcPr>
            <w:tcW w:w="4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90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783,135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576,157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206,978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2,347,995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1,663,814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684,181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791,527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736,946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54,581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2,493,332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2,206,201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(160,789)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(145,337)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(542,387)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397,050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(133,046)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138,391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(471,388)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461,272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(133,936)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136,740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(102)</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(17,058)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(472,621)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455,563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Financial Model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Our Revenue Model</w:t>
      </w:r>
    </w:p>
    <w:p>
      <w:pPr>
        <w:pStyle w:val="TextBody"/>
        <w:bidi w:val="0"/>
        <w:spacing w:lineRule="auto" w:line="295" w:before="0" w:after="20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three main loan product offerings: Pay-in-X, 0% annual percentage rate (“APR”) monthly installment loans and interest-bearing monthly installment loans. Pay-in-X consists of short-term payment plans with one to four 0% APR installments.</w:t>
      </w:r>
    </w:p>
    <w:p>
      <w:pPr>
        <w:pStyle w:val="TextBody"/>
        <w:bidi w:val="0"/>
        <w:spacing w:lineRule="auto" w:line="295" w:before="0" w:after="200"/>
        <w:ind w:left="0" w:right="0" w:firstLine="720"/>
        <w:jc w:val="left"/>
        <w:rPr/>
      </w:pPr>
      <w:r>
        <w:rPr>
          <w:rFonts w:ascii="Times New Roman;sans-serif" w:hAnsi="Times New Roman;sans-serif"/>
          <w:b w:val="false"/>
          <w:color w:val="000000"/>
          <w:sz w:val="20"/>
          <w:shd w:fill="FFFFFF" w:val="clear"/>
        </w:rPr>
        <w:t>From merchants, we typically earn a fee when we help them convert a sale and facilitate a transaction. Merchant fees depend on the individual arrangement between us and each merchant and vary based on the terms of the product offering; we generally earn larger merchant fees on 0% APR financing products.</w:t>
      </w:r>
      <w:r>
        <w:rPr>
          <w:color w:val="000000"/>
        </w:rPr>
        <w:t xml:space="preserve"> </w:t>
      </w:r>
      <w:r>
        <w:rPr>
          <w:rFonts w:ascii="Times New Roman;sans-serif" w:hAnsi="Times New Roman;sans-serif"/>
          <w:b w:val="false"/>
          <w:color w:val="000000"/>
          <w:sz w:val="20"/>
        </w:rPr>
        <w:t xml:space="preserve">For the three and nine months ended March 31, 2025, Pay-in-X represented 15% and 14%, respectively, of total GMV facilitated through our platform while 0% APR installment loans represented 13% and 12%, respectively. For the three and nine months ended March 31, 2024, Pay-in-X represented 14% and 15%, respectively, of total GMV facilitated through our platform while 0% APR installment loans represented 13% and 11%, respectively.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 For the three and nine months ended March 31, 2025, interest bearing loans represented 72% and 74%, respectively, of total GMV facilitated through our platform. For both the three and nine months ended March 31, 2024, interest bearing loans represented 72% of total GMV facilitated through our platform</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accelerate our ubiquity, we facilitate the issuance of virtual cards directly to consumers through our app, allowing them to shop with merchants that may not yet be fully integrated with Affirm. Similarly, we also facilitate the issuance of the Affirm Card, a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Our Loan Origination and Servicing Model</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 </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pPr>
      <w:r>
        <w:rPr>
          <w:rFonts w:ascii="Times New Roman;sans-serif" w:hAnsi="Times New Roman;sans-serif"/>
          <w:b w:val="false"/>
          <w:color w:val="000000"/>
          <w:sz w:val="20"/>
          <w:shd w:fill="FFFFFF" w:val="clear"/>
        </w:rPr>
        <w:t xml:space="preserve">We are also able to originate loans directly under our lending, servicing, and brokering licenses in Canada, the U.K, and across several states in the U.S. through our </w:t>
      </w:r>
      <w:r>
        <w:rPr>
          <w:rFonts w:ascii="Times New Roman;sans-serif" w:hAnsi="Times New Roman;sans-serif"/>
          <w:b w:val="false"/>
          <w:color w:val="000000"/>
          <w:sz w:val="20"/>
        </w:rPr>
        <w:t xml:space="preserve">consolidated subsidiaries. For the three and nine months ended March 31, 2025, we directly originated approximately $1.5 billion, or 17%, and $4.5 billion, or 17%, respectively, of loans compared to approximately $1.1 billion, or 17%, and $3.3 billion, or 17%, for the same period in 2024.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act as the servicer on all loans that we originate directly or purchase from our originating bank partners and earn a servicing fee on loans held by third parties, including bank partners prior to loan purchase and third party loan buyers if subsequently sold as part of our funding strategy. In the normal course of business, we do not sell the servicing rights on any of the loans. To allow for flexible staffing to support overflow and seasonal traffic, we partner with several sub-servicers to manage consumer care, first priority collections, and third-party collections in accordance with our policies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Times New Roman;sans-serif" w:hAnsi="Times New Roman;sans-serif"/>
          <w:b/>
          <w:color w:val="000000"/>
          <w:sz w:val="20"/>
        </w:rPr>
      </w:pPr>
      <w:r>
        <w:rPr>
          <w:rFonts w:ascii="Times New Roman;sans-serif" w:hAnsi="Times New Roman;sans-serif"/>
          <w:b/>
          <w:color w:val="000000"/>
          <w:sz w:val="20"/>
        </w:rPr>
        <w:t xml:space="preserve">Factors Affecting Our Performance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2024, as updated from time to time in our filings with the SEC.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Expanding our Network, Diversity, and Mix of Funding Relationships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As of March 31, 2025 and June 30, 2024, our equity capital as a percentage of our total platform portfolio has remained relatively unchanged at 5%. The mix of on-balance sheet and off-balance sheet funding is a function of how we choose to allocate loan volume, which is determined by the economic arrangements and supply of capital available to us, both of which may also impact our results in any given period.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Mix of Business on Our Platform</w:t>
      </w:r>
    </w:p>
    <w:p>
      <w:pPr>
        <w:pStyle w:val="TextBody"/>
        <w:bidi w:val="0"/>
        <w:spacing w:lineRule="auto" w:line="295"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shifts in merchant volumes and products offered in any period affect our operating results. These shifts impact GMV, revenue, our financial results, and our key operating metric performance for that period. Differences in loan product mix result in varying loan durations, APR, and mix of 0% APR and interest-bearing financings.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and economic terms of commercial agreements vary among our merchants, which may impact our results. For example, our low average order value (“AOV”) products generally benefit from shorter duration,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commercial agreements with our platform partners, the expansion of our consumer eligibility criteria, along with the growing repeat usage of our Affirm Card offerings, are driving an increase in low AOV transactions. As a result, while we expect that transactions per active consumer may increase, revenue as a percentage of GMV may decline in the medium term to the extent that a greater portion of our GMV comes from Affirm Card and other low-AOV offerings.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 seasonal fluctuations in our business as a result of consumer spending patterns, including Affirm Card, which we expect to mimic the seasonality of our general business in the near term. Historically, our GMV has been the strongest during our fiscal second quarter due to increases in retail commerce during the holiday season and our loan delinquencies are at their lowest during our fiscal third and fourth quarter, as consumer savings benefit from tax refunds. Adverse events that occur during our second fiscal quarter could have a disproportionate effect on our financial results for the fiscal year.</w:t>
      </w:r>
    </w:p>
    <w:p>
      <w:pPr>
        <w:pStyle w:val="TextBody"/>
        <w:bidi w:val="0"/>
        <w:spacing w:lineRule="auto" w:line="295" w:before="0" w:after="200"/>
        <w:jc w:val="left"/>
        <w:rPr>
          <w:rFonts w:ascii="Times New Roman;sans-serif" w:hAnsi="Times New Roman;sans-serif"/>
          <w:b/>
          <w:i/>
          <w:color w:val="000000"/>
          <w:sz w:val="20"/>
        </w:rPr>
      </w:pPr>
      <w:r>
        <w:rPr>
          <w:rFonts w:ascii="Times New Roman;sans-serif" w:hAnsi="Times New Roman;sans-serif"/>
          <w:b/>
          <w:i/>
          <w:color w:val="000000"/>
          <w:sz w:val="20"/>
        </w:rPr>
        <w:t>Macroeconomic Environment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monitor the direct and indirect impacts of the current macroeconomic conditions on our business, financial condition, and results of operations. Starting in fiscal 2023, the macroeconomic environment began to present a number of challenges to our business. In response to continued inflationary pressure, the U.S. Federal Reserve rapidly raised the federal funds interest rate from March 2022 through July 2023. Despite the Federal Reserve’s decision to begin to decrease the federal funds interest rate in September 2024, uncertainty remains as to whether and to what extent the federal funds interest rate will remain at current levels, increase or decrease in future periods. Simultaneously, economic uncertainty, including the prospect of economic recession and the magnitude, duration and impact of tariffs on global trade, has impacted and may continue to impact consumer spending. These challenges have affected, and may continue to affect, our business and results of operations in the following ways:</w: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Shifts in consumer demand:</w:t>
      </w:r>
      <w:r>
        <w:rPr>
          <w:color w:val="000000"/>
        </w:rPr>
        <w:t xml:space="preserve"> </w:t>
      </w:r>
      <w:r>
        <w:rPr>
          <w:rFonts w:ascii="Times New Roman;sans-serif" w:hAnsi="Times New Roman;sans-serif"/>
          <w:b w:val="false"/>
          <w:color w:val="000000"/>
          <w:sz w:val="20"/>
        </w:rPr>
        <w:t>Over the past two fiscal years, we have experienced varying levels of consumer demand across different categories of merchandise. This is due to economic uncertainty, recessionary concerns, inflationary pressures and elevated interest rates. If macroeconomic conditions deteriorate in future periods, consumer demand may be negatively impacted.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Increased borrowing costs:</w:t>
      </w:r>
      <w:r>
        <w:rPr>
          <w:color w:val="000000"/>
        </w:rPr>
        <w:t xml:space="preserve"> </w:t>
      </w:r>
      <w:r>
        <w:rPr>
          <w:rFonts w:ascii="Times New Roman;sans-serif" w:hAnsi="Times New Roman;sans-serif"/>
          <w:b w:val="false"/>
          <w:color w:val="000000"/>
          <w:sz w:val="20"/>
        </w:rPr>
        <w:t>The Federal Reserve began decreasing the federal funds interest rate in late 2024, leading to a decline in our average funding costs. Despite this, the overall interest rate environment remains elevated compared to historical levels, and there is continued uncertainty as to whether and to what extent the Federal Reserve may decrease the federal funds rate further in the future. As a result, we may continue to experience higher transaction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Volatile capital markets:</w:t>
      </w:r>
      <w:r>
        <w:rPr>
          <w:color w:val="000000"/>
        </w:rPr>
        <w:t xml:space="preserve"> </w:t>
      </w:r>
      <w:r>
        <w:rPr>
          <w:rFonts w:ascii="Times New Roman;sans-serif" w:hAnsi="Times New Roman;sans-serif"/>
          <w:b w:val="false"/>
          <w:color w:val="000000"/>
          <w:sz w:val="20"/>
        </w:rPr>
        <w:t>Since fiscal 2024, capital markets have shown improvement against recent periods, which has been evidenced by substantial additions across our funding channels due to our strong loan performance. However, despite these improvements, uncertainties remain in the macroeconomic environment, especially with regard to inflation, the prospect of recession, the magnitude, duration and impact of tariffs on global trade, and the potential for increased unemployment. To address these uncertainties, we leverage our diverse funding channels and counterparties, which contribute to our resilience across various macroeconomic conditions and economic cycles.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Consumer Credit Optimization and Loan Performance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optimize our underwriting and take other actions to manage consumer loan repayment, increase collections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which may not exceed twenty-four months.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loan modification programs also impact our delinquency rates, and such impact can vary over time. As disclosed in Note 4. Loans Held for Investment and Allowance for Credit Losses in the notes to the interim condensed consolidated financial statements, in fiscal 2024, we expanded the eligibility of our loan modification programs, which resulted in a modest benefit to delinquency rates for loans held for investment during that period. The volume of loan modifications during the fiscal quarter ended March 31, 2025 decreased compared to the same period in 2024. Loans modified during the three and twelve months ended March 31, 2025, represent 0.09% and 0.21%, respectively, of the outstanding principal balance of loans held on our balance sheet. Our reported delinquency and charge off rates include loans which have become past due or have charged off subsequent to modification. An unknown percentage of loans which have been modified and are current as of March 31, 2025 may become delinquent or charge off in the future. We continue to evaluate the effectiveness of these programs and may modify, expand, or contract their usage, which may affect the timing of reported delinquencies and charge offs in future periods.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Developments</w:t>
      </w:r>
    </w:p>
    <w:p>
      <w:pPr>
        <w:pStyle w:val="TextBody"/>
        <w:bidi w:val="0"/>
        <w:spacing w:before="0" w:after="0"/>
        <w:jc w:val="left"/>
        <w:rPr/>
      </w:pPr>
      <w:r>
        <w:rPr/>
      </w:r>
    </w:p>
    <w:p>
      <w:pPr>
        <w:pStyle w:val="TextBody"/>
        <w:bidi w:val="0"/>
        <w:spacing w:lineRule="auto" w:line="26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are supervised by the CFPB, which enables it, among other things, to conduct comprehensive and rigorous examinations to assess our compliance with consumer financial protection laws, which in turn could result in matters requiring attention, enforcement investigations and actions, regulatory fines and mandated changes to our business products, policies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Operating Metrics </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focus on several key operating metrics to measure the performance of our business and help determine our strategic direction. In addition to revenue, net income (loss), and other results under U.S. GAAP, the following tables set forth key operating metrics we use to evaluate our business.</w:t>
      </w:r>
    </w:p>
    <w:tbl>
      <w:tblPr>
        <w:tblW w:w="7554" w:type="dxa"/>
        <w:jc w:val="left"/>
        <w:tblInd w:w="0" w:type="dxa"/>
        <w:tblLayout w:type="fixed"/>
        <w:tblCellMar>
          <w:top w:w="28" w:type="dxa"/>
          <w:left w:w="28" w:type="dxa"/>
          <w:bottom w:w="28" w:type="dxa"/>
          <w:right w:w="28" w:type="dxa"/>
        </w:tblCellMar>
      </w:tblPr>
      <w:tblGrid>
        <w:gridCol w:w="207"/>
        <w:gridCol w:w="181"/>
        <w:gridCol w:w="183"/>
        <w:gridCol w:w="109"/>
        <w:gridCol w:w="109"/>
        <w:gridCol w:w="109"/>
        <w:gridCol w:w="211"/>
        <w:gridCol w:w="406"/>
        <w:gridCol w:w="109"/>
        <w:gridCol w:w="109"/>
        <w:gridCol w:w="109"/>
        <w:gridCol w:w="109"/>
        <w:gridCol w:w="211"/>
        <w:gridCol w:w="406"/>
        <w:gridCol w:w="109"/>
        <w:gridCol w:w="109"/>
        <w:gridCol w:w="109"/>
        <w:gridCol w:w="109"/>
        <w:gridCol w:w="207"/>
        <w:gridCol w:w="207"/>
        <w:gridCol w:w="517"/>
        <w:gridCol w:w="109"/>
        <w:gridCol w:w="109"/>
        <w:gridCol w:w="109"/>
        <w:gridCol w:w="211"/>
        <w:gridCol w:w="511"/>
        <w:gridCol w:w="109"/>
        <w:gridCol w:w="109"/>
        <w:gridCol w:w="109"/>
        <w:gridCol w:w="109"/>
        <w:gridCol w:w="211"/>
        <w:gridCol w:w="511"/>
        <w:gridCol w:w="109"/>
        <w:gridCol w:w="109"/>
        <w:gridCol w:w="109"/>
        <w:gridCol w:w="109"/>
        <w:gridCol w:w="199"/>
        <w:gridCol w:w="199"/>
        <w:gridCol w:w="578"/>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billions)</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GMV</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March 31, 2025, GMV was $8.6 billion and $26.3 billion, respectively, which represented an increase of approximately 36%, as compared to the same periods in 2024. The increase in GMV was driven by growth in several key areas including our top five merchants and platform partners, our direct to consumer products, such as Affirm Card, and overall increases in our active merchant base, active consumers and average transactions per consumer.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March 31, 2025, GMV growth was diversified across categories and loan products, primarily driven by our general merchandise and electronics categories as well as our 0% APR installment loans. General merchandise grew 38% and 41% and electronics grew 34% and 34% for the three and nine months ended March 31, 2025, respectively. GMV across our travel and ticketing, equipment and auto, and other categories grew more than 20% year over year. Additionally, GMV growth from 0% APR installment loans was 44% and 52% during the three and nine months ended March 31, 2025, respectively, when compared to the same periods in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31, 2025, our top five merchants and platform partners represented approximately 45% and 48%, respectively, of total GMV, as compared to 42% and 45%, respectively, for the three and nine months ended March 31, 2024. GMV attributable to Amazon during the three and nine months ended March 31, 2025 represented 21% and 23%, respectively, of total GMV. GMV attributable to Amazon during both the three and nine months ended March 31, 2024 represented 20% of total GMV. </w:t>
      </w:r>
    </w:p>
    <w:p>
      <w:pPr>
        <w:pStyle w:val="TextBody"/>
        <w:bidi w:val="0"/>
        <w:spacing w:before="0" w:after="120"/>
        <w:ind w:left="0" w:right="0" w:firstLine="720"/>
        <w:jc w:val="left"/>
        <w:rPr/>
      </w:pPr>
      <w:r>
        <w:rPr/>
      </w:r>
    </w:p>
    <w:tbl>
      <w:tblPr>
        <w:tblW w:w="7355" w:type="dxa"/>
        <w:jc w:val="left"/>
        <w:tblInd w:w="0" w:type="dxa"/>
        <w:tblLayout w:type="fixed"/>
        <w:tblCellMar>
          <w:top w:w="28" w:type="dxa"/>
          <w:left w:w="28" w:type="dxa"/>
          <w:bottom w:w="28" w:type="dxa"/>
          <w:right w:w="28" w:type="dxa"/>
        </w:tblCellMar>
      </w:tblPr>
      <w:tblGrid>
        <w:gridCol w:w="1020"/>
        <w:gridCol w:w="898"/>
        <w:gridCol w:w="902"/>
        <w:gridCol w:w="109"/>
        <w:gridCol w:w="109"/>
        <w:gridCol w:w="109"/>
        <w:gridCol w:w="429"/>
        <w:gridCol w:w="429"/>
        <w:gridCol w:w="431"/>
        <w:gridCol w:w="109"/>
        <w:gridCol w:w="109"/>
        <w:gridCol w:w="109"/>
        <w:gridCol w:w="429"/>
        <w:gridCol w:w="429"/>
        <w:gridCol w:w="431"/>
        <w:gridCol w:w="109"/>
        <w:gridCol w:w="109"/>
        <w:gridCol w:w="109"/>
        <w:gridCol w:w="199"/>
        <w:gridCol w:w="199"/>
        <w:gridCol w:w="578"/>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consumer data)</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Active consumers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18,134 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per active 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Active Consumers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approximately 21.9 million active consumers, which represented an increase of 21% compared to approximately 18.1 million active consumers as of March 31, 2024. The increase was primarily due to a high retention rate of existing consumers, as well as continued adoption of the Affirm Card, and the acquisition of new consumers through an expansion in active merchants and platform partnerships.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Transactions per Active Consumer</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approximately 5.6 transactions per active consumer, an increase of 20% compared to March 31, 2024. The increase was primarily due to platform growth, a higher frequency of repeat users driven by consumer engagement, and growth of Affirm Card active consumers. As of March 31, 2025, Affirm Card represented approximately 10% of the total number of transactions compared to approximately 6% as of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interim condensed consolidated statements of operations and comprehensive income (loss) data for each of the periods presented:</w:t>
      </w:r>
    </w:p>
    <w:tbl>
      <w:tblPr>
        <w:tblW w:w="11210" w:type="dxa"/>
        <w:jc w:val="left"/>
        <w:tblInd w:w="0" w:type="dxa"/>
        <w:tblLayout w:type="fixed"/>
        <w:tblCellMar>
          <w:top w:w="28" w:type="dxa"/>
          <w:left w:w="28" w:type="dxa"/>
          <w:bottom w:w="28" w:type="dxa"/>
          <w:right w:w="28" w:type="dxa"/>
        </w:tblCellMar>
      </w:tblPr>
      <w:tblGrid>
        <w:gridCol w:w="603"/>
        <w:gridCol w:w="252"/>
        <w:gridCol w:w="256"/>
        <w:gridCol w:w="196"/>
        <w:gridCol w:w="736"/>
        <w:gridCol w:w="109"/>
        <w:gridCol w:w="109"/>
        <w:gridCol w:w="109"/>
        <w:gridCol w:w="109"/>
        <w:gridCol w:w="196"/>
        <w:gridCol w:w="751"/>
        <w:gridCol w:w="109"/>
        <w:gridCol w:w="109"/>
        <w:gridCol w:w="109"/>
        <w:gridCol w:w="109"/>
        <w:gridCol w:w="196"/>
        <w:gridCol w:w="751"/>
        <w:gridCol w:w="109"/>
        <w:gridCol w:w="109"/>
        <w:gridCol w:w="109"/>
        <w:gridCol w:w="109"/>
        <w:gridCol w:w="216"/>
        <w:gridCol w:w="220"/>
        <w:gridCol w:w="286"/>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216"/>
        <w:gridCol w:w="220"/>
        <w:gridCol w:w="331"/>
      </w:tblGrid>
      <w:tr>
        <w:trPr/>
        <w:tc>
          <w:tcPr>
            <w:tcW w:w="6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11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Merchant network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Card network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network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income </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Gain on sales of loans </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783,135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576,157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206,978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2,347,995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1,663,814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684,181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Operating expenses </w:t>
            </w:r>
            <w:r>
              <w:rPr>
                <w:rFonts w:ascii="Times New Roman;sans-serif" w:hAnsi="Times New Roman;sans-serif"/>
                <w:b/>
                <w:color w:val="000000"/>
                <w:sz w:val="12"/>
              </w:rPr>
              <w:t>(2)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loan purchase commitment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Processing and servicing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data analytics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791,527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736,946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54,581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2,493,332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2,206,201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(160,789)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(145,337)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(542,387)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397,050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(133,046)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138,391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(471,388)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461,272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(133,936)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136,740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(102)</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(17,058)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(472,621)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455,563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80"/>
        <w:gridCol w:w="1454"/>
        <w:gridCol w:w="146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8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59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59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from loans purchased or originated, net of refunds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released on loans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Amounts include stock-based compensation as follows:</w:t>
      </w:r>
    </w:p>
    <w:tbl>
      <w:tblPr>
        <w:tblW w:w="10170" w:type="dxa"/>
        <w:jc w:val="left"/>
        <w:tblInd w:w="0" w:type="dxa"/>
        <w:tblLayout w:type="fixed"/>
        <w:tblCellMar>
          <w:top w:w="28" w:type="dxa"/>
          <w:left w:w="28" w:type="dxa"/>
          <w:bottom w:w="28" w:type="dxa"/>
          <w:right w:w="28" w:type="dxa"/>
        </w:tblCellMar>
      </w:tblPr>
      <w:tblGrid>
        <w:gridCol w:w="1653"/>
        <w:gridCol w:w="1451"/>
        <w:gridCol w:w="14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in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into property, equipment and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and Nine Months Ended March 31, 2025 and 2024</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Merchant network revenue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Merchant network revenue increased by $54.7 million, or 34%, and $149.6 million, or 30%, for the three and nine months ended March 31, 2025, respectively, compared to the same periods in 2024. The increase is primarily attributed to an increase of $2.3 billion, or 36%, and $6.9 billion, or 36%, in GMV for the three and nine months ended March 31, 2025, respectively, compared to the same periods in 2024. The increase in GMV is a result of continued growth at our top five merchants and platform partners representing approximately 45% and 48% for the three and nine months ended March 31, 2025, respectively, compared to 42% and 45% for the three and nine months ended March 31, 2024, respectively. Our active merchant base and the number of active consumers also grew, reaching approximately 358 thousand and 21.9 million, respectively, as of March 31, 2025, up from approximately 292 thousand and 18.1 million, respectively, as of March 31, 2024.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frequency and mix of transactions, the transactions per active consumer increased from 4.6 as of March 31, 2024 to 5.6 as of March 31, 2025. The increase in active consumers and transactions per active consumer is partially offset by a decrease in AOV. For both the three and nine months ended March 31, 2025, AOV was $273, down from $293 and $292 for the same period in 2024. The decrease in AOV is driven by the diversification of our merchant base, with accelerated growth in some of our largest interest bearing merchant programs, and our ongoing initiative to drive repeat usage of our platform beyond one-time high AOV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Card network revenue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Card network revenue increased by $22.9 million, or 64%, and $55.8 million, or 51%, for the three and nine months ended March 31, 2025, respectively, compared to the same periods in 2024. Card network revenue growth is correlated with the growth of GMV processed by our card-issuing partners. As such, the increase is primarily driven by $2.9 billion and $8.4 billion of GMV processed through our card-issuing partners, an increase of 44% and 42% for the three and nine months ended March 31, 2025, respectively, as compared to the same periods in 2024. This was driven by increased card activity primarily through our single use virtual cards and Affirm Card, as well as growth in existing and new merchants utilizing our agreement with card-issuing partners as a means of integrating Affirm services, which grew from approximately 1,700 merchants as of March 31, 2024 to 35,000 merchants as of March 31, 2025. Card network revenue is also impacted by the mix of merchants as different merchants can have different interchange rates depending on their industry or size, among other factors.</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w:t>
      </w:r>
    </w:p>
    <w:p>
      <w:pPr>
        <w:pStyle w:val="TextBody"/>
        <w:bidi w:val="0"/>
        <w:spacing w:lineRule="auto" w:line="288" w:before="0" w:after="200"/>
        <w:ind w:left="0" w:right="0" w:firstLine="720"/>
        <w:jc w:val="left"/>
        <w:rPr/>
      </w:pPr>
      <w:r>
        <w:rPr>
          <w:rFonts w:ascii="Times New Roman;sans-serif" w:hAnsi="Times New Roman;sans-serif"/>
          <w:b w:val="false"/>
          <w:color w:val="000000"/>
          <w:sz w:val="20"/>
        </w:rPr>
        <w:t>Interest income</w:t>
      </w:r>
      <w:r>
        <w:rPr>
          <w:color w:val="000000"/>
        </w:rPr>
        <w:t xml:space="preserve"> </w:t>
      </w:r>
      <w:r>
        <w:rPr>
          <w:rFonts w:ascii="Times New Roman;sans-serif" w:hAnsi="Times New Roman;sans-serif"/>
          <w:b w:val="false"/>
          <w:color w:val="000000"/>
          <w:sz w:val="20"/>
        </w:rPr>
        <w:t xml:space="preserve">increased by $87.0 million, or 28%, and $322.4 million, or 37%, for the three and nine months ended March 31, 2025, respectively, compared to the same periods in 2024. Generally, interest income is correlated with the changes in the average balance of loans held for investment, which increased by 25% to $6.7 billion and 29% to $6.4 billion for the three and nine months ended March 31, 2025, respectively, compared to the same periods in 2024. As a result, interest income from interest-bearing loans increased by $96.1 million, or 35%, and $334.8 million, or 45%, for the three and nine months ended March 31, 2025, respectively, compared to the same periods in 2024.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Gain on sales of loans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sales of loans increased by $35.7 million, or 89%, and $137.6 million, or 108%, for the three and nine months ended March 31, 2025, respectively, compared to the same periods in 2024. The increase is driven by higher loan sale volume to third-party loan buyers and favorable transaction economics which are impacted by the composition of our loan portfolio sold and other market factors. We sold loans with an unpaid principal balance of $3.6 billion and $11.0 billion for the three and nine months ended March 31, 2025, respectively, compared to $2.1 billion and $7.3 billion for the same period in 2024.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Servicing income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in the notes to the interim condensed consolidated financial statements.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income increased by $6.8 million, or 27%, and $18.8 million, or 28%, for the three and nine months ended March 31, 2025, respectively, compared to the same periods in 2024. The increase is primarily due to an increase in net servicing fee revenue which is calculated as a percentage of the unpaid principal balance of off-balance sheet loans. The average unpaid principal balance of off-balance sheet loans increased from $5.1 billion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$4.7 billion during the three and nine months ended March 31, 2024, respectively, to $7.1 billion and $6.3 billion, respectively, during the same period in 2025, an increase of 40% and 32%, respectively.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loan purchase commitment</w:t>
      </w:r>
    </w:p>
    <w:p>
      <w:pPr>
        <w:pStyle w:val="TextBody"/>
        <w:bidi w:val="0"/>
        <w:spacing w:lineRule="auto" w:line="295"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income (loss). These costs are incurred on a per loan basis.</w:t>
      </w:r>
    </w:p>
    <w:p>
      <w:pPr>
        <w:pStyle w:val="TextBody"/>
        <w:bidi w:val="0"/>
        <w:spacing w:lineRule="auto" w:line="295"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Loss on loan purchase commitment increased by $13.1 million, or 30%, and $49.2 million, or 37%, for the three and nine months ended March 31, 2025, respectively, compared to the same periods in 2024, primarily due to an increase in total volume of loans purchased. During the three and nine months ended March 31, 2025, we purchased $7.1 billion and $21.6 billion, respectively, of loans from our originating bank partners, compared to $5.1 billion and $15.6 billion, respectively, in the same period in 2024, representing an increase of 38% for both periods, respectively. Of the total loans purchased during the three and nine months ended March 31, 2025, $337.1 million and $1.1 billion represented 0% APR installment loans, respectively, an increase of 46% and 57%, compared to the same periods in 2024.</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increased by $24.8 million, or 20%, and $117.0 million, or 34%, for the three and nine months ended March 31, 2025, respectively, compared to the same periods in 2024, primarily driven by growth in the volume of loans held for investment. For the three and nine months ended March 31, 2025 and March 31, 2024, the average balance of loans held for investment was $6.7 billion, an increase of $1.4 billion, or 25%, and $6.4 billion, an increase of $1.4 billion, or 29%, respectively, as compared to the same periods in 2024. The allowance for credit losses as a percentage of loans held for investment was 5.7% as of March 31, 2025, 5.5% as of June 30, 2024, and 5.3% as of March 31, 2024. The increase in the allowance rate from March 31, 2024 is primarily driven by adjustments in our credit criteria in light of increasing interest income generated by our loans and changes in the loan mix.</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costs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 </w:t>
      </w:r>
    </w:p>
    <w:p>
      <w:pPr>
        <w:pStyle w:val="TextBody"/>
        <w:bidi w:val="0"/>
        <w:spacing w:lineRule="auto" w:line="288" w:before="0" w:after="200"/>
        <w:ind w:left="0" w:right="0" w:firstLine="720"/>
        <w:jc w:val="left"/>
        <w:rPr/>
      </w:pPr>
      <w:r>
        <w:rPr>
          <w:rFonts w:ascii="Times New Roman;sans-serif" w:hAnsi="Times New Roman;sans-serif"/>
          <w:b w:val="false"/>
          <w:color w:val="000000"/>
          <w:sz w:val="20"/>
        </w:rPr>
        <w:t>Funding costs increased by $17.2 million, or 19%, and $70.5 million, or 28%, for the three and nine months ended March 31, 2025, respectively, compared to the same periods in 2024. The increase is primarily due to an increase of funding debt and notes issued by securitization trusts</w:t>
      </w:r>
      <w:r>
        <w:rPr>
          <w:color w:val="000000"/>
        </w:rPr>
        <w:t xml:space="preserve"> </w:t>
      </w:r>
      <w:r>
        <w:rPr>
          <w:rFonts w:ascii="Times New Roman;sans-serif" w:hAnsi="Times New Roman;sans-serif"/>
          <w:b w:val="false"/>
          <w:color w:val="000000"/>
          <w:sz w:val="20"/>
        </w:rPr>
        <w:t xml:space="preserve">during the three and nine months ended March 31, 2025. The average total of funding debt from warehouses and securitizations for the three and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 was $6.1 billion and $5.7 billion, respectively, compared to $4.8 billion and $4.4 billion, respectively, during the same period in 2024, an increase of $1.3 billion, or 28%, and $1.4 billion, or 31%, respectively. The increase was also attributable to a larger volume of on-balance sheet loans being retained during the period. The average on-balance sheet loan balance was $6.7 billion and $6.4 billion for the three and nine months ended March 31, 2025, respectively, an increase of 25% and 29% compared to $5.4 billion and $4.9 billion during the same period in 2024, respectively.</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Processing and servicing</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 expense consists primarily of payment processing fees, third-party customer support and collection expense, salaries and personnel-related costs of our customer care team, platform fees, and allocated overhead.</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 expense increased by $30.2 million, or 34%, and $75.4 million, or 30%, for the three and nine months ended March 31, 2025, respectively, compared to the same periods in 2024. This increase is driven primarily by an increase in payment processing fees of $16.9 million, or 32%, and $49.3 million, or 35%, related to increased payment volume for the three and nine months ended March 31, 2025, respectively. During the three and nine months ended March 31, 2025, our platform fees increased by $5.2 million, or 28%, and $20.1 million, or 35%, respectively, due to an increase in volume with a large enterprise partner. Additionally, our customer service and collection costs increased by $5.4 million, or 44%, and $13.0 million, or 36%, for the three and nine months ended March 31, 2025, respectively, compared to the same periods in 2024. This is driven by growth in our overall loan portfolio, including both loans held for investment and loans serviced for third parties, due to the increase in the number of consumer transactions. The number of consumer transactions increased by 46% during the three and nine months ended March 31, 2025, from continued growth at our merchants and platform partners.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and data analytics</w:t>
      </w:r>
    </w:p>
    <w:p>
      <w:pPr>
        <w:pStyle w:val="TextBody"/>
        <w:bidi w:val="0"/>
        <w:spacing w:lineRule="auto" w:line="288" w:before="12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pStyle w:val="TextBody"/>
        <w:bidi w:val="0"/>
        <w:spacing w:lineRule="auto" w:line="288" w:before="120" w:after="200"/>
        <w:ind w:left="0" w:right="0" w:firstLine="720"/>
        <w:jc w:val="left"/>
        <w:rPr/>
      </w:pPr>
      <w:r>
        <w:rPr>
          <w:rFonts w:ascii="Times New Roman;sans-serif" w:hAnsi="Times New Roman;sans-serif"/>
          <w:b w:val="false"/>
          <w:color w:val="000000"/>
          <w:sz w:val="20"/>
        </w:rPr>
        <w:t>Technology and data analytics expense</w:t>
      </w:r>
      <w:r>
        <w:rPr>
          <w:color w:val="000000"/>
        </w:rPr>
        <w:t xml:space="preserve"> </w:t>
      </w:r>
      <w:r>
        <w:rPr>
          <w:rFonts w:ascii="Times New Roman;sans-serif" w:hAnsi="Times New Roman;sans-serif"/>
          <w:b w:val="false"/>
          <w:color w:val="000000"/>
          <w:sz w:val="20"/>
        </w:rPr>
        <w:t>increased by $27.8 million, or 22%, and $57.5 million, or 15%, for the three and nine months ended March 31, 2025, respectively, compared to the same periods in 2024. The increase is primarily driven by amortization of internally-developed software which increased by $14.9 million, or 35%, and $43.9 million, or 39%, for the three and nine months ended March 31, 2025, respectively, compared to the same periods in 2024, as a result of an increase in the number of capitalized projects. Capitalized projects in service grew by 88% from approximately 760 projects as of March 31, 2024 to 1,430 projects as of March 31, 2025. Data infrastructure and hosting costs increased by $7.4 million, or 36%, and $14.2 million, or 22%, for the three and nine months ended March 31, 2025, respectively, compared to the same periods in 2024. The increase in data infrastructure and hosting costs was primarily driven by an increase in the number of consumer transactions. During the three and nine months ended March 31, 2025, the number of consumer transactions increased by 46% from continued growth at our merchants and platform partners. Stock-based compensation and payroll and personnel-related costs increased by $3.9 million, or 8%, for the three months ended March 31, 2025, compared to the same period in 2024, primarily due to an increase in headcount. For the nine</w:t>
      </w:r>
      <w:r>
        <w:rPr>
          <w:color w:val="EE2724"/>
        </w:rPr>
        <w:t xml:space="preserve"> </w:t>
      </w:r>
      <w:r>
        <w:rPr>
          <w:rFonts w:ascii="Times New Roman;sans-serif" w:hAnsi="Times New Roman;sans-serif"/>
          <w:b w:val="false"/>
          <w:color w:val="000000"/>
          <w:sz w:val="20"/>
        </w:rPr>
        <w:t>months ended March 31, 2025, the increases were partially offset by a decrease of $4.2 million, or 2%, in stock-based compensation and payroll and personnel-related costs, compared to the same period in 2024, primarily due to higher capitalized compensation costs related to internally-developed software.</w:t>
      </w:r>
    </w:p>
    <w:p>
      <w:pPr>
        <w:pStyle w:val="TextBody"/>
        <w:bidi w:val="0"/>
        <w:spacing w:lineRule="auto" w:line="288" w:before="12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consist of the expense related to warrants and other share-based payments granted to our enterprise partners, salaries and personnel-related costs, costs of marketing and promotional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by $58.9 million, or 44%, and $85.8 million, or 19% during the three and nine months ended March 31, 2025, respectively, compared to the same periods in 2024. The decrease was primarily driven by a $59.9 million, or 62%, and $76.5 million, or 25%, decrease in Amazon warrant expense during the three and nine months ended March 31, 2025, respectively, compared to the same periods in 2024, primarily due to a portion of the warrants becoming fully vested as of December 2024. Additionally, amortization expense related to the Amazon commercial agreement decreased by $1.8 million, or 26%, and $12.2 million, or 44%, during the three and nine months ended March 31, 2025, respectively, compared to the same periods in 2024, primarily due to the renewal of the commercial partnership agreement in February 2024, which extended the amortization period of the commercial agreement asset,</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$5.6 million, or 4%, and $10.4 million, or 3%, during the three and nine months ended March 31, 2025, respectively, compared to the same periods in 2024. The increase is primarily due to increases in payroll and personnel costs, employee benefit expenses, professional services, related to consulting and legal fees, as well as, software and subscriptions.</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includes interest earned on our money market funds included in cash and cash equivalents and restricted cash, interest earned on securities available for sale, impairment or other adjustments to 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pStyle w:val="TextBody"/>
        <w:bidi w:val="0"/>
        <w:spacing w:lineRule="auto" w:line="26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decreased by $14.0 million, or 50%, during the three months ended March 31, 2025, compared to the same period in 2024. The decrease for the three months ended March 31, 2025, was primarily driven by a $6.8 million, or 146%, adjustment to the fair value of our derivative instruments not designated as hedges. We recognized a gain of $5.4 million on the early extinguishment of convertible debt during the three months ended March 31, 2024, compared to no activity during the three months ended March 31, 2025. Additionally, during the three months ended March 31, 2025, interest income on our marketable securities decreased by $5.0 million, or 22%, compared to the same period in 2024. </w:t>
      </w:r>
    </w:p>
    <w:p>
      <w:pPr>
        <w:pStyle w:val="TextBody"/>
        <w:bidi w:val="0"/>
        <w:spacing w:lineRule="auto" w:line="26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increased by $64.2 million, or 90%, during the nine months ended March 31, 2025, compared to the same period in 2024. The increase for the nine months ended March 31, 2025, was primarily driven by a $77.1 million gain on the early extinguishment of convertible debt compared to gain of $5.4 million during the nine months ended March 31, 2024. The increase, is partially offset by a decrease of $6.3 million, or 216%, adjustment to the fair value of our derivative instruments not designated as hedges. Additionally, the increase is partially offset by a decrease of $7.1 million, or 67%, in other non-operating income related to the wind-down of the Returnly business and our partnership with a third-party return provider during the nine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committed and long-term relationships with a diverse group of existing funding partners help provide flexibility as we optimize our funding to support the growth in loan volume.</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cash and cash equivalents, available for sale securities, available capacity from warehouse and revolving credit facilities, securitization trusts, forward flow loan sale arrangements, and certain cash flows from our operations. As of March 31, 2025, we had $2.1 billion in cash and cash equivalents and available for sale securities, $4.4 billion in available funding debt capacity, excluding our purchase commitments from third party loan buyers, and $330.0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cash equivalents and investments in debt securities (in thousands):</w:t>
      </w:r>
    </w:p>
    <w:tbl>
      <w:tblPr>
        <w:tblW w:w="8135" w:type="dxa"/>
        <w:jc w:val="left"/>
        <w:tblInd w:w="0" w:type="dxa"/>
        <w:tblLayout w:type="fixed"/>
        <w:tblCellMar>
          <w:top w:w="28" w:type="dxa"/>
          <w:left w:w="28" w:type="dxa"/>
          <w:bottom w:w="28" w:type="dxa"/>
          <w:right w:w="28" w:type="dxa"/>
        </w:tblCellMar>
      </w:tblPr>
      <w:tblGrid>
        <w:gridCol w:w="1753"/>
        <w:gridCol w:w="1541"/>
        <w:gridCol w:w="1550"/>
        <w:gridCol w:w="109"/>
        <w:gridCol w:w="109"/>
        <w:gridCol w:w="109"/>
        <w:gridCol w:w="211"/>
        <w:gridCol w:w="976"/>
        <w:gridCol w:w="109"/>
        <w:gridCol w:w="109"/>
        <w:gridCol w:w="109"/>
        <w:gridCol w:w="109"/>
        <w:gridCol w:w="211"/>
        <w:gridCol w:w="976"/>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short-term debt securities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long-term debt securities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Cash, cash equivalent and investments in debt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Cash and cash equivalents consist of checking, money market and savings accounts held at financial institutions and short-term highly liquid marketable securities, including money market funds, commercial paper, government bonds, and other corporate securities purchased with an original maturity of three months or less.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Securities available for sale at fair value primarily consist of certificates of deposits, corporate bonds, municipal bonds, commercial paper, agency bonds, and government bonds. Short-term securities have maturities less than or equal to one year, and long-term securities range from greater than one year to less than five years.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as of March 31, 2025 primarily includes funding debt, notes issued by securitization trust, convertible senior notes and our revolving credit facilities. A detailed description of each of our borrowing arrangements is included in Note 8. Debt in the notes to the interim condensed consolidated financial statements.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future maturities of our warehouse credit facilities and notes issued by securitizations trusts as of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5889"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248"/>
        <w:gridCol w:w="1289"/>
        <w:gridCol w:w="128"/>
        <w:gridCol w:w="109"/>
        <w:gridCol w:w="109"/>
        <w:gridCol w:w="109"/>
        <w:gridCol w:w="289"/>
        <w:gridCol w:w="1360"/>
        <w:gridCol w:w="211"/>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Outstanding</w:t>
            </w:r>
          </w:p>
        </w:tc>
      </w:tr>
      <w:tr>
        <w:trPr/>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2,363,306 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5,191,602 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2,309,237 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10,388,111</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6,026,795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Warehouse Credit Facilities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warehouse credit facilities allow us to borrow up to an aggregate of $4.6 billion, mature between 2026 and 2032 and subject to covenant compliance, generally permit borrowings up to 4 - 12 months prior to the final maturity date. As of March 31, 2025, we have drawn an aggregate of $1.5 billion on our warehouse credit facilities. As of March 31, 2025, we were in compliance with all applicable covenants in the agreements.</w:t>
      </w:r>
    </w:p>
    <w:p>
      <w:pPr>
        <w:pStyle w:val="TextBody"/>
        <w:bidi w:val="0"/>
        <w:spacing w:lineRule="auto" w:line="295"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maturing between 2028 and 2030. As of March 31, 2025, the aggregate commitment amount of these facilities was $588.1 million on a revolving basis, of which $364.1 million was drawn. </w:t>
      </w:r>
    </w:p>
    <w:p>
      <w:pPr>
        <w:pStyle w:val="TextBody"/>
        <w:bidi w:val="0"/>
        <w:spacing w:lineRule="auto" w:line="295"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in new geographies, we intend to add the necessary funding capacity to support our growth objectives.</w:t>
      </w:r>
    </w:p>
    <w:p>
      <w:pPr>
        <w:pStyle w:val="TextBody"/>
        <w:bidi w:val="0"/>
        <w:spacing w:lineRule="auto" w:line="295"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Funding Note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 syndicated revolving loan agreement through a securitization master trust which is utilized to fund the purchase and origination of loans. In connection with the loan agreement, the master trust issued a variable funding note (“VFN”), where borrowings will be secured by loan collateral sold to the master trust. Our VFN allows us to borrow up to an aggregate of $1.2 billion and matures in 2032. As of March 31, 2025, we have drawn an aggregate of $0.1 billion on our VFN and have an aggregate of $1.1 billion available. As of March 31, 2025, we were in compliance with all applicable covenants in the agreements.</w:t>
      </w:r>
    </w:p>
    <w:p>
      <w:pPr>
        <w:pStyle w:val="TextBody"/>
        <w:bidi w:val="0"/>
        <w:spacing w:before="0" w:after="0"/>
        <w:ind w:left="0" w:right="0" w:firstLine="720"/>
        <w:jc w:val="left"/>
        <w:rPr/>
      </w:pPr>
      <w:r>
        <w:rPr/>
      </w:r>
    </w:p>
    <w:p>
      <w:pPr>
        <w:pStyle w:val="TextBody"/>
        <w:bidi w:val="0"/>
        <w:spacing w:lineRule="auto" w:line="295"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and Repurchase Agreements</w:t>
      </w:r>
    </w:p>
    <w:p>
      <w:pPr>
        <w:pStyle w:val="TextBody"/>
        <w:bidi w:val="0"/>
        <w:spacing w:lineRule="auto" w:line="295"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various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 notes pledged. We had $44.2 million in debt outstanding under our sale and repurchase agreements disclosed within funding debt in the interim condensed consolidated balance sheets as of March 31, 2025. </w:t>
      </w:r>
    </w:p>
    <w:p>
      <w:pPr>
        <w:pStyle w:val="TextBody"/>
        <w:bidi w:val="0"/>
        <w:spacing w:lineRule="auto" w:line="295"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Securitizations</w:t>
      </w:r>
    </w:p>
    <w:p>
      <w:pPr>
        <w:pStyle w:val="TextBody"/>
        <w:bidi w:val="0"/>
        <w:spacing w:lineRule="auto" w:line="29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credit of Affirm and the liabilities of the VIEs can only be settled by the respective VIEs’ assets. Additionally, the assets of the VIEs can be used only to settle obligations of the VIEs. Refer to Note 9. Securitization and Variable Interest Entities in the notes to the interim condensed consolidated financial statements for further details.</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6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16, 2024, we entered into an amendment to our revolving credit facility in order to permit the incurrence of indebtedness pursuant to the 2029 Senior Convertible Notes. Our revolving credit facility, has an aggregate commitment amount of $330.0 million, with a final maturity date of June 26, 2027. As of March 31, 2025, there are no borrowings outstanding under the facility. The facility contains certain covenants and restrictions, including certain financial maintenance covenants. As of March 31, 2025, we were in compliance with all applicable covenants in the agreements. Refer to Note 8. Debt in the notes to the interim condensed consolidated financial statements for further details on our revolving credit facility. </w:t>
      </w:r>
    </w:p>
    <w:p>
      <w:pPr>
        <w:pStyle w:val="TextBody"/>
        <w:bidi w:val="0"/>
        <w:spacing w:lineRule="auto" w:line="295"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6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convertible senior notes have an aggregate principal balance of $1.2 billion, and bear no interest, in the case of the 2026 Notes, and 0.75% per year, in the case of the 2029 Notes, which is payable semiannually. The 2026 Notes mature on November 15, 2026, and the 2029 Notes mature on December 15, 2029, in each case unless earlier converted, redeemed, or repurchased in accordance with their terms. Refer to Note 8. Debt in the notes to the interim condensed consolidated financial statements for further details.</w:t>
      </w:r>
    </w:p>
    <w:p>
      <w:pPr>
        <w:pStyle w:val="TextBody"/>
        <w:bidi w:val="0"/>
        <w:spacing w:lineRule="auto" w:line="295" w:before="0" w:after="200"/>
        <w:jc w:val="left"/>
        <w:rPr>
          <w:rFonts w:ascii="Times New Roman;sans-serif" w:hAnsi="Times New Roman;sans-serif"/>
          <w:b/>
          <w:i/>
          <w:color w:val="000000"/>
          <w:sz w:val="20"/>
        </w:rPr>
      </w:pPr>
      <w:r>
        <w:rPr>
          <w:rFonts w:ascii="Times New Roman;sans-serif" w:hAnsi="Times New Roman;sans-serif"/>
          <w:b/>
          <w:i/>
          <w:color w:val="000000"/>
          <w:sz w:val="20"/>
        </w:rPr>
        <w:t>Other Funding Sources</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 Flow Loan Sale Arrangements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 Analysis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cash flow data during the periods indicated:</w:t>
      </w:r>
    </w:p>
    <w:tbl>
      <w:tblPr>
        <w:tblW w:w="7048"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613"/>
        <w:gridCol w:w="287"/>
        <w:gridCol w:w="269"/>
        <w:gridCol w:w="269"/>
        <w:gridCol w:w="269"/>
        <w:gridCol w:w="269"/>
        <w:gridCol w:w="613"/>
        <w:gridCol w:w="287"/>
        <w:gridCol w:w="380"/>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4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719,272 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381,375 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(628,550)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(787,516)</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bottom w:val="single" w:sz="8" w:space="0" w:color="CCEEFF"/>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364,166 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767,180 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TextBody"/>
        <w:bidi w:val="0"/>
        <w:spacing w:lineRule="auto" w:line="288" w:before="10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$719.3 million for the nine months ended March 31, 2025. Net loss of $17.1 million was adjusted for the add back of non-cash items and other adjustments increasing operating cash flows by $632.2 million, and changing operating assets net of operating liabilities resulting in a net increase in operating cash flows of $104.2 million. The non-cash item adjustments are primarily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$460.1 million provision for credit losses, $230.1 million commercial agreement warrant expense, $255.9 million stock-based compensation expense, and $161.1 million depreciation and amortization expense, which were partially offset by $264.7 million gain on sale of loans, and $171.8 million amortization of premiums and discounts on loans. The net increase in cash from changes in operating assets and liabilities was primarily driven by an increase in accounts receivable of $123.9 million, and a $17.4 million increase in payable to third-party loan owners, partially offset by a decrease in other assets of $18.0 million and a decrease in accrued expenses and other liabilities of $18.8 million. </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$381.4 million for the nine months ended March 31, 2024. Net loss of $472.6 million was adjusted for the add back of net non-cash items and other adjustments increasing operating cash flows by $826.8 million, and changing operating assets net of operating liabilities resulting in an increase in operating cash flows of $27.2 million. The net changes in cash from changes in operating assets and liabilities was primarily driven by an increase in cash proceeds generated from the sale of loans held for sale of $3.2 billion, which was offset by cash used for purchases and origination of loans held for sale of $3.1 billion, an increase to other assets of $58.2 million, an increase in accounts payable of $6.6 million, partially offset by a decrease in accounts receivable of $105.8 million, and a $44.0 million increase in payable to third-party loan owners.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$628.6 million for the nine months ended March 31, 2025, which consisted of outflows related to $22.7 billion of purchases and origination of loans held for investment, including originated and purchased loans of $4.4 billion and $18.3 billion, respectively, during the period, $553.6 million of purchases of securities available for sale, and $141.1 million of property, equipment and software additions. Inflows related to $13.6 billion of principal repayments of loans, $8.1 billion of proceeds from sale of loans held for investment, and $984.4 million of proceeds from maturities of securities available for sale.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$787.5 million for the nine months ended March 31, 2024, which consisted of outflows related to $15.6 billion of purchases and origination of loans held for investment, including originated and purchased loans of $3.2 billion and $12.4 billion, respectively, during the period, $461.2 million of purchases of securities available for sale, and $121.0 million of property, equipment and software additions. Inflows related to $10.3 billion of principal repayments of loans, $4.2 billion of proceeds from sale of loans held for investment, and $891.9 million of proceeds from maturities of securities available for sale. </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$364.2 million for the nine months ended March 31, 2025, and primarily consisted of net cash inflows of $850.0 million from the new issuance and repayment of notes and residual trust certificates issued by securitization trusts, $920.0 million from proceeds, net of debt issuance costs, related to the issuance of the 2029 Notes, and $48.7 million related to borrowing and repayment of funding debt. This was partially offset by net cash outflows of $1.0 billion related to the extinguishment and repurchase of a portion of our 2026 Notes, $250.0 million related to repurchase of common stock shares in connection with the issuance of the 2029 Notes, and net cash outflows of $241.6 million related to taxes paid on vested RSUs.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$767.2 million for the nine months ended March 31, 2024, and primarily consisted of net cash inflows of $1.1 billion from the new issuance and repayment of notes and residual trust certificates issued by securitization trusts. This was partially offset by net cash outflows of $158.9 million related to borrowing and repayment of funding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There were no material changes outside of the ordinary course of business in our commitments and contractual obligations for the three and nine months ended March 31, 2025 from the commitments and contractual obligations disclosed in the section titled “</w:t>
      </w:r>
      <w:r>
        <w:rPr>
          <w:rFonts w:ascii="Times New Roman;sans-serif" w:hAnsi="Times New Roman;sans-serif"/>
          <w:b w:val="false"/>
          <w:i/>
          <w:color w:val="000000"/>
          <w:sz w:val="20"/>
        </w:rPr>
        <w:t>Management</w:t>
      </w:r>
      <w:r>
        <w:rPr>
          <w:color w:val="000000"/>
          <w:shd w:fill="FFFFFF" w:val="clear"/>
        </w:rPr>
        <w:t>’</w:t>
      </w:r>
      <w:r>
        <w:rPr>
          <w:rFonts w:ascii="Times New Roman;sans-serif" w:hAnsi="Times New Roman;sans-serif"/>
          <w:b w:val="false"/>
          <w:i/>
          <w:color w:val="000000"/>
          <w:sz w:val="20"/>
        </w:rPr>
        <w:t>s Discussion and Analysis of Financial Condition and Results of Operations — Contractual Obligations</w:t>
      </w:r>
      <w:r>
        <w:rPr>
          <w:rFonts w:ascii="Times New Roman;sans-serif" w:hAnsi="Times New Roman;sans-serif"/>
          <w:b w:val="false"/>
          <w:color w:val="000000"/>
          <w:sz w:val="20"/>
        </w:rPr>
        <w:t>,” set forth in our Annual Report on Form 10-K for the fiscal year ended June 30, 2024, which was filed with the SEC on August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engage in activities that are not reflected on our interim condensed consolidated balance sheets, generally referred to as off-balance sheet arrangements. These activities involve transactions with unconsolidated VIEs, including our sponsored securitization transactions, which we contractually service.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off-balance sheet loan sales where servicing is the only form of continuing involvement, we could experience a loss if we were required to repurchase a loan due to a breach in representations and warranties associated with our loan sale or servicing contracts.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For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 Refer to Note 9. Securitization and Variable Interest Entities in the notes to the interim condensed consolidated financial statements for further details</w:t>
      </w:r>
      <w:r>
        <w:rPr>
          <w:rFonts w:ascii="Times New Roman;sans-serif" w:hAnsi="Times New Roman;sans-serif"/>
          <w:b w:val="false"/>
          <w:color w:val="000000"/>
          <w:sz w:val="20"/>
          <w:shd w:fill="FFFFFF" w:val="clear"/>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aggregate outstanding balance of loans held by third-party investors and off-balance sheet securitizations was $6.8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405"/>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nine months ended March 31, 2025. </w:t>
      </w:r>
    </w:p>
    <w:p>
      <w:pPr>
        <w:pStyle w:val="TextBody"/>
        <w:bidi w:val="0"/>
        <w:spacing w:lineRule="auto" w:line="288" w:before="0" w:after="200"/>
        <w:ind w:left="0" w:right="0" w:firstLine="720"/>
        <w:jc w:val="left"/>
        <w:rPr/>
      </w:pPr>
      <w:r>
        <w:rPr>
          <w:rFonts w:ascii="Times New Roman;sans-serif" w:hAnsi="Times New Roman;sans-serif"/>
          <w:b w:val="false"/>
          <w:color w:val="000000"/>
          <w:sz w:val="20"/>
        </w:rPr>
        <w:t>For a complete discussion of our significant accounting policies and critical accounting estimates, refer to our Annual Report on Form 10-K for the year ended June 30, 2024 within Note 2 to the Notes to Consolidated Financial Statements and “</w:t>
      </w:r>
      <w:r>
        <w:rPr>
          <w:rFonts w:ascii="Times New Roman;sans-serif" w:hAnsi="Times New Roman;sans-serif"/>
          <w:b w:val="false"/>
          <w:i/>
          <w:color w:val="000000"/>
          <w:sz w:val="20"/>
        </w:rPr>
        <w:t>Management’s Discussion and Analysis of Financial Condition and Results of Operations— Critical Accounting Policies and Estimates.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Canada and the United Kingdom,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held $780.2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Continued volatility in interest rates and inflation, which may persist longer than previously expected, may adversely impact our consumers’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higher interest rates may lead to increased delinquencies, charge-offs, and allowances for loans and interest receivable, which could have an adverse effect on our operating results.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variety of funding sources with varying degrees of interest rate sensitivities. Certain of our funding arrangements bear a variable interest rate, including borrowings from our warehouse facilities and our securitization variable funding note.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which issue asset-backed securities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loss and is reclassified into funding costs in the same period the hedged transaction affects earnings. Factoring in the interest rate risk management program and the repricing of investment securities, as of March 31, 2025, we estimate that a hypothetical instantaneous 100 basis point upward parallel shock to interest rates would have a less than $60.0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monitor portfolio performance, we utilize a wide range of internal and external metrics to review user and loan populations. Each week, management reviews performance for each consumer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June 30, 2024, we were exposed to credit risk on $6.6 billion and $5.7 billion, respectively, of loans held on our interim condensed consolidated balance sheet. Loan receivables are diversified geographically. As of March 31, 2025 and June 30, 2024, approximately 11% of loan receivables related to customers residing in the state of California. Approximately 10% of loan receivables related to customers residing in the state of Texas as of March 31, 2025 but did not exceed 10% as of June 30, 2024. No other states or provinces exceeded 10%.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credit risk exposure in relation to certain off-balance sheet loans sold to third parties where we have entered into risk sharing arrangements and through our retained interests in unconsolidated securitization trusts. As of March 31, 2025 and June 30, 2024, we have sold $7.8 billion and $4.2 billion, respectively, of unpaid principal balance of loans which are subject to risk sharing arrangements, of which our maximum exposure to losses was $94.3 million and $81.2 million, respectively. This amount includes our maximum potential loss with respect to risk sharing liabilities of $33.1 million and the fair value of risk sharing assets of $61.2 million, as of March 31, 2025. The fair value of notes receivable and residual trust certificate retained interests in unconsolidated securitization trusts was $50.9 million and $23.8 million as of March 31, 2025 and March 31,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quarter ended March 31, 2025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Inherent Limitation on the Effectiveness of Internal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Please refer to Note 7. Commitments and Contingencies </w:t>
      </w:r>
      <w:r>
        <w:rPr>
          <w:rFonts w:ascii="Times New Roman;sans-serif" w:hAnsi="Times New Roman;sans-serif"/>
          <w:b w:val="false"/>
          <w:color w:val="000000"/>
          <w:sz w:val="20"/>
          <w:shd w:fill="FFFFFF" w:val="clear"/>
        </w:rPr>
        <w:t>of the accompanying notes to our interim condensed consolidated financial statements</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risks described under the heading “Risk Factors” in our Annual Report on Form 10-K for the fiscal year ended June 30, 2024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read and consider such risks, together with all of the other information in our Annual Report on Form 10-K for the fiscal year ended June 30, 2024,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may be reflected in the updated risk factors included below, there have been no material changes from the risk factors previously disclosed under the heading “Risk Factors” in our Annual Report on Form 10-K for the fiscal year ended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Servicing our debt requires a significant amount of cash, and we may not have sufficient cash flow from our business to pay our substantial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of, to pay interest on or to refinance our indebtedness, including our 0% convertible senior notes due 2026 (the “2026 Notes”) and our 0.75% convertible senior notes due 2029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have the ability to raise the funds necessary to settle conversions of the 2026 Notes and/or the 2029 Notes, to repay the 2026 Notes and/or the 2029 Notes at maturity or to repurchase the 2026 Notes and/or the 2029 Notes upon a fundamental change, and our future debt may contain limitations on our ability to pay cash upon conversion or repurchase of the 2026 Notes and/or the 2029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will have the right to require us to repurchase their 2026 Notes or 2029 Notes, as applicable, upon the occurrence of a fundamental change at a fundamental change repurchase price equal to 100% of the principal amount of the 2026 Notes or the 2029 Notes, as applicable, to be repurchased, plus accrued and unpaid special interest in the case of the 2026 Notes, or accrued and unpaid interest in the case of the 2029 Notes, in each case, if any. In addition, upon conversion of the 2026 Notes or the 2029 Notes, as applicable, we will be required to make cash payments for each $1,000 in principal amount of 2026 Notes or 2029 Notes, as applicable, converted of at least the lesser of $1,000 and the sum of the daily conversion values as described in the indenture governing the 2026 Notes or the indenture governing the 2029 Notes, as applicable. However, we may not have enough available cash or be able to obtain financing at the time we are required to make repurchases of notes surrendered therefore or pay cash with respect to the 2026 Notes or the 2029 Notes, as applicable, being converted. In addition, our ability to repurchase the 2026 Notes or the 2029 Notes, as applicable, or to pay cash upon conversions of the 2026 Notes or the 2029 Notes, as applicable, may be limited by law, by regulatory authority or by agreements governing our future indebtedness. Our failure to repurchase 2026 Notes or the 2029 Notes, as applicable, at a time when the repurchase is required or to pay any cash payable on future conversions of the 2026 Notes or the 2029 Notes, as applicable, would constitute a default under the indenture governing the 2026 Notes or the indenture governing the 2029 Notes, as applicable. A default under the indenture governing the 2026 Notes or the indenture governing the 2029 Notes, as applicable,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the 2029 Notes, as applicable, or make cash payments upon conversions thereof.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i/>
          <w:color w:val="000000"/>
          <w:sz w:val="20"/>
        </w:rPr>
        <w:t>Rule 10b5-1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following directors and officers of the Company adopted or terminated a “Rule 10b5-1 trading arrangement” or “non-Rule 10b5-1 trading arrangement,” as each term is defined in Item 408(a) of Regulation S-K, as follows: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2025, Michael Linford, our Chief Operating Officer, adopted a Rule 10b5-1 trading arrangement providing for the sale of the Company's Class A common stock (a “Rule 10b5-1 Trading Plan”) that is intended to satisfy the affirmative defense conditions of Exchange Act Rule 10b5-1(c). Mr. Linford’s Rule 10b5-1 Trading Plan provides for the exercise of up to 200,000 employee stock options and the sale of the underlying shares of our Class A common stock pursuant to one or more limit orders on or after May 16, 2025 until November 15, 2025, or earlier if all transactions under the trading arrangement are completed.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17, 2025, Max Levchin, our Chief Executive Officer, adopted a Rule 10b5-1 Trading Plan. Mr. Levchin’s Rule 10b5-1 Trading Plan provides for the exercise of up to 4,000,000 employee stock options and the sale of the underlying shares of our Class A common stock pursuant to one or more limit orders on or after June 20, 2025 until June 18, 2026, or earlier if all transactions under the trading arrangement are completed.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other directors or officers, as defined in Rule 16a-1(f), adopted and/or terminated a “Rule 10b5-1 trading arrangement” or a “non-Rule 10b5-1 trading arrangement,” as defined in Regulation S-K Item 408, during the three months ended March 31, 2025.</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1469"/>
        <w:gridCol w:w="1344"/>
        <w:gridCol w:w="1359"/>
        <w:gridCol w:w="109"/>
        <w:gridCol w:w="109"/>
        <w:gridCol w:w="109"/>
        <w:gridCol w:w="170"/>
        <w:gridCol w:w="170"/>
        <w:gridCol w:w="171"/>
        <w:gridCol w:w="109"/>
        <w:gridCol w:w="109"/>
        <w:gridCol w:w="109"/>
        <w:gridCol w:w="148"/>
        <w:gridCol w:w="148"/>
        <w:gridCol w:w="149"/>
        <w:gridCol w:w="109"/>
        <w:gridCol w:w="109"/>
        <w:gridCol w:w="109"/>
        <w:gridCol w:w="210"/>
        <w:gridCol w:w="210"/>
        <w:gridCol w:w="211"/>
        <w:gridCol w:w="109"/>
        <w:gridCol w:w="109"/>
        <w:gridCol w:w="109"/>
        <w:gridCol w:w="119"/>
        <w:gridCol w:w="119"/>
        <w:gridCol w:w="119"/>
        <w:gridCol w:w="118"/>
        <w:gridCol w:w="118"/>
        <w:gridCol w:w="118"/>
        <w:gridCol w:w="109"/>
        <w:gridCol w:w="109"/>
        <w:gridCol w:w="109"/>
        <w:gridCol w:w="142"/>
        <w:gridCol w:w="142"/>
        <w:gridCol w:w="142"/>
        <w:gridCol w:w="142"/>
        <w:gridCol w:w="142"/>
        <w:gridCol w:w="223"/>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1"/>
            <w:tcBorders/>
            <w:tcMar>
              <w:top w:w="0" w:type="dxa"/>
              <w:left w:w="0" w:type="dxa"/>
              <w:bottom w:w="0" w:type="dxa"/>
              <w:right w:w="0" w:type="dxa"/>
            </w:tcMar>
            <w:vAlign w:val="center"/>
          </w:tcPr>
          <w:p>
            <w:pPr>
              <w:pStyle w:val="TableContents"/>
              <w:bidi w:val="0"/>
              <w:spacing w:lineRule="auto" w:line="276" w:before="0" w:after="0"/>
              <w:ind w:left="0" w:right="0" w:firstLine="266"/>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1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6"/>
            <w:tcBorders/>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41-secondreplacemen.htm">
              <w:r>
                <w:rPr>
                  <w:rStyle w:val="InternetLink"/>
                  <w:rFonts w:ascii="Times New Roman;sans-serif" w:hAnsi="Times New Roman;sans-serif"/>
                  <w:b w:val="false"/>
                  <w:color w:val="000080"/>
                  <w:sz w:val="16"/>
                  <w:u w:val="single"/>
                </w:rPr>
                <w:t>Second Replacement Warrant to Purchase Class A Common Stock of Affirm Holdings, Inc., by and between Affirm Holdings, Inc. and Amazon.com Services LLC, dated as of February 1</w:t>
              </w:r>
            </w:hyperlink>
            <w:hyperlink w:anchor="exhibit41-secondreplacemen.htm">
              <w:r>
                <w:rPr>
                  <w:rStyle w:val="InternetLink"/>
                  <w:rFonts w:ascii="Times New Roman;sans-serif" w:hAnsi="Times New Roman;sans-serif"/>
                  <w:b w:val="false"/>
                  <w:color w:val="000080"/>
                  <w:sz w:val="16"/>
                  <w:u w:val="single"/>
                </w:rPr>
                <w:t>4</w:t>
              </w:r>
            </w:hyperlink>
            <w:hyperlink w:anchor="exhibit41-secondreplacemen.htm">
              <w:r>
                <w:rPr>
                  <w:rStyle w:val="InternetLink"/>
                  <w:rFonts w:ascii="Times New Roman;sans-serif" w:hAnsi="Times New Roman;sans-serif"/>
                  <w:b w:val="false"/>
                  <w:color w:val="000080"/>
                  <w:sz w:val="16"/>
                  <w:u w:val="single"/>
                </w:rPr>
                <w:t>,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1-affirmxshopifyx.htm">
              <w:r>
                <w:rPr>
                  <w:rStyle w:val="InternetLink"/>
                  <w:rFonts w:ascii="Times New Roman;sans-serif" w:hAnsi="Times New Roman;sans-serif"/>
                  <w:b w:val="false"/>
                  <w:color w:val="0000FF"/>
                  <w:sz w:val="16"/>
                  <w:u w:val="single"/>
                </w:rPr>
                <w:t>Global Customer Installment Program Agreement, dated February 14, 2025, by and between Shopify Inc.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33125exx102cashincent.htm">
              <w:r>
                <w:rPr>
                  <w:rStyle w:val="InternetLink"/>
                  <w:rFonts w:ascii="Times New Roman;sans-serif" w:hAnsi="Times New Roman;sans-serif"/>
                  <w:b w:val="false"/>
                  <w:color w:val="0000FF"/>
                  <w:sz w:val="16"/>
                  <w:u w:val="single"/>
                </w:rPr>
                <w:t>Cash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33125exx103officersev.htm">
              <w:r>
                <w:rPr>
                  <w:rStyle w:val="InternetLink"/>
                  <w:rFonts w:ascii="Times New Roman;sans-serif" w:hAnsi="Times New Roman;sans-serif"/>
                  <w:b w:val="false"/>
                  <w:color w:val="0000FF"/>
                  <w:sz w:val="16"/>
                  <w:u w:val="single"/>
                </w:rPr>
                <w:t>Officer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33125exx311.htm">
              <w:r>
                <w:rPr>
                  <w:rStyle w:val="InternetLink"/>
                  <w:rFonts w:ascii="Times New Roman;sans-serif" w:hAnsi="Times New Roman;sans-serif"/>
                  <w:b w:val="false"/>
                  <w:color w:val="0000FF"/>
                  <w:sz w:val="16"/>
                  <w:u w:val="single"/>
                </w:rPr>
                <w:t>Certification of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33125exx312.htm">
              <w:r>
                <w:rPr>
                  <w:rStyle w:val="InternetLink"/>
                  <w:rFonts w:ascii="Times New Roman;sans-serif" w:hAnsi="Times New Roman;sans-serif"/>
                  <w:b w:val="false"/>
                  <w:color w:val="0000FF"/>
                  <w:sz w:val="16"/>
                  <w:u w:val="single"/>
                </w:rPr>
                <w:t>Certification of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33125exx321.htm">
              <w:r>
                <w:rPr>
                  <w:rStyle w:val="InternetLink"/>
                  <w:rFonts w:ascii="Times New Roman;sans-serif" w:hAnsi="Times New Roman;sans-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33125exx322.htm">
              <w:r>
                <w:rPr>
                  <w:rStyle w:val="InternetLink"/>
                  <w:rFonts w:ascii="Times New Roman;sans-serif" w:hAnsi="Times New Roman;sans-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Denotes management contract or compensatory plan or arrangement.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exhibit have been omitted as the Company has determined that: (i) the omitted information is not material; and (ii) the Company customarily and actually treats the omitted information as private or confidential.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ind w:left="0" w:right="0" w:firstLine="720"/>
        <w:jc w:val="left"/>
        <w:rPr/>
      </w:pPr>
      <w:hyperlink w:anchor="i6baac4c934fd4917b3fb0eb8b4b4634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5305" w:type="dxa"/>
        <w:jc w:val="center"/>
        <w:tblInd w:w="0" w:type="dxa"/>
        <w:tblLayout w:type="fixed"/>
        <w:tblCellMar>
          <w:top w:w="28" w:type="dxa"/>
          <w:left w:w="28" w:type="dxa"/>
          <w:bottom w:w="28" w:type="dxa"/>
          <w:right w:w="28" w:type="dxa"/>
        </w:tblCellMar>
      </w:tblPr>
      <w:tblGrid>
        <w:gridCol w:w="591"/>
        <w:gridCol w:w="520"/>
        <w:gridCol w:w="523"/>
        <w:gridCol w:w="384"/>
        <w:gridCol w:w="384"/>
        <w:gridCol w:w="384"/>
        <w:gridCol w:w="731"/>
        <w:gridCol w:w="731"/>
        <w:gridCol w:w="105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AFFIRM HOLDINGS,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Max Levchin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 Levchin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 O’Hare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O’Hare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4.1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SECOND REPLACEMENT WARRANT TO PURCHASE CLASS A COMMON STOCK</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INSTRUMENT IS ISSUED PURSUANT TO AND SUBJECT TO THE RESTRICTIONS ON TRANSFER AND OTHER PROVISIONS OF A TRANSACTION AGREEMENT, DATED AS OF NOVEMBER 10, 2021, BY AND BETWEEN THE ISSUER OF THESE SECURITIES AND AMAZON.COM SERVICES LLC, A DELAWARE LIMITED LIABILITY COMPANY, A COPY OF WHICH IS ON FILE WITH THE ISSUER. THE SECURITIES REPRESENTED BY THIS INSTRUMENT MAY NOT BE SOLD OR OTHERWISE TRANSFERRED EXCEPT IN COMPLIANCE WITH SAID AGREEMENT. ANY SALE OR OTHER TRANSFER NOT IN COMPLIANCE WITH SAID AGREEMENT WILL BE VOID.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WARRANT</w:t>
        <w:br/>
        <w:t>to purchase</w:t>
        <w:br/>
        <w:t xml:space="preserve">3,500,000 </w:t>
        <w:br/>
        <w:t xml:space="preserve">Shares of Class A Common Stock of </w:t>
        <w:br/>
        <w:t>Affirm Holdings, Inc.</w:t>
        <w:br/>
        <w:t>a Delaware Corporation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Issue Date: February 14, 2025</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Unless the context otherwise requires, when used herein, the following terms shall have the meanings indicated.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30-Day VWAP</w:t>
      </w:r>
      <w:r>
        <w:rPr>
          <w:color w:val="000000"/>
        </w:rPr>
        <w:t xml:space="preserve">” </w:t>
      </w:r>
      <w:r>
        <w:rPr>
          <w:rFonts w:ascii="Times New Roman;sans-serif" w:hAnsi="Times New Roman;sans-serif"/>
          <w:b w:val="false"/>
          <w:color w:val="000000"/>
          <w:sz w:val="24"/>
        </w:rPr>
        <w:t>means, as of any date, the volume 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the Warrantholder) from 9:30 a.m. (New York City time) on the Trading Day that is 30 Trading Days preceding such date to 4:00 p.m. (New York City time) on the last Trading Day immediately preceding such date.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Acquisition Transaction</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5780"/>
                <wp:effectExtent l="0" t="0" r="0" b="0"/>
                <wp:wrapNone/>
                <wp:docPr id="84" name="Frame8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AICPA</w:t>
      </w:r>
      <w:r>
        <w:rPr>
          <w:color w:val="000000"/>
        </w:rPr>
        <w:t xml:space="preserve">” </w:t>
      </w:r>
      <w:r>
        <w:rPr>
          <w:rFonts w:ascii="Times New Roman;sans-serif" w:hAnsi="Times New Roman;sans-serif"/>
          <w:b w:val="false"/>
          <w:color w:val="000000"/>
          <w:sz w:val="24"/>
        </w:rPr>
        <w:t>has the meaning set forth in the definition of “</w:t>
      </w:r>
      <w:r>
        <w:rPr>
          <w:rFonts w:ascii="Times New Roman;sans-serif" w:hAnsi="Times New Roman;sans-serif"/>
          <w:b w:val="false"/>
          <w:color w:val="000000"/>
          <w:sz w:val="24"/>
          <w:u w:val="single"/>
        </w:rPr>
        <w:t>Appraisal Procedure</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Amazon</w:t>
      </w:r>
      <w:r>
        <w:rPr>
          <w:color w:val="000000"/>
        </w:rPr>
        <w:t xml:space="preserve">” </w:t>
      </w:r>
      <w:r>
        <w:rPr>
          <w:rFonts w:ascii="Times New Roman;sans-serif" w:hAnsi="Times New Roman;sans-serif"/>
          <w:b w:val="false"/>
          <w:color w:val="000000"/>
          <w:sz w:val="24"/>
        </w:rPr>
        <w:t>has the meaning ascribed to it in the Commercial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Antitrust Laws</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Appraisal Procedure</w:t>
      </w:r>
      <w:r>
        <w:rPr>
          <w:color w:val="000000"/>
        </w:rPr>
        <w:t xml:space="preserve">” </w:t>
      </w:r>
      <w:r>
        <w:rPr>
          <w:rFonts w:ascii="Times New Roman;sans-serif" w:hAnsi="Times New Roman;sans-serif"/>
          <w:b w:val="false"/>
          <w:color w:val="000000"/>
          <w:sz w:val="24"/>
        </w:rPr>
        <w:t>means a procedure in accordance with the American Institute of Certified Public Accounts, Inc. (“</w:t>
      </w:r>
      <w:r>
        <w:rPr>
          <w:rFonts w:ascii="Times New Roman;sans-serif" w:hAnsi="Times New Roman;sans-serif"/>
          <w:b w:val="false"/>
          <w:color w:val="000000"/>
          <w:sz w:val="24"/>
          <w:u w:val="single"/>
        </w:rPr>
        <w:t>AICPA</w:t>
      </w:r>
      <w:r>
        <w:rPr>
          <w:color w:val="000000"/>
        </w:rPr>
        <w:t>”</w:t>
      </w:r>
      <w:r>
        <w:rPr>
          <w:rFonts w:ascii="Times New Roman;sans-serif" w:hAnsi="Times New Roman;sans-serif"/>
          <w:b w:val="false"/>
          <w:color w:val="000000"/>
          <w:sz w:val="24"/>
        </w:rPr>
        <w:t>) “VS Section 100 - Valuation of a Business, Business Ownership Interest, Security or Intangible Asset” and such other associated AICPA guidance as is reasonable and applicable whereby two independent appraisers, each employed by firms nationally recognized for valuation expertise and each reasonably experienced in appraising the market value of securities of size in value and characteristics of the Warrant (each a “</w:t>
      </w:r>
      <w:r>
        <w:rPr>
          <w:rFonts w:ascii="Times New Roman;sans-serif" w:hAnsi="Times New Roman;sans-serif"/>
          <w:b w:val="false"/>
          <w:color w:val="000000"/>
          <w:sz w:val="24"/>
          <w:u w:val="single"/>
        </w:rPr>
        <w:t>Qualified Appraiser</w:t>
      </w:r>
      <w:r>
        <w:rPr>
          <w:color w:val="000000"/>
        </w:rPr>
        <w:t>”</w:t>
      </w:r>
      <w:r>
        <w:rPr>
          <w:rFonts w:ascii="Times New Roman;sans-serif" w:hAnsi="Times New Roman;sans-serif"/>
          <w:b w:val="false"/>
          <w:color w:val="000000"/>
          <w:sz w:val="24"/>
        </w:rPr>
        <w:t>), one chosen by the Company and one by the Warrantholder, shall mutually agree upon the determinations then the subject of appraisal. Each party shall deliver a notice to the other appointing its Qualified Appraiser within 15 days after the date that the Appraisal Procedure is invoked. If within 30 days after receipt by each party of the notices appointing the two Qualified Appraisers, such appraisers are unable to agree upon the amount in question, a third Qualified Appraiser shall be chosen within ten days after the end of such 30-day period by: (i) the mutual consent of such first two Qualified Appraisers; or (ii) if such two first Qualified Appraisers fail to agree upon the appointment of a third appraiser, such appointment shall be made by the American Arbitration Association, or any organization successor thereto, from a panel of Qualified Appraisers on the application of either of the first two Qualified Appraisers. If any Qualified Appraiser initially appointed shall, for any reason, be unable to serve, a successor Qualified Appraiser shall be appointed in accordance with the procedures pursuant to which the predecessor Qualified Appraiser was appointed. In the event a third Qualified Appraiser is appointed, the decision of such third Qualified Appraiser shall be given within 30 days after such Qualified Appraiser’s selection. If three Qualified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determinations shall be averaged, and (c) such average shall be binding and conclusive upon the Company and the Warrantholder; otherwise, the average of all three determinations shall be binding and conclusive upon the Company and the Warrantholder. The costs of conducting any Appraisal Procedure shall be borne 50% by the Company and 50% by the Warrantholder. The Qualified Appraisers shall act as experts and not arbitrators.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Attribution Parties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Beneficial Ownership Limitation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Business Combination</w:t>
      </w:r>
      <w:r>
        <w:rPr>
          <w:color w:val="000000"/>
        </w:rPr>
        <w:t xml:space="preserve">” </w:t>
      </w:r>
      <w:r>
        <w:rPr>
          <w:rFonts w:ascii="Times New Roman;sans-serif" w:hAnsi="Times New Roman;sans-serif"/>
          <w:b w:val="false"/>
          <w:color w:val="000000"/>
          <w:sz w:val="24"/>
        </w:rPr>
        <w:t>means a merger, consolidation, statutory share exchange, reorganization, recapitalization, or similar extraordinary transaction (which may include a reclassification) involving the Company.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Cash Exercise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Cashless Exercise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Cashless Exercise Ratio</w:t>
      </w:r>
      <w:r>
        <w:rPr>
          <w:color w:val="000000"/>
        </w:rPr>
        <w:t xml:space="preserve">” </w:t>
      </w:r>
      <w:r>
        <w:rPr>
          <w:rFonts w:ascii="Times New Roman;sans-serif" w:hAnsi="Times New Roman;sans-serif"/>
          <w:b w:val="false"/>
          <w:color w:val="000000"/>
          <w:sz w:val="24"/>
        </w:rPr>
        <w:t>with respect to any exercise of this Warrant means a fraction (i) the numerator of which is the excess of (x) the 30-Day VWAP as of the exercise date over (y) the Exercise Price, and (ii) the denominator of which is the 30-Day VWAP as of the exercise date.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Chosen Courts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Commercial Agreement</w:t>
      </w:r>
      <w:r>
        <w:rPr>
          <w:color w:val="000000"/>
        </w:rPr>
        <w:t xml:space="preserve">” </w:t>
      </w:r>
      <w:r>
        <w:rPr>
          <w:rFonts w:ascii="Times New Roman;sans-serif" w:hAnsi="Times New Roman;sans-serif"/>
          <w:b w:val="false"/>
          <w:color w:val="000000"/>
          <w:sz w:val="24"/>
        </w:rPr>
        <w:t>means the Amended and Restated Installment Financing Services Agreement, effective as of November 10, 2021, by and between the Company, Amazon.com Services LLC and Amazon Payments, Inc., as it may be amended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Commission</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 xml:space="preserve">means the Class A common stock, $0.00001 par value per share, of the Company.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Affirm Holdings, Inc., a Delaware corporation.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Confidentiality Agreement</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conversion</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Designated Company Office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Distribution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DTC</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DWAC</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Equity Securities</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Exercise Conditions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3(iii)</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Exercise Period</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Exercise Price</w:t>
      </w:r>
      <w:r>
        <w:rPr>
          <w:color w:val="000000"/>
        </w:rPr>
        <w:t xml:space="preserve">” </w:t>
      </w:r>
      <w:r>
        <w:rPr>
          <w:rFonts w:ascii="Times New Roman;sans-serif" w:hAnsi="Times New Roman;sans-serif"/>
          <w:b w:val="false"/>
          <w:color w:val="000000"/>
          <w:sz w:val="24"/>
        </w:rPr>
        <w:t>means $0.01.</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Expiration Time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means, with respect to any security or other property, the fair market value of such security or other property as determined by the Board, acting reasonably, in good faith and evidenced by a written notice delivered promptly to the Warrantholder (which written notice shall include certified resolutions of the Board in respect thereof). If the Warrantholder objects in writing to the Board of Director’s calculation of fair market value within ten Business Days after receipt of written notice thereof, and the Warrantholder and the Company are unable to agree on the fair market value during the ten-day period following the delivery of the Warrantholder’s objection, the Appraisal Procedure may be invoked by either the Company or the Warrantholder to determine the fair market value of such security or other property by delivering written notification thereof not later than the 30th day after delivery of the Warrantholder objection. For the avoidance of doubt, the Fair Market Value of cash shall be the amount of such cash.</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Group</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Initial Antitrust Clearance</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Maximum Limitation</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Original Warrant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Permitted Transactions</w:t>
      </w:r>
      <w:r>
        <w:rPr>
          <w:color w:val="000000"/>
        </w:rPr>
        <w:t xml:space="preserve">” </w:t>
      </w:r>
      <w:r>
        <w:rPr>
          <w:rFonts w:ascii="Times New Roman;sans-serif" w:hAnsi="Times New Roman;sans-serif"/>
          <w:b w:val="false"/>
          <w:color w:val="000000"/>
          <w:sz w:val="24"/>
        </w:rPr>
        <w:t>means (a) issuances of shares of Common Stock (including upon exercise of options) to directors, advisors, employees, or consultants of the Company pursuant to a stock option plan, employee stock purchase plan, restricted stock plan, other employee benefit plan, or other similar compensatory agreement or arrangement approved by the Board and (b) shares of Common Stock issuable upon exercise of this Warrant.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 xml:space="preserve">has the meaning given to it in </w:t>
      </w:r>
      <w:r>
        <w:rPr>
          <w:rFonts w:ascii="Times New Roman;sans-serif" w:hAnsi="Times New Roman;sans-serif"/>
          <w:b w:val="false"/>
          <w:color w:val="000000"/>
          <w:sz w:val="24"/>
          <w:u w:val="single"/>
        </w:rPr>
        <w:t>Section 3(a)(9)</w:t>
      </w:r>
      <w:r>
        <w:rPr>
          <w:color w:val="000000"/>
        </w:rPr>
        <w:t xml:space="preserve"> </w:t>
      </w:r>
      <w:r>
        <w:rPr>
          <w:rFonts w:ascii="Times New Roman;sans-serif" w:hAnsi="Times New Roman;sans-serif"/>
          <w:b w:val="false"/>
          <w:color w:val="000000"/>
          <w:sz w:val="24"/>
        </w:rPr>
        <w:t xml:space="preserve">of the Exchange Act and as used in </w:t>
      </w:r>
      <w:r>
        <w:rPr>
          <w:rFonts w:ascii="Times New Roman;sans-serif" w:hAnsi="Times New Roman;sans-serif"/>
          <w:b w:val="false"/>
          <w:color w:val="000000"/>
          <w:sz w:val="24"/>
          <w:u w:val="single"/>
        </w:rPr>
        <w:t>Sections 13(d)(3)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14(d)(2)</w:t>
      </w:r>
      <w:r>
        <w:rPr>
          <w:color w:val="000000"/>
        </w:rPr>
        <w:t xml:space="preserve"> </w:t>
      </w:r>
      <w:r>
        <w:rPr>
          <w:rFonts w:ascii="Times New Roman;sans-serif" w:hAnsi="Times New Roman;sans-serif"/>
          <w:b w:val="false"/>
          <w:color w:val="000000"/>
          <w:sz w:val="24"/>
        </w:rPr>
        <w:t>of the Exchange Act.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Principal Trading Market</w:t>
      </w:r>
      <w:r>
        <w:rPr>
          <w:color w:val="000000"/>
        </w:rPr>
        <w:t xml:space="preserve">” </w:t>
      </w:r>
      <w:r>
        <w:rPr>
          <w:rFonts w:ascii="Times New Roman;sans-serif" w:hAnsi="Times New Roman;sans-serif"/>
          <w:b w:val="false"/>
          <w:color w:val="000000"/>
          <w:sz w:val="24"/>
        </w:rPr>
        <w:t>means the trading market on which the Common Stock, or any successor security thereto, is primarily listed on and quoted for trading, and which, as of the Issue Date is The NASDAQ Global Select Market.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Qualified Appraiser</w:t>
      </w:r>
      <w:r>
        <w:rPr>
          <w:color w:val="000000"/>
        </w:rPr>
        <w:t xml:space="preserve">” </w:t>
      </w:r>
      <w:r>
        <w:rPr>
          <w:rFonts w:ascii="Times New Roman;sans-serif" w:hAnsi="Times New Roman;sans-serif"/>
          <w:b w:val="false"/>
          <w:color w:val="000000"/>
          <w:sz w:val="24"/>
        </w:rPr>
        <w:t>has the meaning set forth in the definition of “</w:t>
      </w:r>
      <w:r>
        <w:rPr>
          <w:rFonts w:ascii="Times New Roman;sans-serif" w:hAnsi="Times New Roman;sans-serif"/>
          <w:b w:val="false"/>
          <w:color w:val="000000"/>
          <w:sz w:val="24"/>
          <w:u w:val="single"/>
        </w:rPr>
        <w:t>Appraisal Procedure</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Replacement Warrant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Share Delivery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Subject Adjustment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11(v)</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Subject Record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11(v)</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Termination 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3(vii)</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Trading Day</w:t>
      </w:r>
      <w:r>
        <w:rPr>
          <w:color w:val="000000"/>
        </w:rPr>
        <w:t xml:space="preserve">” </w:t>
      </w:r>
      <w:r>
        <w:rPr>
          <w:rFonts w:ascii="Times New Roman;sans-serif" w:hAnsi="Times New Roman;sans-serif"/>
          <w:b w:val="false"/>
          <w:color w:val="000000"/>
          <w:sz w:val="24"/>
        </w:rPr>
        <w:t>means a day on which the Principal Trading Market is open for trading.</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Transaction Agreement</w:t>
      </w:r>
      <w:r>
        <w:rPr>
          <w:color w:val="000000"/>
        </w:rPr>
        <w:t xml:space="preserve">” </w:t>
      </w:r>
      <w:r>
        <w:rPr>
          <w:rFonts w:ascii="Times New Roman;sans-serif" w:hAnsi="Times New Roman;sans-serif"/>
          <w:b w:val="false"/>
          <w:color w:val="000000"/>
          <w:sz w:val="24"/>
        </w:rPr>
        <w:t>means the Transaction Agreement, dated as of November 10, 2021, as it may be amended from time to time, by and between the Company and Amazon.com Services LLC, including all annexes, schedules, and exhibits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has the meaning ascribed to it in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Vesting Event</w:t>
      </w:r>
      <w:r>
        <w:rPr>
          <w:color w:val="000000"/>
        </w:rPr>
        <w:t xml:space="preserve">” </w:t>
      </w:r>
      <w:r>
        <w:rPr>
          <w:rFonts w:ascii="Times New Roman;sans-serif" w:hAnsi="Times New Roman;sans-serif"/>
          <w:b w:val="false"/>
          <w:color w:val="000000"/>
          <w:sz w:val="24"/>
        </w:rPr>
        <w:t xml:space="preserve">means (a) with respect to 1,000,000 Warrant Shares, the execution of the Commercial Agreement, and (b) with respect to 6,000,000 Warrant Shares, as set forth on </w:t>
      </w:r>
      <w:r>
        <w:rPr>
          <w:rFonts w:ascii="Times New Roman;sans-serif" w:hAnsi="Times New Roman;sans-serif"/>
          <w:b w:val="false"/>
          <w:color w:val="000000"/>
          <w:sz w:val="24"/>
          <w:u w:val="single"/>
        </w:rPr>
        <w:t>Annex C</w:t>
      </w:r>
      <w:r>
        <w:rPr>
          <w:rFonts w:ascii="Times New Roman;sans-serif" w:hAnsi="Times New Roman;sans-serif"/>
          <w:b w:val="false"/>
          <w:color w:val="000000"/>
          <w:sz w:val="24"/>
        </w:rPr>
        <w:t>. For the avoidance of doubt, (i) Vesting Events shall stop occurring once the number of Warrant Shares specified under </w:t>
      </w:r>
      <w:r>
        <w:rPr>
          <w:rFonts w:ascii="Times New Roman;sans-serif" w:hAnsi="Times New Roman;sans-serif"/>
          <w:b w:val="false"/>
          <w:color w:val="000000"/>
          <w:sz w:val="24"/>
          <w:u w:val="single"/>
        </w:rPr>
        <w:t>Section 2</w:t>
      </w:r>
      <w:r>
        <w:rPr>
          <w:color w:val="000000"/>
        </w:rPr>
        <w:t> </w:t>
      </w:r>
      <w:r>
        <w:rPr>
          <w:rFonts w:ascii="Times New Roman;sans-serif" w:hAnsi="Times New Roman;sans-serif"/>
          <w:b w:val="false"/>
          <w:color w:val="000000"/>
          <w:sz w:val="24"/>
        </w:rPr>
        <w:t>have vested pursuant to Vesting Events, and (ii) if a given Vesting Event would cause the number of shares vested to exceed the number of Warrant Shares specified under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then only the number of shares up to and including the total number of Warrant Shares specified under </w:t>
      </w:r>
      <w:r>
        <w:rPr>
          <w:rFonts w:ascii="Times New Roman;sans-serif" w:hAnsi="Times New Roman;sans-serif"/>
          <w:b w:val="false"/>
          <w:color w:val="000000"/>
          <w:sz w:val="24"/>
          <w:u w:val="single"/>
        </w:rPr>
        <w:t>Section 2</w:t>
      </w:r>
      <w:r>
        <w:rPr>
          <w:color w:val="000000"/>
        </w:rPr>
        <w:t> </w:t>
      </w:r>
      <w:r>
        <w:rPr>
          <w:rFonts w:ascii="Times New Roman;sans-serif" w:hAnsi="Times New Roman;sans-serif"/>
          <w:b w:val="false"/>
          <w:color w:val="000000"/>
          <w:sz w:val="24"/>
        </w:rPr>
        <w:t>(subject to applicable adjustment or supplementation under this Agreement) shall vest during the final such Vesting Event.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Warrant</w:t>
      </w:r>
      <w:r>
        <w:rPr>
          <w:color w:val="000000"/>
        </w:rPr>
        <w:t xml:space="preserve">” </w:t>
      </w:r>
      <w:r>
        <w:rPr>
          <w:rFonts w:ascii="Times New Roman;sans-serif" w:hAnsi="Times New Roman;sans-serif"/>
          <w:b w:val="false"/>
          <w:color w:val="000000"/>
          <w:sz w:val="24"/>
        </w:rPr>
        <w:t>means this Warrant, issued pursuant to the Transaction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Warrant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Warrantholder</w:t>
      </w:r>
      <w:r>
        <w:rPr>
          <w:color w:val="000000"/>
        </w:rPr>
        <w:t xml:space="preserve">” </w:t>
      </w:r>
      <w:r>
        <w:rPr>
          <w:rFonts w:ascii="Times New Roman;sans-serif" w:hAnsi="Times New Roman;sans-serif"/>
          <w:b w:val="false"/>
          <w:color w:val="000000"/>
          <w:sz w:val="24"/>
        </w:rPr>
        <w:t xml:space="preserve">means, in relation to the Warrant, the Person who is the holder of such Warrant. The Warrantholder shall initially be Amazon.com Services LLC, a Delaware limited liability company.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Number of Warrant Shares; Exercise Price</w:t>
      </w:r>
      <w:r>
        <w:rPr>
          <w:rFonts w:ascii="Times New Roman;sans-serif" w:hAnsi="Times New Roman;sans-serif"/>
          <w:b w:val="false"/>
          <w:color w:val="000000"/>
          <w:sz w:val="24"/>
        </w:rPr>
        <w:t>. This certifies that, for value received, the Warrantholder or its permitted assigns or transferees is entitled, upon the terms hereinafter set forth, to acquire from the Company, in whole or in part, up to a maximum aggregate of 3,500,000</w:t>
      </w:r>
      <w:r>
        <w:rPr>
          <w:color w:val="000000"/>
        </w:rPr>
        <w:t xml:space="preserve"> </w:t>
      </w:r>
      <w:r>
        <w:rPr>
          <w:rFonts w:ascii="Times New Roman;sans-serif" w:hAnsi="Times New Roman;sans-serif"/>
          <w:b w:val="false"/>
          <w:color w:val="000000"/>
          <w:sz w:val="24"/>
        </w:rPr>
        <w:t>fully paid and nonassessable shares of Common Stock (the “</w:t>
      </w:r>
      <w:r>
        <w:rPr>
          <w:rFonts w:ascii="Times New Roman;sans-serif" w:hAnsi="Times New Roman;sans-serif"/>
          <w:b w:val="false"/>
          <w:color w:val="000000"/>
          <w:sz w:val="24"/>
          <w:u w:val="single"/>
        </w:rPr>
        <w:t>Warrant Shares</w:t>
      </w:r>
      <w:r>
        <w:rPr>
          <w:color w:val="000000"/>
        </w:rPr>
        <w:t>”</w:t>
      </w:r>
      <w:r>
        <w:rPr>
          <w:rFonts w:ascii="Times New Roman;sans-serif" w:hAnsi="Times New Roman;sans-serif"/>
          <w:b w:val="false"/>
          <w:color w:val="000000"/>
          <w:sz w:val="24"/>
        </w:rPr>
        <w:t xml:space="preserve">), at a purchase price per share of Common Stock equal to the Exercise Price. The Warrant Shares and Exercise Price are subject to adjustment and/or may be supplemented by or converted into other Equity Securities as provided herein, and all references to “Common Stock,” “Warrant Shares,” and “Exercise Price” herein shall be deemed to include any such adjustment, supplement, and/or conversion or series of adjustments, supplements, or conversions. This Warrant is issued in connection with the partial exercise of and in replacement of that certain Replacement Warrant to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Purchase Class A Common Stock with issue date February 5, 2025 (the “</w:t>
      </w:r>
      <w:r>
        <w:rPr>
          <w:rFonts w:ascii="Times New Roman;sans-serif" w:hAnsi="Times New Roman;sans-serif"/>
          <w:b w:val="false"/>
          <w:color w:val="000000"/>
          <w:sz w:val="24"/>
          <w:u w:val="single"/>
        </w:rPr>
        <w:t>Replacement Warrant</w:t>
      </w:r>
      <w:r>
        <w:rPr>
          <w:color w:val="000000"/>
        </w:rPr>
        <w:t>”</w:t>
      </w:r>
      <w:r>
        <w:rPr>
          <w:rFonts w:ascii="Times New Roman;sans-serif" w:hAnsi="Times New Roman;sans-serif"/>
          <w:b w:val="false"/>
          <w:color w:val="000000"/>
          <w:sz w:val="24"/>
        </w:rPr>
        <w:t>), which was issued in connection with the partial exercise and in replacement of that certain Warrant to Purchase Class A Common Stock with issue date November 10, 2021 (the “</w:t>
      </w:r>
      <w:r>
        <w:rPr>
          <w:rFonts w:ascii="Times New Roman;sans-serif" w:hAnsi="Times New Roman;sans-serif"/>
          <w:b w:val="false"/>
          <w:color w:val="000000"/>
          <w:sz w:val="24"/>
          <w:u w:val="single"/>
        </w:rPr>
        <w:t>Original Warrant</w:t>
      </w:r>
      <w:r>
        <w:rPr>
          <w:color w:val="000000"/>
        </w:rPr>
        <w:t>”</w:t>
      </w:r>
      <w:r>
        <w:rPr>
          <w:rFonts w:ascii="Times New Roman;sans-serif" w:hAnsi="Times New Roman;sans-serif"/>
          <w:b w:val="false"/>
          <w:color w:val="000000"/>
          <w:sz w:val="24"/>
        </w:rPr>
        <w:t>). Each of the Replacement Warrant and the Original Warrant were surrendered upon such partial exercise and all rights to acquire shares of the Company’s capital stock thereunder are hereby canceled and terminated.</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Exercise of Warrant; Term; Other Agreements; Book Entry; Cancelation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Promptly following the end of each calendar quarter prior to the Expiration Time and if a Vesting Event has occurred, the Company shall deliver to the Warrantholder a Notice of Vesting Event in the form attached as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neither the delivery, nor the failure of the Company to deliver, such Notice of Vesting Event shall affect or impair the Warrantholder’s rights or the Company’s obligations hereunder.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Subject to (A)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11(iii)</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 xml:space="preserve">, and (B) compliance with the Antitrust Laws (including with respect to any Warrant Shares issuable from exercise of this Warrant upon an additional Vesting Event or otherwise), as may be applicable, the right to purchase Warrant Shares represented by this Warrant is exercisable, in whole or in part by the Warrantholder, at any time or from time to time, from and after the applicable Vesting Event, but in no event later than 5:00 p.m., Seattle time, on May 9, 2029 (subject to extension pursuant to </w:t>
      </w:r>
      <w:r>
        <w:rPr>
          <w:rFonts w:ascii="Times New Roman;sans-serif" w:hAnsi="Times New Roman;sans-serif"/>
          <w:b w:val="false"/>
          <w:color w:val="000000"/>
          <w:sz w:val="24"/>
          <w:u w:val="single"/>
        </w:rPr>
        <w:t>Section 3(iii)</w:t>
      </w:r>
      <w:r>
        <w:rPr>
          <w:rFonts w:ascii="Times New Roman;sans-serif" w:hAnsi="Times New Roman;sans-serif"/>
          <w:b w:val="false"/>
          <w:color w:val="000000"/>
          <w:sz w:val="24"/>
        </w:rPr>
        <w:t>, such time as extended, if applicable, the “</w:t>
      </w:r>
      <w:r>
        <w:rPr>
          <w:rFonts w:ascii="Times New Roman;sans-serif" w:hAnsi="Times New Roman;sans-serif"/>
          <w:b w:val="false"/>
          <w:color w:val="000000"/>
          <w:sz w:val="24"/>
          <w:u w:val="single"/>
        </w:rPr>
        <w:t>Expiration Time</w:t>
      </w:r>
      <w:r>
        <w:rPr>
          <w:color w:val="000000"/>
        </w:rPr>
        <w:t xml:space="preserve">” </w:t>
      </w:r>
      <w:r>
        <w:rPr>
          <w:rFonts w:ascii="Times New Roman;sans-serif" w:hAnsi="Times New Roman;sans-serif"/>
          <w:b w:val="false"/>
          <w:color w:val="000000"/>
          <w:sz w:val="24"/>
        </w:rPr>
        <w:t>and such period from and after the applicable Vesting Event through the Expiration Time, the “</w:t>
      </w:r>
      <w:r>
        <w:rPr>
          <w:rFonts w:ascii="Times New Roman;sans-serif" w:hAnsi="Times New Roman;sans-serif"/>
          <w:b w:val="false"/>
          <w:color w:val="000000"/>
          <w:sz w:val="24"/>
          <w:u w:val="single"/>
        </w:rPr>
        <w:t>Exercise Period</w:t>
      </w:r>
      <w:r>
        <w:rPr>
          <w:color w:val="000000"/>
        </w:rPr>
        <w:t>”</w:t>
      </w:r>
      <w:r>
        <w:rPr>
          <w:rFonts w:ascii="Times New Roman;sans-serif" w:hAnsi="Times New Roman;sans-serif"/>
          <w:b w:val="false"/>
          <w:color w:val="000000"/>
          <w:sz w:val="24"/>
        </w:rPr>
        <w:t xml:space="preserve">), by (a) the surrender of this Warrant and the Notice of Exercise attached as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 xml:space="preserve">hereto, duly completed and executed on behalf of the Warrantholder, to the Company in accordance with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(or such other office or agency of the Company in the United States as it may designate by notice to the Warrantholder in accordance with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hereof (the “</w:t>
      </w:r>
      <w:r>
        <w:rPr>
          <w:rFonts w:ascii="Times New Roman;sans-serif" w:hAnsi="Times New Roman;sans-serif"/>
          <w:b w:val="false"/>
          <w:color w:val="000000"/>
          <w:sz w:val="24"/>
          <w:u w:val="single"/>
        </w:rPr>
        <w:t>Designated Company Office</w:t>
      </w:r>
      <w:r>
        <w:rPr>
          <w:color w:val="000000"/>
        </w:rPr>
        <w:t>”</w:t>
      </w:r>
      <w:r>
        <w:rPr>
          <w:rFonts w:ascii="Times New Roman;sans-serif" w:hAnsi="Times New Roman;sans-serif"/>
          <w:b w:val="false"/>
          <w:color w:val="000000"/>
          <w:sz w:val="24"/>
        </w:rPr>
        <w:t>)), and (b) payment of the Exercise Price for the Warrant Shares thereby purchased by, at the sole election of the Warrantholder, either: (i) tendering in cash, by certified or cashier’s check payable to the order of the Company, or by wire transfer of immediately available funds to an account designated by the Company (such manner of exercise, a “</w:t>
      </w:r>
      <w:r>
        <w:rPr>
          <w:rFonts w:ascii="Times New Roman;sans-serif" w:hAnsi="Times New Roman;sans-serif"/>
          <w:b w:val="false"/>
          <w:color w:val="000000"/>
          <w:sz w:val="24"/>
          <w:u w:val="single"/>
        </w:rPr>
        <w:t>Cash Exercise</w:t>
      </w:r>
      <w:r>
        <w:rPr>
          <w:color w:val="000000"/>
        </w:rPr>
        <w:t>”</w:t>
      </w:r>
      <w:r>
        <w:rPr>
          <w:rFonts w:ascii="Times New Roman;sans-serif" w:hAnsi="Times New Roman;sans-serif"/>
          <w:b w:val="false"/>
          <w:color w:val="000000"/>
          <w:sz w:val="24"/>
        </w:rPr>
        <w:t>) or (ii)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 (x) the number of Warrant Shares issuable upon the exercise of this Warrant (either in full or in two or more parts, as applicable) (if payment of the Exercise Price were being made in cash) and (y) the Cashless Exercise Ratio (such manner of exercise, a “</w:t>
      </w:r>
      <w:r>
        <w:rPr>
          <w:rFonts w:ascii="Times New Roman;sans-serif" w:hAnsi="Times New Roman;sans-serif"/>
          <w:b w:val="false"/>
          <w:color w:val="000000"/>
          <w:sz w:val="24"/>
          <w:u w:val="single"/>
        </w:rPr>
        <w:t>Cashless Exercise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product shall be rounded to the nearest whole Warrant Share.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Notwithstanding the foregoing, if at any time during the Exercise Period the Warrantholder has not exercised this Warrant in full as a result of there being insufficient Warrant Shares available for issuance or the lack of any required regulatory, corporate or other approval (including, for the avoidance of doubt, any approval required under the Antitrust Laws (including the Initial Antitrust Clearance), if so applicable) (collectively, the “</w:t>
      </w:r>
      <w:r>
        <w:rPr>
          <w:rFonts w:ascii="Times New Roman;sans-serif" w:hAnsi="Times New Roman;sans-serif"/>
          <w:b w:val="false"/>
          <w:color w:val="000000"/>
          <w:sz w:val="24"/>
          <w:u w:val="single"/>
        </w:rPr>
        <w:t>Exercise Conditions</w:t>
      </w:r>
      <w:r>
        <w:rPr>
          <w:color w:val="000000"/>
        </w:rPr>
        <w:t>”</w:t>
      </w:r>
      <w:r>
        <w:rPr>
          <w:rFonts w:ascii="Times New Roman;sans-serif" w:hAnsi="Times New Roman;sans-serif"/>
          <w:b w:val="false"/>
          <w:color w:val="000000"/>
          <w:sz w:val="24"/>
        </w:rPr>
        <w:t>), the Expiration Time shall be extended until 60 days after such date as the Warrantholder is able to acquire all of the vested Warrant Shares without violating any Exercise Conditions.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(iv)</w:t>
      </w:r>
      <w:r>
        <w:rPr>
          <w:rFonts w:ascii="Times New Roman;sans-serif" w:hAnsi="Times New Roman;sans-serif"/>
          <w:b w:val="false"/>
          <w:color w:val="000000"/>
          <w:sz w:val="24"/>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w:t>
      </w:r>
      <w:r>
        <w:rPr>
          <w:rFonts w:ascii="Times New Roman;sans-serif" w:hAnsi="Times New Roman;sans-serif"/>
          <w:b w:val="false"/>
          <w:color w:val="000000"/>
          <w:sz w:val="24"/>
        </w:rPr>
        <w:t>The Company shall either (a) maintain itself or (b) cause its transfer agent to maintain, in each case, books for the original issuance and the transfer and exercises of the Warrant issuable in connection therewith, in each case in accordance with the terms hereof in book-entry form. If the Company maintains books for the Warrant, then (I) the Company agrees that it will accept instructions from the Warrantholder for the transfer and exercise of the Warrants, to the extent permitted in accordance with the terms of the Warrant and the Transaction Agreement, and (II) the Company shall not require the delivery of the original Warrant or any copy thereof, in each case in certificated form, in connection with the transfer or exercise thereof. The Company shall be responsible for all fees and expenses with respect to maintaining the Warrant in book-entry form.</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(vi)</w:t>
      </w:r>
      <w:r>
        <w:rPr>
          <w:rFonts w:ascii="Times New Roman;sans-serif" w:hAnsi="Times New Roman;sans-serif"/>
          <w:b w:val="false"/>
          <w:color w:val="000000"/>
          <w:sz w:val="24"/>
        </w:rPr>
        <w:t xml:space="preserve">This Warrant, including with respect to its cancelation, is subject to the terms and conditions of the Transaction Agreement. Without affecting in any manner any prior exercise of this Warrant (or any Warrant Shares previously issued hereunder), if (a) the Transaction Agreement is terminated in accordance with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 xml:space="preserve">thereof or (b) the Warrantholder delivers to the Company a written, irrevocable commitment not to exercise this Warrant, then the Company shall have no obligation to issue, and the Warrantholder shall have no right to acquire, the unvested portion of any Warrant Shares under this Warrant.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(vii)</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4.</w:t>
      </w:r>
      <w:r>
        <w:rPr>
          <w:rFonts w:ascii="Times New Roman;sans-serif" w:hAnsi="Times New Roman;sans-serif"/>
          <w:b w:val="false"/>
          <w:color w:val="000000"/>
          <w:sz w:val="24"/>
          <w:u w:val="single"/>
        </w:rPr>
        <w:t>Issuance of Warrant Shares; Authorization; Listing; Cash Settlement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The Company shall, within [***] following the date of exercise of this Warrant, instruct the Company’s transfer agent to issue book-entry or book-entries for the Warrant Shares issued upon exercise of this Warrant [***] following the date of exercise of this Warrant (the “</w:t>
      </w:r>
      <w:r>
        <w:rPr>
          <w:rFonts w:ascii="Times New Roman;sans-serif" w:hAnsi="Times New Roman;sans-serif"/>
          <w:b w:val="false"/>
          <w:color w:val="000000"/>
          <w:sz w:val="24"/>
          <w:u w:val="single"/>
        </w:rPr>
        <w:t>Share Delivery Date</w:t>
      </w:r>
      <w:r>
        <w:rPr>
          <w:color w:val="000000"/>
        </w:rPr>
        <w:t>”</w:t>
      </w:r>
      <w:r>
        <w:rPr>
          <w:rFonts w:ascii="Times New Roman;sans-serif" w:hAnsi="Times New Roman;sans-serif"/>
          <w:b w:val="false"/>
          <w:color w:val="000000"/>
          <w:sz w:val="24"/>
        </w:rPr>
        <w:t>) in accordance with its terms in the name of the Warrantholder and shall deliver evidence of such book-entry or book-entries to the Warrantholder. If the Warrant Shares issued upon any exercise are registered under the Securities Act, in lieu of issuing a physical share certificate or book-entry, the Company’s transfer agent shall use the DTC Fast Automated Securities Transfer Program to credit such aggregate number of Warrant Shares to which the Warrantholder is entitled pursuant to such exercise to the Warrantholder’s or its designee’s balance account with DTC through its DWAC system. The Company shall be responsible for all fees and expenses of its transfer agent and all fees and expenses with respect to the issuance of Warrant Shares via DTC, if any, including without limitation for same day processing.</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The Company’s obligations to issue and deliver Warrant Shares in accordance with the terms and subject to the conditions hereof are absolute and unconditional, irrespective of any action or inaction by the Warrantholder to enforce the same, any waiver or consent with respect to any provision hereof, the recovery of any judgment against any Person or any action to enforce the same, or any setoff, counterclaim, recoupment, limitation, or 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not be required to deliver Warrant Shares with respect to an exercise prior to the Warrantholder’s delivery of the associated exercise price (or notice of cashless exercise).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The Company hereby represents and warrants that any Warrant Shares issued upon the exercise of this Warrant in accordance with the provisions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will be validly issued, fully paid and nonassessable and free of any liens or encumbrances (other than liens or encumbrances created by or in accordance with the Transaction Documents, transfer restrictions arising as a matter of U.S. federal securities laws or created by or at the direction of the Warrantholder or any of its Affiliates). Following the issuance of any Warrant Shares, the Company shall register such issuance in book-entry form in the name of the Warrantholder. The Warrant Shares so issued shall be deemed for all purposes to have been issued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or credited to the Warrantholder’s DTC account, as the case may be. The Company shall at all times reserve and keep available, out of its authorized but unissued Warrant Shares, solely for the purpose of providing for the exercise of this Warrant, the aggregate Warrant Shares then issuable upon exercise of this Warrant in full (disregarding whether or not this Warrant is exercisable by its terms at any such time).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(iv)</w:t>
      </w:r>
      <w:r>
        <w:rPr>
          <w:rFonts w:ascii="Times New Roman;sans-serif" w:hAnsi="Times New Roman;sans-serif"/>
          <w:b w:val="false"/>
          <w:color w:val="000000"/>
          <w:sz w:val="24"/>
        </w:rPr>
        <w:t xml:space="preserve">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5.</w:t>
      </w:r>
      <w:r>
        <w:rPr>
          <w:rFonts w:ascii="Times New Roman;sans-serif" w:hAnsi="Times New Roman;sans-serif"/>
          <w:b w:val="false"/>
          <w:color w:val="000000"/>
          <w:sz w:val="24"/>
          <w:u w:val="single"/>
        </w:rPr>
        <w:t>No Fractional Shares or Scrip</w:t>
      </w:r>
      <w:r>
        <w:rPr>
          <w:rFonts w:ascii="Times New Roman;sans-serif" w:hAnsi="Times New Roman;sans-serif"/>
          <w:b w:val="false"/>
          <w:color w:val="000000"/>
          <w:sz w:val="24"/>
        </w:rPr>
        <w:t>. No fractional Warrant Shares or other Equity Securities or scrip representing fractional Warrant Shares or other Equity Securities shall be issued upon any exercise of this Warrant. In lieu of any fractional share to which a Warrantholder would otherwise be entitled, the fractional Warrant Shares or other Equity Securities shall be rounded up to the next whole Warrant Share or other Equity Securities, and the Warrantholder shall be entitled to receive such rounded up number of Warrant Shares or other Equity Securities.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6.</w:t>
      </w:r>
      <w:r>
        <w:rPr>
          <w:rFonts w:ascii="Times New Roman;sans-serif" w:hAnsi="Times New Roman;sans-serif"/>
          <w:b w:val="false"/>
          <w:color w:val="000000"/>
          <w:sz w:val="24"/>
          <w:u w:val="single"/>
        </w:rPr>
        <w:t>No Rights as Shareholders; Transfer Books</w:t>
      </w:r>
      <w:r>
        <w:rPr>
          <w:rFonts w:ascii="Times New Roman;sans-serif" w:hAnsi="Times New Roman;sans-serif"/>
          <w:b w:val="false"/>
          <w:color w:val="000000"/>
          <w:sz w:val="24"/>
        </w:rPr>
        <w:t xml:space="preserve">. Without limiting in any respect the provisions of the Transaction Agreement and except as otherwise provided by the terms of this Warrant, this Warrant does not entitle the Warrantholder to act as a stockholder of the Company with respect to the Warrant Shares unless and until this Warrant is exercised with respect to the Warrant Shares and such shares are issued to the Warrantholder; for the avoidance of doubt, the this Warrant does not entitle the Warrantholder to (i) consent to any action of the shareholders of the Company, (ii) receive notice of or vote at any meeting of the shareholders, (iii) receive notice of any other proceedings of the Company, (iv) exercise any other rights whatsoever, in any such case, as a stockholder of the Company prior to the date of exercise of this Warrant, or (v) subject to </w:t>
      </w:r>
      <w:r>
        <w:rPr>
          <w:rFonts w:ascii="Times New Roman;sans-serif" w:hAnsi="Times New Roman;sans-serif"/>
          <w:b w:val="false"/>
          <w:color w:val="000000"/>
          <w:sz w:val="24"/>
          <w:u w:val="single"/>
        </w:rPr>
        <w:t>Section 11(ii)</w:t>
      </w:r>
      <w:r>
        <w:rPr>
          <w:color w:val="000000"/>
        </w:rPr>
        <w:t xml:space="preserve"> </w:t>
      </w:r>
      <w:r>
        <w:rPr>
          <w:rFonts w:ascii="Times New Roman;sans-serif" w:hAnsi="Times New Roman;sans-serif"/>
          <w:b w:val="false"/>
          <w:color w:val="000000"/>
          <w:sz w:val="24"/>
        </w:rPr>
        <w:t>below, receive cash dividends or similar distributions.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7.</w:t>
      </w:r>
      <w:r>
        <w:rPr>
          <w:rFonts w:ascii="Times New Roman;sans-serif" w:hAnsi="Times New Roman;sans-serif"/>
          <w:b w:val="false"/>
          <w:color w:val="000000"/>
          <w:sz w:val="24"/>
          <w:u w:val="single"/>
        </w:rPr>
        <w:t>Charges, Taxes, and Expenses</w:t>
      </w:r>
      <w:r>
        <w:rPr>
          <w:rFonts w:ascii="Times New Roman;sans-serif" w:hAnsi="Times New Roman;sans-serif"/>
          <w:b w:val="false"/>
          <w:color w:val="000000"/>
          <w:sz w:val="24"/>
        </w:rPr>
        <w:t>. Issuance of this Warrant and issuance of certificates for Warrant Shares to the Warrantholder upon the exercise of this Warrant shall be made without charge to the Warrantholder for any issue, registration or transfer tax, assessment or similar governmental charge (other than any such taxes, assessments or charges in respect of any transfer occurring contemporaneously therewith) or other incidental expense in respect of the issuance of such certificates, all of which taxes, assessments, charges and expenses shall be paid by the Company, other than the costs and expenses of counsel or any other advisor to or broker for the Warrantholder and its transferee.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8.</w:t>
      </w:r>
      <w:r>
        <w:rPr>
          <w:rFonts w:ascii="Times New Roman;sans-serif" w:hAnsi="Times New Roman;sans-serif"/>
          <w:b w:val="false"/>
          <w:color w:val="000000"/>
          <w:sz w:val="24"/>
          <w:u w:val="single"/>
        </w:rPr>
        <w:t>Transfer/Assignment</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This Warrant may be transferred only in accordance with the terms of the Transaction Agreement. Subject to compliance with the first sentence of this </w:t>
      </w:r>
      <w:r>
        <w:rPr>
          <w:rFonts w:ascii="Times New Roman;sans-serif" w:hAnsi="Times New Roman;sans-serif"/>
          <w:b w:val="false"/>
          <w:color w:val="000000"/>
          <w:sz w:val="24"/>
          <w:u w:val="single"/>
        </w:rPr>
        <w:t>Section 8(i)</w:t>
      </w:r>
      <w:r>
        <w:rPr>
          <w:color w:val="000000"/>
        </w:rPr>
        <w:t xml:space="preserve"> </w:t>
      </w:r>
      <w:r>
        <w:rPr>
          <w:rFonts w:ascii="Times New Roman;sans-serif" w:hAnsi="Times New Roman;sans-serif"/>
          <w:b w:val="false"/>
          <w:color w:val="000000"/>
          <w:sz w:val="24"/>
        </w:rPr>
        <w:t xml:space="preserve">and the legend as set forth on the cover page of this Warrant and the terms of the Transaction Agreement,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Designated Company Office. If the transferring holder does not transfer the entirety of its rights to purchase all Warrant Shares hereunder, such holder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pursuant to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shall be paid by the Company.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If and for so long as required by the Transaction Agreement, any Warrant certificate or book-entry issued hereunder shall contain a legend as set forth in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of the Transaction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9.</w:t>
      </w:r>
      <w:r>
        <w:rPr>
          <w:rFonts w:ascii="Times New Roman;sans-serif" w:hAnsi="Times New Roman;sans-serif"/>
          <w:b w:val="false"/>
          <w:color w:val="000000"/>
          <w:sz w:val="24"/>
          <w:u w:val="single"/>
        </w:rPr>
        <w:t>Exchange and Registry of Warrant</w:t>
      </w:r>
      <w:r>
        <w:rPr>
          <w:rFonts w:ascii="Times New Roman;sans-serif" w:hAnsi="Times New Roman;sans-serif"/>
          <w:b w:val="false"/>
          <w:color w:val="000000"/>
          <w:sz w:val="24"/>
        </w:rPr>
        <w:t>. This Warrant is exchangeable, subject to applicable securities laws, upon the surrender hereof by the Warrantholder to the Company, for a new warrant or warrants of like tenor and representing the right to purchase the same aggregate number of Warrant Shares. The Company shall maintain, or cause its transfer agent to maintain, a registry showing the name and address of the Warrantholder as the registered holder of this Warrant. This Warrant may be surrendered for exchange or exercise, in accordance with its terms, at the Designated Company Office, and the Company shall be entitled to rely in all respects, prior to written notice to the contrary, upon such registry.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10.</w:t>
      </w:r>
      <w:r>
        <w:rPr>
          <w:rFonts w:ascii="Times New Roman;sans-serif" w:hAnsi="Times New Roman;sans-serif"/>
          <w:b w:val="false"/>
          <w:color w:val="000000"/>
          <w:sz w:val="24"/>
          <w:u w:val="single"/>
        </w:rPr>
        <w:t>Non-Business Day Extension.</w:t>
      </w:r>
      <w:r>
        <w:rPr>
          <w:color w:val="000000"/>
        </w:rPr>
        <w:t xml:space="preserve"> </w:t>
      </w:r>
      <w:r>
        <w:rPr>
          <w:rFonts w:ascii="Times New Roman;sans-serif" w:hAnsi="Times New Roman;sans-serif"/>
          <w:b w:val="false"/>
          <w:color w:val="000000"/>
          <w:sz w:val="24"/>
        </w:rPr>
        <w:t>If the last or appointed day for the taking of any action or the expiration of any right required or granted herein shall not be a Business Day, then such action may be taken or such right may be exercised on the next succeeding day that is a Business Day.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11.</w:t>
      </w:r>
      <w:r>
        <w:rPr>
          <w:rFonts w:ascii="Times New Roman;sans-serif" w:hAnsi="Times New Roman;sans-serif"/>
          <w:b w:val="false"/>
          <w:color w:val="000000"/>
          <w:sz w:val="24"/>
          <w:u w:val="single"/>
        </w:rPr>
        <w:t>Adjustments and Other Rights</w:t>
      </w:r>
      <w:r>
        <w:rPr>
          <w:rFonts w:ascii="Times New Roman;sans-serif" w:hAnsi="Times New Roman;sans-serif"/>
          <w:b w:val="false"/>
          <w:color w:val="000000"/>
          <w:sz w:val="24"/>
        </w:rPr>
        <w:t xml:space="preserve">. The Exercise Price and Warrant Shares issuable upon exercise of this Warrant shall be subject to adjustment from time to time as follows;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more than one subsection of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is applicable to a single event, the subsection shall be applied that produces the largest adjustment and no single event shall cause an adjustment under more than one subsection of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so as to result in duplication.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Stock Splits, Subdivisions, Reclassifications, or Combinations</w:t>
      </w:r>
      <w:r>
        <w:rPr>
          <w:rFonts w:ascii="Times New Roman;sans-serif" w:hAnsi="Times New Roman;sans-serif"/>
          <w:b w:val="false"/>
          <w:color w:val="000000"/>
          <w:sz w:val="24"/>
        </w:rPr>
        <w:t xml:space="preserve">. If the Company shall at any time or from time to time (a) declare, order, pay, or make a dividend or make a distribution on its Common Stock in additional shares of Common Stock, (b) split, subdivide, or reclassify the outstanding shares of Common Stock into a greater number of shares, or (c) combine or reclassify the outstanding shares of Common Stock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 (1) the number of Warrant Shares issuable upon the exercise of this Warrant in full before the adjustment determined pursuant to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 (y) the new number of Warrant Shares issuable upon exercise of the Warrant in full determined pursuant to the immediately preceding sentence (disregarding whether or not this Warrant is exercisable by its terms at such time).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u w:val="single"/>
        </w:rPr>
        <w:t>Acquisition Transactions</w:t>
      </w:r>
      <w:r>
        <w:rPr>
          <w:rFonts w:ascii="Times New Roman;sans-serif" w:hAnsi="Times New Roman;sans-serif"/>
          <w:b w:val="false"/>
          <w:color w:val="000000"/>
          <w:sz w:val="24"/>
        </w:rPr>
        <w:t xml:space="preserve">. In case of any Acquisition Transaction or reclassification of Common Stock (other than a reclassification of Common Stock subject to adjustment pursuant to </w:t>
      </w:r>
      <w:r>
        <w:rPr>
          <w:rFonts w:ascii="Times New Roman;sans-serif" w:hAnsi="Times New Roman;sans-serif"/>
          <w:b w:val="false"/>
          <w:color w:val="000000"/>
          <w:sz w:val="24"/>
          <w:u w:val="single"/>
        </w:rPr>
        <w:t>Section 11(i)</w:t>
      </w:r>
      <w:r>
        <w:rPr>
          <w:rFonts w:ascii="Times New Roman;sans-serif" w:hAnsi="Times New Roman;sans-serif"/>
          <w:b w:val="false"/>
          <w:color w:val="000000"/>
          <w:sz w:val="24"/>
        </w:rPr>
        <w:t>), notwithstanding anything to the contrary contained herein, (a) the Company shall notify the Warrantholder in writing of such Acquisition Transaction or reclassification [***], and (b) solely in the event of an Acquisition Transaction that is a Business Combination or a reclassification, the Warrantholder’s right to receive Warrant Shares upon exercise of this Warrant shall be converted, effective upon the occurrence of such Business Combination or reclassification, into the right to exercise this Warrant to acquire the number of shares of stock or other securities or property (including cash) that the shares of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Common Stock have the right to elect the kind or amount of consideration receivable upon consummation of such Business Combination, then the Warrantholder shall have the right to make the same election upon exercise of this Warrant with respect to the number of shares of stock or other securities or property which the Warrantholder shall receive upon exercise of this Warrant.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(iv)</w:t>
      </w:r>
      <w:r>
        <w:rPr>
          <w:rFonts w:ascii="Times New Roman;sans-serif" w:hAnsi="Times New Roman;sans-serif"/>
          <w:b w:val="false"/>
          <w:color w:val="000000"/>
          <w:sz w:val="24"/>
          <w:u w:val="single"/>
        </w:rPr>
        <w:t>Rounding of Calculations; Minimum Adjustments</w:t>
      </w:r>
      <w:r>
        <w:rPr>
          <w:rFonts w:ascii="Times New Roman;sans-serif" w:hAnsi="Times New Roman;sans-serif"/>
          <w:b w:val="false"/>
          <w:color w:val="000000"/>
          <w:sz w:val="24"/>
        </w:rPr>
        <w:t xml:space="preserve">. All calculations under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shall be made to the nearest one-tenth (1/10th) of a cent or to the nearest one-hundredth (1/100th) of a share, as the case may be. Any provision of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to the contrary notwithstanding,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w:t>
      </w:r>
      <w:r>
        <w:rPr>
          <w:rFonts w:ascii="Times New Roman;sans-serif" w:hAnsi="Times New Roman;sans-serif"/>
          <w:b w:val="false"/>
          <w:color w:val="000000"/>
          <w:sz w:val="24"/>
          <w:u w:val="single"/>
        </w:rPr>
        <w:t>Timing of Issuance of Additional Securities Upon Certain Adjustments</w:t>
      </w:r>
      <w:r>
        <w:rPr>
          <w:rFonts w:ascii="Times New Roman;sans-serif" w:hAnsi="Times New Roman;sans-serif"/>
          <w:b w:val="false"/>
          <w:color w:val="000000"/>
          <w:sz w:val="24"/>
        </w:rPr>
        <w:t xml:space="preserve">. In any event in which (a) the provisions of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shall require that an adjustment (the “</w:t>
      </w:r>
      <w:r>
        <w:rPr>
          <w:rFonts w:ascii="Times New Roman;sans-serif" w:hAnsi="Times New Roman;sans-serif"/>
          <w:b w:val="false"/>
          <w:color w:val="000000"/>
          <w:sz w:val="24"/>
          <w:u w:val="single"/>
        </w:rPr>
        <w:t>Subject Adjustment</w:t>
      </w:r>
      <w:r>
        <w:rPr>
          <w:color w:val="000000"/>
        </w:rPr>
        <w:t>”</w:t>
      </w:r>
      <w:r>
        <w:rPr>
          <w:rFonts w:ascii="Times New Roman;sans-serif" w:hAnsi="Times New Roman;sans-serif"/>
          <w:b w:val="false"/>
          <w:color w:val="000000"/>
          <w:sz w:val="24"/>
        </w:rPr>
        <w:t>) shall become effective immediately after a record date (the “</w:t>
      </w:r>
      <w:r>
        <w:rPr>
          <w:rFonts w:ascii="Times New Roman;sans-serif" w:hAnsi="Times New Roman;sans-serif"/>
          <w:b w:val="false"/>
          <w:color w:val="000000"/>
          <w:sz w:val="24"/>
          <w:u w:val="single"/>
        </w:rPr>
        <w:t>Subject Record Date</w:t>
      </w:r>
      <w:r>
        <w:rPr>
          <w:color w:val="000000"/>
        </w:rPr>
        <w:t>”</w:t>
      </w:r>
      <w:r>
        <w:rPr>
          <w:rFonts w:ascii="Times New Roman;sans-serif" w:hAnsi="Times New Roman;sans-serif"/>
          <w:b w:val="false"/>
          <w:color w:val="000000"/>
          <w:sz w:val="24"/>
        </w:rPr>
        <w:t xml:space="preserve">) for an event and (b) the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upon request shall promptly deliver to such Warrantholder a due bill or other appropriate instrument evidencing such Warrantholder’s right to receive such additional shares (or other property, as applicable) upon the consummation of such event.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(vi)</w:t>
      </w:r>
      <w:r>
        <w:rPr>
          <w:rFonts w:ascii="Times New Roman;sans-serif" w:hAnsi="Times New Roman;sans-serif"/>
          <w:b w:val="false"/>
          <w:color w:val="000000"/>
          <w:sz w:val="24"/>
          <w:u w:val="single"/>
        </w:rPr>
        <w:t>Statement Regarding Adjustments</w:t>
      </w:r>
      <w:r>
        <w:rPr>
          <w:rFonts w:ascii="Times New Roman;sans-serif" w:hAnsi="Times New Roman;sans-serif"/>
          <w:b w:val="false"/>
          <w:color w:val="000000"/>
          <w:sz w:val="24"/>
        </w:rPr>
        <w:t xml:space="preserve">. Whenever the Exercise Price or the Warrant Shares into which this Warrant is exercisable shall be adjusted as provided in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 after the event giving rise to the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(vii)</w:t>
      </w:r>
      <w:r>
        <w:rPr>
          <w:rFonts w:ascii="Times New Roman;sans-serif" w:hAnsi="Times New Roman;sans-serif"/>
          <w:b w:val="false"/>
          <w:color w:val="000000"/>
          <w:sz w:val="24"/>
          <w:u w:val="single"/>
        </w:rPr>
        <w:t>Notice of Adjustment Event</w:t>
      </w:r>
      <w:r>
        <w:rPr>
          <w:rFonts w:ascii="Times New Roman;sans-serif" w:hAnsi="Times New Roman;sans-serif"/>
          <w:b w:val="false"/>
          <w:color w:val="000000"/>
          <w:sz w:val="24"/>
        </w:rPr>
        <w:t xml:space="preserve">. In the event that the Company shall propose to take any action of the type described in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(but only if the action of the type described in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would result in an adjustment in the Exercise Price or the Warrant Shares into which this Warrant is exercisable or a change in the type of securities or property to be delivered upon exercise of this Warrant), the Company shall provide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days prior to the date so fixed. In case of all other actions, such notice shall be given at least ten days prior to the taking of such proposed action unless the Company reasonably determines in good faith that, given the nature of such action, the provision of such notice at least ten days in advance is not reasonably practicable from a timing perspective, in which case such notice shall be given as far in advance prior to the taking of such proposed action as is reasonably practicable from a timing perspective.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(viii)</w:t>
      </w:r>
      <w:r>
        <w:rPr>
          <w:rFonts w:ascii="Times New Roman;sans-serif" w:hAnsi="Times New Roman;sans-serif"/>
          <w:b w:val="false"/>
          <w:color w:val="000000"/>
          <w:sz w:val="24"/>
          <w:u w:val="single"/>
        </w:rPr>
        <w:t>Adjustment Rules</w:t>
      </w:r>
      <w:r>
        <w:rPr>
          <w:rFonts w:ascii="Times New Roman;sans-serif" w:hAnsi="Times New Roman;sans-serif"/>
          <w:b w:val="false"/>
          <w:color w:val="000000"/>
          <w:sz w:val="24"/>
        </w:rPr>
        <w:t xml:space="preserve">. Any adjustments pursuant to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(ix)</w:t>
      </w:r>
      <w:r>
        <w:rPr>
          <w:rFonts w:ascii="Times New Roman;sans-serif" w:hAnsi="Times New Roman;sans-serif"/>
          <w:b w:val="false"/>
          <w:color w:val="000000"/>
          <w:sz w:val="24"/>
          <w:u w:val="single"/>
        </w:rPr>
        <w:t>No Impairment</w:t>
      </w:r>
      <w:r>
        <w:rPr>
          <w:rFonts w:ascii="Times New Roman;sans-serif" w:hAnsi="Times New Roman;sans-serif"/>
          <w:b w:val="false"/>
          <w:color w:val="000000"/>
          <w:sz w:val="24"/>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 (b) entitle the Warrantholder to an adjustment under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if the total number of shares of Common Stock issuable after such action upon exercise of this Warrant in full (disregarding whether or not this Warrant is exercisable by its terms at such time), together with all shares of Common Stock then outstanding and all shares of 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(x)</w:t>
      </w:r>
      <w:r>
        <w:rPr>
          <w:rFonts w:ascii="Times New Roman;sans-serif" w:hAnsi="Times New Roman;sans-serif"/>
          <w:b w:val="false"/>
          <w:color w:val="000000"/>
          <w:sz w:val="24"/>
          <w:u w:val="single"/>
        </w:rPr>
        <w:t>Proceedings Prior to Any Action Requiring Adjustment</w:t>
      </w:r>
      <w:r>
        <w:rPr>
          <w:rFonts w:ascii="Times New Roman;sans-serif" w:hAnsi="Times New Roman;sans-serif"/>
          <w:b w:val="false"/>
          <w:color w:val="000000"/>
          <w:sz w:val="24"/>
        </w:rPr>
        <w:t xml:space="preserve">. As a condition precedent to the taking of any action which would require an adjustment pursuant to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the Company shall promptly take any and all action which may be reasonably necessary, including obtaining approvals of regulatory or other governmental bodies, the Principal Trading Market or other applicable securities exchanges, or shareholders, or obtaining or seeking necessary exemptions therefrom (and the Warrantholder shall reasonably cooperate with the Company with respect to), in order that the Company may thereafter validly and legally issue as fully paid and nonassessable all shares of Common Stock, or all other securities or other property, that the Warrantholder is entitled to receive upon exercise of this Warrant pursuant to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(xi)</w:t>
      </w:r>
      <w:r>
        <w:rPr>
          <w:rFonts w:ascii="Times New Roman;sans-serif" w:hAnsi="Times New Roman;sans-serif"/>
          <w:b w:val="false"/>
          <w:color w:val="000000"/>
          <w:sz w:val="24"/>
          <w:u w:val="single"/>
        </w:rPr>
        <w:t>No Adjustment for Permitted Transactions</w:t>
      </w:r>
      <w:r>
        <w:rPr>
          <w:rFonts w:ascii="Times New Roman;sans-serif" w:hAnsi="Times New Roman;sans-serif"/>
          <w:b w:val="false"/>
          <w:color w:val="000000"/>
          <w:sz w:val="24"/>
        </w:rPr>
        <w:t xml:space="preserve">. Notwithstanding anything in this Warrant to the contrary, no adjustment shall be made pursuant to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in connection with any Permitted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12.</w:t>
      </w:r>
      <w:r>
        <w:rPr>
          <w:rFonts w:ascii="Times New Roman;sans-serif" w:hAnsi="Times New Roman;sans-serif"/>
          <w:b w:val="false"/>
          <w:color w:val="000000"/>
          <w:sz w:val="24"/>
          <w:u w:val="single"/>
        </w:rPr>
        <w:t>Beneficial Ownership Limitation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 Exchange Act, and any other applicable regulations of the Commission, including any Group of which the Warrantholder is a member (the foregoing, “</w:t>
      </w:r>
      <w:r>
        <w:rPr>
          <w:rFonts w:ascii="Times New Roman;sans-serif" w:hAnsi="Times New Roman;sans-serif"/>
          <w:b w:val="false"/>
          <w:color w:val="000000"/>
          <w:sz w:val="24"/>
          <w:u w:val="single"/>
        </w:rPr>
        <w:t>Attribution Parties</w:t>
      </w:r>
      <w:r>
        <w:rPr>
          <w:color w:val="000000"/>
        </w:rPr>
        <w:t>”</w:t>
      </w:r>
      <w:r>
        <w:rPr>
          <w:rFonts w:ascii="Times New Roman;sans-serif" w:hAnsi="Times New Roman;sans-serif"/>
          <w:b w:val="false"/>
          <w:color w:val="000000"/>
          <w:sz w:val="24"/>
        </w:rPr>
        <w:t>))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 this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 beneficial ownership shall be calculated in accordance with Section 13(d) of the Exchange Act and any other applicable regulations of the Commission. For purposes of this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 in determining the number of outstanding shares of Common Stock, a Warrantholder may rely on the number of outstanding shares of Common Stock as stated in the most recent of the following: (X) the Company’s most recent periodic or annual filing with the Commission, as the case may be, (Y) a more recent public announcement by the Company that is filed with the Commission, or (Z) a more recent notice by the Company or the Company’s transfer agent to the Warrantholder setting forth the number of shares of Common Stock then outstanding. Upon the written request of a 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exercise of this Warrant, by such Warrantholder or its Attribution Parties since the date as of which such number of outstanding shares of Common Stock was last publicly reported or confirmed to the Warrantholder. The Company shall be entitled to rely on representations made to it by the Warrantholder in any Notice of Exercise regarding its Beneficial Ownership Limitation. The Warrantholder acknowledges that the Warrantholder is solely responsible for any schedules or statements required to be filed by it in accordance with Section 13(d) or Section 16(a) of the Exchange Act.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Beneficial Ownership Limitation</w:t>
      </w:r>
      <w:r>
        <w:rPr>
          <w:color w:val="000000"/>
        </w:rPr>
        <w:t xml:space="preserve">” </w:t>
      </w:r>
      <w:r>
        <w:rPr>
          <w:rFonts w:ascii="Times New Roman;sans-serif" w:hAnsi="Times New Roman;sans-serif"/>
          <w:b w:val="false"/>
          <w:color w:val="000000"/>
          <w:sz w:val="24"/>
        </w:rPr>
        <w:t>shall initially be 4.999% of the number of shares of the Common Stock outstanding immediately after giving effect to the issuance of Warrant Shares pursuant to such Notice of Exercise (to the extent permitted pursuant to this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by written notice to the Company, which will not be effective until the 61st day after such notice is given by the Warrantholder to the Company, the Warrantholder may waive or amend the provisions of this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to change the Beneficial Ownership Limitation to any other number, and the provisions of this </w:t>
      </w:r>
      <w:r>
        <w:rPr>
          <w:rFonts w:ascii="Times New Roman;sans-serif" w:hAnsi="Times New Roman;sans-serif"/>
          <w:b w:val="false"/>
          <w:color w:val="000000"/>
          <w:sz w:val="24"/>
          <w:u w:val="single"/>
        </w:rPr>
        <w:t xml:space="preserve">Section 12 </w:t>
      </w:r>
      <w:r>
        <w:rPr>
          <w:rFonts w:ascii="Times New Roman;sans-serif" w:hAnsi="Times New Roman;sans-serif"/>
          <w:b w:val="false"/>
          <w:color w:val="000000"/>
          <w:sz w:val="24"/>
        </w:rPr>
        <w:t>shall continue to apply. Upon any such waiver or amendment to the Beneficial Ownership Limitation, the Beneficial Ownership Limitation may not be further waived or amended by the Warrantholder without first providing the minimum written notice required by the immediately preceding sentence. Notwithstanding the foregoing, at any time following notice of an Acquisition Transaction under </w:t>
      </w:r>
      <w:r>
        <w:rPr>
          <w:rFonts w:ascii="Times New Roman;sans-serif" w:hAnsi="Times New Roman;sans-serif"/>
          <w:b w:val="false"/>
          <w:color w:val="000000"/>
          <w:sz w:val="24"/>
          <w:u w:val="single"/>
        </w:rPr>
        <w:t>Section 11(iii)</w:t>
      </w:r>
      <w:r>
        <w:rPr>
          <w:color w:val="000000"/>
        </w:rPr>
        <w:t> </w:t>
      </w:r>
      <w:r>
        <w:rPr>
          <w:rFonts w:ascii="Times New Roman;sans-serif" w:hAnsi="Times New Roman;sans-serif"/>
          <w:b w:val="false"/>
          <w:color w:val="000000"/>
          <w:sz w:val="24"/>
        </w:rPr>
        <w:t xml:space="preserve">with respect to an Acquisition Transaction that is pursuant to any tender offer or exchange offer (by the Company or another Person (other than the Warrantholder or any Affiliate of the Warrantholder)), the Warrantholder may waive or amend the Beneficial Ownership Limitation effective immediately upon written notice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and may reinstitute a Beneficial Ownership Limitation at any time thereafter effective immediately upon written notice to the Company.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Notwithstanding the provisions of this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 xml:space="preserve">, none of the provisions of this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shall restrict in any way the number of shares of Common Stock which the Warrantholder may receive or beneficially own in order to determine the amount of securities or other consideration that the Warrantholder may receive in the event of an Acquisition Transaction as contemplated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this Warrant.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13.</w:t>
      </w:r>
      <w:r>
        <w:rPr>
          <w:rFonts w:ascii="Times New Roman;sans-serif" w:hAnsi="Times New Roman;sans-serif"/>
          <w:b w:val="false"/>
          <w:color w:val="000000"/>
          <w:sz w:val="24"/>
          <w:u w:val="single"/>
        </w:rPr>
        <w:t>Governing Law and Jurisdiction</w:t>
      </w:r>
      <w:r>
        <w:rPr>
          <w:rFonts w:ascii="Times New Roman;sans-serif" w:hAnsi="Times New Roman;sans-serif"/>
          <w:b w:val="false"/>
          <w:color w:val="000000"/>
          <w:sz w:val="24"/>
        </w:rPr>
        <w:t xml:space="preserve">. </w:t>
      </w:r>
      <w:r>
        <w:rPr>
          <w:rFonts w:ascii="Times New Roman;sans-serif" w:hAnsi="Times New Roman;sans-serif"/>
          <w:b/>
          <w:color w:val="000000"/>
          <w:sz w:val="24"/>
        </w:rPr>
        <w:t>This Warrant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Times New Roman;sans-serif" w:hAnsi="Times New Roman;sans-serif"/>
          <w:b/>
          <w:color w:val="000000"/>
          <w:sz w:val="24"/>
          <w:u w:val="single"/>
        </w:rPr>
        <w:t>Chosen Courts</w:t>
      </w:r>
      <w:r>
        <w:rPr>
          <w:color w:val="000000"/>
        </w:rPr>
        <w:t>”</w:t>
      </w:r>
      <w:r>
        <w:rPr>
          <w:rFonts w:ascii="Times New Roman;sans-serif" w:hAnsi="Times New Roman;sans-serif"/>
          <w:b/>
          <w:color w:val="000000"/>
          <w:sz w:val="24"/>
        </w:rPr>
        <w:t>), in the event any dispute (whether in contract, tort, or otherwise) arises out of this Warrant or the transactions contemplated hereby, (b) agrees that it shall not attempt to deny or defeat such personal jurisdiction by motion or other request for leave from any such court and waives any claim of lack of personal jurisdiction, improper venue and any claims that such courts are an inconvenient forum, and (c) agrees that it shall not bring any claim, action, or proceeding relating to this Warrant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Warrant.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14.</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This Warrant shall be binding upon any successors or assigns of the Company.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15.</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This Warrant may be amended and the observance of any term of this Warrant may be waived only with the written consent of the Company and the Warrantholder.</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16.</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Any notice, request, instruction or other document to be given hereunder by any party to the other shall be in writing and shall be deemed to have been duly given (a) if sent by United Parcel Service or FedEx on an overnight basis, signature receipt required, one Business Day after mailing, (b) if sent by email, with a copy mailed on the same day (or next Business Day, if such day is not a Business Day) in the manner provided in clause (a) of this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when transmitted and receipt is confirmed, or (c) if otherwise personally delivered, when delivered with signature receipt required. All notices hereunder shall be delivered as set forth below, or pursuant to such other instructions as may be designated in writing by the party to receive such notice.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Affirm Holdings, Inc.</w:t>
        <w:br/>
        <w:t>Address:    650 California Street, 12th Floor</w:t>
        <w:br/>
        <w:t>        San Francisco, CA 94108</w:t>
        <w:br/>
        <w:t>Attn:        Chief Legal Officer</w:t>
        <w:br/>
        <w:t>Email:        corporate.legal@affirm.com</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copy alone shall not constitute notice):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Baker &amp; McKenzie LLP</w:t>
        <w:br/>
        <w:t>Address:    600 Hansen Way</w:t>
        <w:br/>
        <w:t>        Palo Alto, California 94304</w:t>
        <w:br/>
        <w:t>Attn:        Lawrence C. Lee</w:t>
        <w:br/>
        <w:t>Email:        lawrence.c.lee@bakermckenzie.com</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and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Baker &amp; McKenzie LLP</w:t>
        <w:br/>
        <w:t>Address:    700 Louisiana Street, Suite 3000</w:t>
        <w:br/>
        <w:t>        Houston, Texas 77002</w:t>
        <w:br/>
        <w:t>Attn:        Jeremy Moore</w:t>
        <w:br/>
        <w:t>Email:        Jeremy.Moore@bakermckenzie.com</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Amazon.com Services LLC,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Amazon.com Services LLC</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c/o Amazon.com, Inc.</w:t>
        <w:br/>
        <w:t>Address:    410 Terry Avenue North</w:t>
        <w:br/>
        <w:t>        Seattle, Washington 98109-5210</w:t>
        <w:br/>
        <w:t>Attn:        General Counsel</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copy alone shall not constitute notice):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Gibson, Dunn &amp; Crutcher LLP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    1881 Page Mill Road</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Palo Alto, California 94304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Ed Batts, Esq.</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ebatts@gibsondunn.com</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17.</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Transaction Documents and the Confidentiality Agreement constitute the entire agreement and supersede all other prior agreements, understandings, representations, and warranties, both written and oral, between the parties, with respect to the subject matter hereof.</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18.</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The parties agree that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19.</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xml:space="preserve">.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Warrant Shares or as a shareholder of the Company, whether such liability is asserted by the Company or by creditors of the Company. Except as set forth in </w:t>
      </w:r>
      <w:r>
        <w:rPr>
          <w:rFonts w:ascii="Times New Roman;sans-serif" w:hAnsi="Times New Roman;sans-serif"/>
          <w:b w:val="false"/>
          <w:color w:val="000000"/>
          <w:sz w:val="24"/>
          <w:u w:val="single"/>
        </w:rPr>
        <w:t>Annex C</w:t>
      </w:r>
      <w:r>
        <w:rPr>
          <w:rFonts w:ascii="Times New Roman;sans-serif" w:hAnsi="Times New Roman;sans-serif"/>
          <w:b w:val="false"/>
          <w:color w:val="000000"/>
          <w:sz w:val="24"/>
        </w:rPr>
        <w:t>, the sole liability of the Warrantholder under this Warrant shall be the applicable aggregate Exercise Price if and when this Warrant is exercised in part or in whole.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20.</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When a reference is made in this Warrant to “Sections” or “Annexes” such reference shall be to a Section of, or Annex to, this Warrant unless otherwise indicated. The terms defined in the singular have a comparable meaning when used in the plural and vice versa. References to “herein,” “hereof,” “hereunder,” and the like refer to this Warrant as a whole and not to any particular section or provision, unless the context requires otherwise. References to “parties” refer to the parties to this Warrant. The headings contained in this Warrant are for reference purposes only and are not part of this Warrant. Whenever the words “include,” “includes,” or “including” are used in this Warrant, they shall be deemed followed by the words “without limitation.” No rule of construction against the draftsperson shall be applied in connection with the interpretation or enforcement of this Warrant, as this Warrant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21.</w:t>
      </w:r>
      <w:r>
        <w:rPr>
          <w:rFonts w:ascii="Times New Roman;sans-serif" w:hAnsi="Times New Roman;sans-serif"/>
          <w:b w:val="false"/>
          <w:color w:val="000000"/>
          <w:sz w:val="24"/>
          <w:u w:val="single"/>
        </w:rPr>
        <w:t>Replacement Warrant</w:t>
      </w:r>
      <w:r>
        <w:rPr>
          <w:rFonts w:ascii="Times New Roman;sans-serif" w:hAnsi="Times New Roman;sans-serif"/>
          <w:b w:val="false"/>
          <w:color w:val="000000"/>
          <w:sz w:val="24"/>
        </w:rPr>
        <w:t>. This Warrant consolidates, amends and restates, and replaces and supersedes the Replacement Warrant and the Original Warrant previously issued by the Company to the Warrantholder from and after the date hereof.</w:t>
      </w:r>
    </w:p>
    <w:p>
      <w:pPr>
        <w:pStyle w:val="TextBody"/>
        <w:bidi w:val="0"/>
        <w:spacing w:lineRule="auto" w:line="288"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this Warrant to be duly executed by a duly authorized officer.</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Dated: February 14, 2025</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AFFIRM HOLDINGS, INC. </w:t>
      </w:r>
    </w:p>
    <w:p>
      <w:pPr>
        <w:pStyle w:val="TextBody"/>
        <w:bidi w:val="0"/>
        <w:spacing w:lineRule="auto" w:line="288" w:before="480" w:after="283"/>
        <w:ind w:left="0" w:right="0" w:hanging="36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Rob O'Hare    </w:t>
      </w:r>
      <w:r>
        <w:rPr>
          <w:rFonts w:ascii="Times New Roman;sans-serif" w:hAnsi="Times New Roman;sans-serif"/>
          <w:b w:val="false"/>
          <w:color w:val="000000"/>
          <w:sz w:val="24"/>
        </w:rPr>
        <w:br/>
        <w:t>Name: Rob O’Hare</w:t>
        <w:br/>
        <w:t>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13105"/>
                <wp:effectExtent l="0" t="0" r="0" b="0"/>
                <wp:wrapNone/>
                <wp:docPr id="99" name="Frame99"/>
                <a:graphic xmlns:a="http://schemas.openxmlformats.org/drawingml/2006/main">
                  <a:graphicData uri="http://schemas.microsoft.com/office/word/2010/wordprocessingShape">
                    <wps:wsp>
                      <wps:cNvSpPr txBox="1"/>
                      <wps:spPr>
                        <a:xfrm>
                          <a:off x="0" y="0"/>
                          <a:ext cx="6480175" cy="71310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Replacement Warrant]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Replacement Warrant]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Annex A</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Notice of Vesting Event]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Amazon.com, Inc.</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     Notice of Vesting Event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Reference is made to that certain Warrant to Purchase Class A Common Stock, dated as of February 14, 2025 (the “</w:t>
      </w:r>
      <w:r>
        <w:rPr>
          <w:rFonts w:ascii="Times New Roman;sans-serif" w:hAnsi="Times New Roman;sans-serif"/>
          <w:b w:val="false"/>
          <w:color w:val="000000"/>
          <w:sz w:val="24"/>
          <w:u w:val="single"/>
        </w:rPr>
        <w:t>Warrant</w:t>
      </w:r>
      <w:r>
        <w:rPr>
          <w:color w:val="000000"/>
        </w:rPr>
        <w:t>”</w:t>
      </w:r>
      <w:r>
        <w:rPr>
          <w:rFonts w:ascii="Times New Roman;sans-serif" w:hAnsi="Times New Roman;sans-serif"/>
          <w:b w:val="false"/>
          <w:color w:val="000000"/>
          <w:sz w:val="24"/>
        </w:rPr>
        <w:t>), issued to Amazon.com Services LLC representing a warrant to purchase 3,500,000</w:t>
      </w:r>
      <w:r>
        <w:rPr>
          <w:color w:val="000000"/>
        </w:rPr>
        <w:t xml:space="preserve"> </w:t>
      </w:r>
      <w:r>
        <w:rPr>
          <w:rFonts w:ascii="Times New Roman;sans-serif" w:hAnsi="Times New Roman;sans-serif"/>
          <w:b w:val="false"/>
          <w:color w:val="000000"/>
          <w:sz w:val="24"/>
        </w:rPr>
        <w:t>shares of common stock of Affirm Holdings,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Capitalized terms used herein without definition are used as defined in the Warrant.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undersigned hereby delivers notice to you that a Vesting Event has occurred under the terms of the Warrant. </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Vesting Event</w:t>
      </w:r>
      <w:r>
        <w:rPr>
          <w:rFonts w:ascii="Times New Roman;sans-serif" w:hAnsi="Times New Roman;sans-serif"/>
          <w:b w:val="false"/>
          <w:color w:val="000000"/>
          <w:sz w:val="24"/>
        </w:rPr>
        <w:t>. The following Vesting Event has occurred on or around [●], 20__.</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Vested Warrant Shares</w:t>
      </w:r>
      <w:r>
        <w:rPr>
          <w:rFonts w:ascii="Times New Roman;sans-serif" w:hAnsi="Times New Roman;sans-serif"/>
          <w:b w:val="false"/>
          <w:color w:val="000000"/>
          <w:sz w:val="24"/>
        </w:rPr>
        <w:t>. After giving effect to the Vesting Event referenced in Paragraph A above, the aggregate number of Warrant Shares issuable upon exercise of the Warrant that have vested under the terms of the Warrant is:</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Exercised Warrant Shares</w:t>
      </w:r>
      <w:r>
        <w:rPr>
          <w:rFonts w:ascii="Times New Roman;sans-serif" w:hAnsi="Times New Roman;sans-serif"/>
          <w:b w:val="false"/>
          <w:color w:val="000000"/>
          <w:sz w:val="24"/>
        </w:rPr>
        <w:t>. The aggregate number of Warrant Shares issuable upon exercise of the Warrant that have been exercised as of the date hereof is:</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Purchase Price of Exercised Warrant Shares</w:t>
      </w:r>
      <w:r>
        <w:rPr>
          <w:rFonts w:ascii="Times New Roman;sans-serif" w:hAnsi="Times New Roman;sans-serif"/>
          <w:b w:val="false"/>
          <w:color w:val="000000"/>
          <w:sz w:val="24"/>
        </w:rPr>
        <w:t>. The aggregate purchase price of the Warrant Shares that have been exercised as of the date hereof is:</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Unexercised Warrant Shares</w:t>
      </w:r>
      <w:r>
        <w:rPr>
          <w:rFonts w:ascii="Times New Roman;sans-serif" w:hAnsi="Times New Roman;sans-serif"/>
          <w:b w:val="false"/>
          <w:color w:val="000000"/>
          <w:sz w:val="24"/>
        </w:rPr>
        <w:t>. After giving effect to the Vesting Event referenced in Paragraph A above, the aggregate number of Warrant Shares issuable upon exercise of the Warrant that have vested but remain unexercised under the Warrant is:</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w:t>
      </w:r>
    </w:p>
    <w:p>
      <w:pPr>
        <w:pStyle w:val="TextBody"/>
        <w:bidi w:val="0"/>
        <w:spacing w:before="0" w:after="24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hanging="720"/>
        <w:jc w:val="left"/>
        <w:rPr/>
      </w:pPr>
      <w:r>
        <w:rPr/>
      </w:r>
    </w:p>
    <w:p>
      <w:pPr>
        <w:pStyle w:val="TextBody"/>
        <w:bidi w:val="0"/>
        <w:spacing w:before="0" w:after="24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AFFIRM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 xml:space="preserve">Name: </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240"/>
        <w:ind w:left="0" w:right="0" w:hanging="72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Annex B</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Notice of Exercise]</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Affirm Holdings, Inc.</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    Election to Purchase Shares of Warrant Shares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 xml:space="preserve">The undersigned, pursuant to the provisions set forth in the attached Warrant, hereby agrees to subscribe for and purchase the number of Warrant Shares set forth below covered by such Warrant. The undersigned, in accordance with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of the Warrant, hereby agrees to pay the aggregate Exercise Price for such shares of Common Stock. A new warrant evidencing the remaining Warrant Shares covered by such Warrant, but not yet subscribed for and purchased, if any, should be issued in the name of the Warrantholder. Capitalized terms used herein without definition are used as defined in the Warrant.</w:t>
      </w:r>
    </w:p>
    <w:p>
      <w:pPr>
        <w:pStyle w:val="TextBody"/>
        <w:bidi w:val="0"/>
        <w:spacing w:lineRule="auto" w:line="288" w:before="0" w:after="240"/>
        <w:jc w:val="left"/>
        <w:rPr/>
      </w:pPr>
      <w:r>
        <w:rPr>
          <w:rFonts w:ascii="Times New Roman;sans-serif" w:hAnsi="Times New Roman;sans-serif"/>
          <w:b w:val="false"/>
          <w:color w:val="000000"/>
          <w:sz w:val="24"/>
        </w:rPr>
        <w:t xml:space="preserve">Number of Warrant Shares with respect to which the Warrant is being exercised (including shares to be withheld as payment of the Exercise Price pursuant to </w:t>
      </w:r>
      <w:r>
        <w:rPr>
          <w:rFonts w:ascii="Times New Roman;sans-serif" w:hAnsi="Times New Roman;sans-serif"/>
          <w:b w:val="false"/>
          <w:color w:val="000000"/>
          <w:sz w:val="24"/>
          <w:u w:val="single"/>
        </w:rPr>
        <w:t>Section 3(ii)(b)(ii)</w:t>
      </w:r>
      <w:r>
        <w:rPr>
          <w:color w:val="000000"/>
        </w:rPr>
        <w:t xml:space="preserve"> </w:t>
      </w:r>
      <w:r>
        <w:rPr>
          <w:rFonts w:ascii="Times New Roman;sans-serif" w:hAnsi="Times New Roman;sans-serif"/>
          <w:b w:val="false"/>
          <w:color w:val="000000"/>
          <w:sz w:val="24"/>
        </w:rPr>
        <w:t>of the Warrant, if any):</w:t>
        <w:br/>
        <w:t>______________________________________</w:t>
      </w:r>
    </w:p>
    <w:p>
      <w:pPr>
        <w:pStyle w:val="TextBody"/>
        <w:bidi w:val="0"/>
        <w:spacing w:lineRule="auto" w:line="288" w:before="0" w:after="240"/>
        <w:jc w:val="left"/>
        <w:rPr/>
      </w:pPr>
      <w:r>
        <w:rPr>
          <w:rFonts w:ascii="Times New Roman;sans-serif" w:hAnsi="Times New Roman;sans-serif"/>
          <w:b w:val="false"/>
          <w:color w:val="000000"/>
          <w:sz w:val="24"/>
        </w:rPr>
        <w:t xml:space="preserve">Method of Payment of Exercise Price (note if Cashless Exercise or Cash Exercise, in either case in accordance with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of the Warrant):</w:t>
        <w:br/>
        <w:t>___________________________________</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Aggregate Exercise Price: _______________________________</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Holder: </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 xml:space="preserve">Name: </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24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Annex C</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Vesting Events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With respect to increments of 250,000 Warrant Shares, upon achievement of a [***] of [***] for each calendar quarter beginning with the calendar quarter ended December 31, 2021 and ending with the calendar quarter ended December 31, 2024 [***]. For purposes of this paragraph, the vesting shall occur, and such Warrant Shares shall become exercisable with respect thereto, on the date that Amazon delivers to the Company the attestations required by Schedule 13.1E with respect to the applicable calendar quarter. With respect to the periods covering: (a) the Issue Date of the Warrant through the calendar quarter ended December 31, 2021 (the “</w:t>
      </w:r>
      <w:r>
        <w:rPr>
          <w:rFonts w:ascii="Times New Roman;sans-serif" w:hAnsi="Times New Roman;sans-serif"/>
          <w:b w:val="false"/>
          <w:color w:val="000000"/>
          <w:sz w:val="24"/>
          <w:u w:val="single"/>
        </w:rPr>
        <w:t>First Stub Period</w:t>
      </w:r>
      <w:r>
        <w:rPr>
          <w:color w:val="000000"/>
        </w:rPr>
        <w:t>”</w:t>
      </w:r>
      <w:r>
        <w:rPr>
          <w:rFonts w:ascii="Times New Roman;sans-serif" w:hAnsi="Times New Roman;sans-serif"/>
          <w:b w:val="false"/>
          <w:color w:val="000000"/>
          <w:sz w:val="24"/>
        </w:rPr>
        <w:t>) and (b) October 1, 2024 to November 9, 2024 (the “</w:t>
      </w:r>
      <w:r>
        <w:rPr>
          <w:rFonts w:ascii="Times New Roman;sans-serif" w:hAnsi="Times New Roman;sans-serif"/>
          <w:b w:val="false"/>
          <w:color w:val="000000"/>
          <w:sz w:val="24"/>
          <w:u w:val="single"/>
        </w:rPr>
        <w:t>Second Stub Period</w:t>
      </w:r>
      <w:r>
        <w:rPr>
          <w:color w:val="000000"/>
        </w:rPr>
        <w:t>”</w:t>
      </w:r>
      <w:r>
        <w:rPr>
          <w:rFonts w:ascii="Times New Roman;sans-serif" w:hAnsi="Times New Roman;sans-serif"/>
          <w:b w:val="false"/>
          <w:color w:val="000000"/>
          <w:sz w:val="24"/>
        </w:rPr>
        <w:t>), upon achievement of the vesting condition set forth in this paragraph, the Warrant shall be eligible to vest those number of Warrant Shares equal to 250,000 multiplied by a fraction, the numerator of which is the number of days in the First Stub Period or the Second Stub Period, as applicable, and the denominator of which is the sum of the number of days in the First Stub Period and the Second Stub Period (in calculating the First Stub Period and Second Stub Period, such period shall be deemed to include the first day and the last day set forth in such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 xml:space="preserve">With respect to increments of 250,000 Warrant Shares, each calendar quarter beginning with the calendar quarter ended December 31, 2021 and ending with the calendar quarter ended December 31, 2024;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 Termination Event did not occur during the period between the Issue Date and the applicable vesting date. For purposes of this paragraph, the vesting shall occur, and such Warrant Shares shall become exercisable with respect thereto, on the date that Amazon delivers to the Company the attestations required by Schedule 13.1E(2) with respect to the applicable calendar quarter. With respect to the periods covering: (a) the First Stub Period and (b) the Second Stub Period, upon achievement of the vesting condition set forth in this paragraph, the Warrant shall be eligible to vest those number of Warrant Shares equal to 250,000 multiplied by a fraction, the numerator of which is the number of days in the First Stub Period or the Second Stub Period, as applicable, and the denominator of which is the sum of the number of days in the First Stub Period and the Second Stub Period (in calculating the First Stub Period and Second Stub Period, such period shall be deemed to include the first day and the last day set forth in such period).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 xml:space="preserve">Unless the context otherwise requires, when used in this </w:t>
      </w:r>
      <w:r>
        <w:rPr>
          <w:rFonts w:ascii="Times New Roman;sans-serif" w:hAnsi="Times New Roman;sans-serif"/>
          <w:b w:val="false"/>
          <w:color w:val="000000"/>
          <w:sz w:val="24"/>
          <w:u w:val="single"/>
        </w:rPr>
        <w:t>Annex C</w:t>
      </w:r>
      <w:r>
        <w:rPr>
          <w:rFonts w:ascii="Times New Roman;sans-serif" w:hAnsi="Times New Roman;sans-serif"/>
          <w:b w:val="false"/>
          <w:color w:val="000000"/>
          <w:sz w:val="24"/>
        </w:rPr>
        <w:t>, the following terms shall have the meanings indicated.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Additional Site</w:t>
      </w:r>
      <w:r>
        <w:rPr>
          <w:color w:val="000000"/>
        </w:rPr>
        <w:t xml:space="preserve">” </w:t>
      </w:r>
      <w:r>
        <w:rPr>
          <w:rFonts w:ascii="Times New Roman;sans-serif" w:hAnsi="Times New Roman;sans-serif"/>
          <w:b w:val="false"/>
          <w:color w:val="000000"/>
          <w:sz w:val="24"/>
        </w:rPr>
        <w:t>has the meaning ascribed to it in the Commercial Agreement.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Amazon Site</w:t>
      </w:r>
      <w:r>
        <w:rPr>
          <w:color w:val="000000"/>
        </w:rPr>
        <w:t xml:space="preserve">” </w:t>
      </w:r>
      <w:r>
        <w:rPr>
          <w:rFonts w:ascii="Times New Roman;sans-serif" w:hAnsi="Times New Roman;sans-serif"/>
          <w:b w:val="false"/>
          <w:color w:val="000000"/>
          <w:sz w:val="24"/>
        </w:rPr>
        <w:t>has the meaning ascribed to it in the Commercial Agreement.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Long-Term Installments Product</w:t>
      </w:r>
      <w:r>
        <w:rPr>
          <w:color w:val="000000"/>
        </w:rPr>
        <w:t xml:space="preserve">” </w:t>
      </w:r>
      <w:r>
        <w:rPr>
          <w:rFonts w:ascii="Times New Roman;sans-serif" w:hAnsi="Times New Roman;sans-serif"/>
          <w:b w:val="false"/>
          <w:color w:val="000000"/>
          <w:sz w:val="24"/>
        </w:rPr>
        <w:t>has the meaning ascribed to it in the Commercial Agreement.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Short-Term Installments Product</w:t>
      </w:r>
      <w:r>
        <w:rPr>
          <w:color w:val="000000"/>
        </w:rPr>
        <w:t xml:space="preserve">” </w:t>
      </w:r>
      <w:r>
        <w:rPr>
          <w:rFonts w:ascii="Times New Roman;sans-serif" w:hAnsi="Times New Roman;sans-serif"/>
          <w:b w:val="false"/>
          <w:color w:val="000000"/>
          <w:sz w:val="24"/>
        </w:rPr>
        <w:t>has the meaning ascribed to it in the Commercial Agreement.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Termination Event</w:t>
      </w:r>
      <w:r>
        <w:rPr>
          <w:color w:val="000000"/>
        </w:rPr>
        <w:t xml:space="preserve">” </w:t>
      </w:r>
      <w:r>
        <w:rPr>
          <w:rFonts w:ascii="Times New Roman;sans-serif" w:hAnsi="Times New Roman;sans-serif"/>
          <w:b w:val="false"/>
          <w:color w:val="000000"/>
          <w:sz w:val="24"/>
        </w:rPr>
        <w:t>will have occurred if Amazon.com, Inc., any of its controlled Affiliates [***]</w:t>
      </w:r>
    </w:p>
    <w:p>
      <w:pPr>
        <w:pStyle w:val="TextBody"/>
        <w:bidi w:val="0"/>
        <w:spacing w:lineRule="auto" w:line="288" w:before="0" w:after="240"/>
        <w:ind w:left="0" w:right="0" w:firstLine="720"/>
        <w:jc w:val="left"/>
        <w:rPr>
          <w:color w:val="000000"/>
        </w:rPr>
      </w:pPr>
      <w:r>
        <w:rPr>
          <w:color w:val="000000"/>
        </w:rPr>
        <w:t>    </w:t>
      </w:r>
      <w:r>
        <w:rPr>
          <w:rFonts w:ascii="Times New Roman;sans-serif" w:hAnsi="Times New Roman;sans-serif"/>
          <w:b w:val="false"/>
          <w:color w:val="000000"/>
          <w:sz w:val="24"/>
        </w:rPr>
        <w:t>(x)[***]; or</w:t>
      </w:r>
    </w:p>
    <w:p>
      <w:pPr>
        <w:pStyle w:val="TextBody"/>
        <w:bidi w:val="0"/>
        <w:spacing w:lineRule="auto" w:line="288" w:before="0" w:after="240"/>
        <w:ind w:left="0" w:right="0" w:firstLine="720"/>
        <w:jc w:val="left"/>
        <w:rPr>
          <w:color w:val="000000"/>
        </w:rPr>
      </w:pPr>
      <w:r>
        <w:rPr>
          <w:color w:val="000000"/>
        </w:rPr>
        <w:t>    </w:t>
      </w:r>
      <w:r>
        <w:rPr>
          <w:rFonts w:ascii="Times New Roman;sans-serif" w:hAnsi="Times New Roman;sans-serif"/>
          <w:b w:val="false"/>
          <w:color w:val="000000"/>
          <w:sz w:val="24"/>
        </w:rPr>
        <w:t>(y)[***].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Territory</w:t>
      </w:r>
      <w:r>
        <w:rPr>
          <w:color w:val="000000"/>
        </w:rPr>
        <w:t xml:space="preserve">” </w:t>
      </w:r>
      <w:r>
        <w:rPr>
          <w:rFonts w:ascii="Times New Roman;sans-serif" w:hAnsi="Times New Roman;sans-serif"/>
          <w:b w:val="false"/>
          <w:color w:val="000000"/>
          <w:sz w:val="24"/>
        </w:rPr>
        <w:t>has the meaning ascribed to it in the Commercial Agreement.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GLOBAL CUSTOMER INSTALLMENT PROGRAM AGREEMENT</w:t>
      </w:r>
    </w:p>
    <w:p>
      <w:pPr>
        <w:pStyle w:val="TextBody"/>
        <w:bidi w:val="0"/>
        <w:spacing w:lineRule="auto" w:line="288" w:before="0" w:after="240"/>
        <w:jc w:val="both"/>
        <w:rPr/>
      </w:pPr>
      <w:r>
        <w:rPr>
          <w:rFonts w:ascii="Times New Roman;sans-serif" w:hAnsi="Times New Roman;sans-serif"/>
          <w:b w:val="false"/>
          <w:color w:val="000000"/>
          <w:sz w:val="20"/>
        </w:rPr>
        <w:t>This Global Customer Installment Program Agreement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is entered into as of February 14, 2025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by and between (i) (A) Shopify Inc., a Canadian corporation (“</w:t>
      </w:r>
      <w:r>
        <w:rPr>
          <w:rFonts w:ascii="Times New Roman;sans-serif" w:hAnsi="Times New Roman;sans-serif"/>
          <w:b/>
          <w:color w:val="000000"/>
          <w:sz w:val="20"/>
        </w:rPr>
        <w:t>Shopify CA</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Shopify</w:t>
      </w:r>
      <w:r>
        <w:rPr>
          <w:color w:val="000000"/>
        </w:rPr>
        <w:t>”</w:t>
      </w:r>
      <w:r>
        <w:rPr>
          <w:rFonts w:ascii="Times New Roman;sans-serif" w:hAnsi="Times New Roman;sans-serif"/>
          <w:b w:val="false"/>
          <w:color w:val="000000"/>
          <w:sz w:val="20"/>
        </w:rPr>
        <w:t>) or (B) the applicable Shopify Affiliate, and (ii) (A) Affirm Inc., a United States corporation (“</w:t>
      </w:r>
      <w:r>
        <w:rPr>
          <w:rFonts w:ascii="Times New Roman;sans-serif" w:hAnsi="Times New Roman;sans-serif"/>
          <w:b/>
          <w:color w:val="000000"/>
          <w:sz w:val="20"/>
        </w:rPr>
        <w:t>Affirm US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Affirm</w:t>
      </w:r>
      <w:r>
        <w:rPr>
          <w:color w:val="000000"/>
        </w:rPr>
        <w:t>”</w:t>
      </w:r>
      <w:r>
        <w:rPr>
          <w:rFonts w:ascii="Times New Roman;sans-serif" w:hAnsi="Times New Roman;sans-serif"/>
          <w:b w:val="false"/>
          <w:color w:val="000000"/>
          <w:sz w:val="20"/>
        </w:rPr>
        <w:t>). Shopify and Affirm may be referred to collectively as the “</w:t>
      </w:r>
      <w:r>
        <w:rPr>
          <w:rFonts w:ascii="Times New Roman;sans-serif" w:hAnsi="Times New Roman;sans-serif"/>
          <w:b/>
          <w:color w:val="000000"/>
          <w:sz w:val="20"/>
        </w:rPr>
        <w:t>Parties</w:t>
      </w:r>
      <w:r>
        <w:rPr>
          <w:color w:val="000000"/>
        </w:rPr>
        <w:t xml:space="preserve">” </w:t>
      </w:r>
      <w:r>
        <w:rPr>
          <w:rFonts w:ascii="Times New Roman;sans-serif" w:hAnsi="Times New Roman;sans-serif"/>
          <w:b w:val="false"/>
          <w:color w:val="000000"/>
          <w:sz w:val="20"/>
        </w:rPr>
        <w:t>or individually as a “</w:t>
      </w:r>
      <w:r>
        <w:rPr>
          <w:rFonts w:ascii="Times New Roman;sans-serif" w:hAnsi="Times New Roman;sans-serif"/>
          <w:b/>
          <w:color w:val="000000"/>
          <w:sz w:val="20"/>
        </w:rPr>
        <w:t>Party</w:t>
      </w:r>
      <w:r>
        <w:rPr>
          <w:rFonts w:ascii="Times New Roman;sans-serif" w:hAnsi="Times New Roman;sans-serif"/>
          <w:b w:val="false"/>
          <w:color w:val="000000"/>
          <w:sz w:val="20"/>
        </w:rPr>
        <w: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NOW, THEREFORE, in consideration of the mutual agreements set forth herein and for other good and valuable consideration, the receipt and sufficiency of which are hereby acknowledged, the Parties hereby to the terms of this Agreement. </w:t>
      </w:r>
    </w:p>
    <w:p>
      <w:pPr>
        <w:pStyle w:val="TextBody"/>
        <w:bidi w:val="0"/>
        <w:spacing w:lineRule="auto" w:line="288" w:before="0" w:after="0"/>
        <w:jc w:val="both"/>
        <w:rPr/>
      </w:pPr>
      <w:r>
        <w:rPr>
          <w:rFonts w:ascii="Times New Roman;sans-serif" w:hAnsi="Times New Roman;sans-serif"/>
          <w:b w:val="false"/>
          <w:color w:val="000000"/>
          <w:sz w:val="20"/>
        </w:rPr>
        <w:t>The Parties agree that upon the execution and delivery of a Territory Program Agreement by an affiliate of Affirm US (“</w:t>
      </w:r>
      <w:r>
        <w:rPr>
          <w:rFonts w:ascii="Times New Roman;sans-serif" w:hAnsi="Times New Roman;sans-serif"/>
          <w:b/>
          <w:color w:val="000000"/>
          <w:sz w:val="20"/>
        </w:rPr>
        <w:t>Affirm Affiliate</w:t>
      </w:r>
      <w:r>
        <w:rPr>
          <w:color w:val="000000"/>
        </w:rPr>
        <w:t xml:space="preserve">” </w:t>
      </w:r>
      <w:r>
        <w:rPr>
          <w:rFonts w:ascii="Times New Roman;sans-serif" w:hAnsi="Times New Roman;sans-serif"/>
          <w:b w:val="false"/>
          <w:color w:val="000000"/>
          <w:sz w:val="20"/>
        </w:rPr>
        <w:t>and together with Affirm US, the “</w:t>
      </w:r>
      <w:r>
        <w:rPr>
          <w:rFonts w:ascii="Times New Roman;sans-serif" w:hAnsi="Times New Roman;sans-serif"/>
          <w:b/>
          <w:color w:val="000000"/>
          <w:sz w:val="20"/>
        </w:rPr>
        <w:t>Affirm Parties</w:t>
      </w:r>
      <w:r>
        <w:rPr>
          <w:color w:val="000000"/>
        </w:rPr>
        <w:t xml:space="preserve">” </w:t>
      </w:r>
      <w:r>
        <w:rPr>
          <w:rFonts w:ascii="Times New Roman;sans-serif" w:hAnsi="Times New Roman;sans-serif"/>
          <w:b w:val="false"/>
          <w:color w:val="000000"/>
          <w:sz w:val="20"/>
        </w:rPr>
        <w:t>or individually, an “</w:t>
      </w:r>
      <w:r>
        <w:rPr>
          <w:rFonts w:ascii="Times New Roman;sans-serif" w:hAnsi="Times New Roman;sans-serif"/>
          <w:b/>
          <w:color w:val="000000"/>
          <w:sz w:val="20"/>
        </w:rPr>
        <w:t>Affirm Party</w:t>
      </w:r>
      <w:r>
        <w:rPr>
          <w:color w:val="000000"/>
        </w:rPr>
        <w:t>”</w:t>
      </w:r>
      <w:r>
        <w:rPr>
          <w:rFonts w:ascii="Times New Roman;sans-serif" w:hAnsi="Times New Roman;sans-serif"/>
          <w:b w:val="false"/>
          <w:color w:val="000000"/>
          <w:sz w:val="20"/>
        </w:rPr>
        <w:t>) and an affiliate of Shopify CA (“</w:t>
      </w:r>
      <w:r>
        <w:rPr>
          <w:rFonts w:ascii="Times New Roman;sans-serif" w:hAnsi="Times New Roman;sans-serif"/>
          <w:b/>
          <w:color w:val="000000"/>
          <w:sz w:val="20"/>
        </w:rPr>
        <w:t>Shopify Affiliate</w:t>
      </w:r>
      <w:r>
        <w:rPr>
          <w:color w:val="000000"/>
        </w:rPr>
        <w:t xml:space="preserve">” </w:t>
      </w:r>
      <w:r>
        <w:rPr>
          <w:rFonts w:ascii="Times New Roman;sans-serif" w:hAnsi="Times New Roman;sans-serif"/>
          <w:b w:val="false"/>
          <w:color w:val="000000"/>
          <w:sz w:val="20"/>
        </w:rPr>
        <w:t>and together with Shopify CA, the “</w:t>
      </w:r>
      <w:r>
        <w:rPr>
          <w:rFonts w:ascii="Times New Roman;sans-serif" w:hAnsi="Times New Roman;sans-serif"/>
          <w:b/>
          <w:color w:val="000000"/>
          <w:sz w:val="20"/>
        </w:rPr>
        <w:t>Shopify Parties</w:t>
      </w:r>
      <w:r>
        <w:rPr>
          <w:color w:val="000000"/>
        </w:rPr>
        <w:t xml:space="preserve">” </w:t>
      </w:r>
      <w:r>
        <w:rPr>
          <w:rFonts w:ascii="Times New Roman;sans-serif" w:hAnsi="Times New Roman;sans-serif"/>
          <w:b w:val="false"/>
          <w:color w:val="000000"/>
          <w:sz w:val="20"/>
        </w:rPr>
        <w:t>or individually, an “</w:t>
      </w:r>
      <w:r>
        <w:rPr>
          <w:rFonts w:ascii="Times New Roman;sans-serif" w:hAnsi="Times New Roman;sans-serif"/>
          <w:b/>
          <w:color w:val="000000"/>
          <w:sz w:val="20"/>
        </w:rPr>
        <w:t>Shopify Party</w:t>
      </w:r>
      <w:r>
        <w:rPr>
          <w:color w:val="000000"/>
        </w:rPr>
        <w:t>”</w:t>
      </w:r>
      <w:r>
        <w:rPr>
          <w:rFonts w:ascii="Times New Roman;sans-serif" w:hAnsi="Times New Roman;sans-serif"/>
          <w:b w:val="false"/>
          <w:color w:val="000000"/>
          <w:sz w:val="20"/>
        </w:rPr>
        <w:t>) in connection with expanding the Program to a new territory or country, such (i) Affirm Affiliate and all references to “Affirm” in this Agreement will be deemed to reference such Affirm Affiliate as the context requires, in each case solely with respect to its participation in the Program specified in the applicable Territory Program Agreement and its actions, inactions and omissions on its own behalf conducted under this Agreement and (ii) Shopify Affiliate will become a party to this Agreement and all references to “Shopify” in this Agreement will be deemed to reference such Shopify Affiliate as the context requires, in each case solely with respect to its participation in the Program specified in the applicable Territory Program Agreement and its actions, inactions and omissions on its own behalf conducted under this Agreement. Termination by a Shopify Affiliate or Affirm Affiliate of its participation in this Agreement will not automatically result in termination of this Agreement with any other Shopify Party or Affirm Party, respectively.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to (i) “Shopify” or a particular “Shopify Party” in this Agreement will refer to and only apply to that certain Shopify Party’s participation in the Program, or exercising rights, performing obligations or making representations and warranties under this Agreement or (ii) “Affirm” or a particular “Affirm Party” in this Agreement will refer to and only apply to that certain Affirm Party’s participation in the Program, or exercising rights, performing obligations or making representations and warranties under this Agreement. No Shopify Party is liable for the performance or obligations of any other Shopify Party under this Agreement and no Affirm Party is liable for the performance or obligations of any other Affirm Party under this Agreement. For the avoidance of doubt, each Agreement shall constitute a separate agreement between the applicable Affirm Party and Shopify Party, and no expiration, termination or breach of any Agreement shall constitute an expiration, termination or breach, or otherwise affect in any manner, any other Agreement, including any Program Outline or Territory Program Agreement. The parties executing the applicable Territory Program Agreement shall be solely responsible for all of the liabilities and obligations under this Agreement as they relate to such Territory Program Agreement.</w:t>
      </w:r>
    </w:p>
    <w:p>
      <w:pPr>
        <w:pStyle w:val="TextBody"/>
        <w:bidi w:val="0"/>
        <w:spacing w:lineRule="auto" w:line="288" w:before="0" w:after="240"/>
        <w:jc w:val="both"/>
        <w:rPr/>
      </w:pPr>
      <w:r>
        <w:rPr>
          <w:rFonts w:ascii="Times New Roman;sans-serif" w:hAnsi="Times New Roman;sans-serif"/>
          <w:b w:val="false"/>
          <w:color w:val="000000"/>
          <w:sz w:val="20"/>
        </w:rPr>
        <w:t>With respect to each Affirm Party and Shopify Party that executes a Territory Program Agreement, the Agreement is made up of the applicable Territory Program Agreement, the applicable Program Outline, the attached Terms and Conditions applicable to the Program for the applicable territory or country and services as well as any schedules, addenda, and exhibits that are attached (collectively and as with respect to each Affirm Party and Shopify Party (as applicable),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The applicable Parties may amend this Agreement through an additional exhibit, addendum or other amendment to this Agreement that is mutually agreed upon by the Parties.</w:t>
      </w:r>
    </w:p>
    <w:p>
      <w:pPr>
        <w:pStyle w:val="TextBody"/>
        <w:bidi w:val="0"/>
        <w:spacing w:lineRule="auto" w:line="288" w:before="0" w:after="240"/>
        <w:jc w:val="both"/>
        <w:rPr/>
      </w:pPr>
      <w:r>
        <w:rPr>
          <w:rFonts w:ascii="Times New Roman;sans-serif" w:hAnsi="Times New Roman;sans-serif"/>
          <w:b w:val="false"/>
          <w:color w:val="000000"/>
          <w:sz w:val="20"/>
        </w:rPr>
        <w:t>The Parties acknowledge and agree that this Agreement is intended to supersede and replace that Amended and Restated Customer Installment Program Agreement entered into between Shopify and Affirm US dated March 18, 2024, as amended (together with all exhibits and other attachments thereto, the “</w:t>
      </w:r>
      <w:r>
        <w:rPr>
          <w:rFonts w:ascii="Times New Roman;sans-serif" w:hAnsi="Times New Roman;sans-serif"/>
          <w:b/>
          <w:color w:val="000000"/>
          <w:sz w:val="20"/>
        </w:rPr>
        <w:t>US</w:t>
      </w:r>
      <w:r>
        <w:rPr>
          <w:color w:val="000000"/>
        </w:rPr>
        <w:t xml:space="preserve"> </w:t>
      </w:r>
      <w:r>
        <w:rPr>
          <w:rFonts w:ascii="Times New Roman;sans-serif" w:hAnsi="Times New Roman;sans-serif"/>
          <w:b/>
          <w:color w:val="000000"/>
          <w:sz w:val="20"/>
        </w:rPr>
        <w:t>A&amp;R Agreement</w:t>
      </w:r>
      <w:r>
        <w:rPr>
          <w:color w:val="000000"/>
        </w:rPr>
        <w:t>”</w:t>
      </w:r>
      <w:r>
        <w:rPr>
          <w:rFonts w:ascii="Times New Roman;sans-serif" w:hAnsi="Times New Roman;sans-serif"/>
          <w:b w:val="false"/>
          <w:color w:val="000000"/>
          <w:sz w:val="20"/>
        </w:rPr>
        <w:t>), which agreement will terminate as of the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follow]</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have caused this Agreement to be duly executed by their authorized representatives below.</w:t>
      </w:r>
    </w:p>
    <w:tbl>
      <w:tblPr>
        <w:tblW w:w="4559" w:type="dxa"/>
        <w:jc w:val="left"/>
        <w:tblInd w:w="0" w:type="dxa"/>
        <w:tblLayout w:type="fixed"/>
        <w:tblCellMar>
          <w:top w:w="28" w:type="dxa"/>
          <w:left w:w="28" w:type="dxa"/>
          <w:bottom w:w="28" w:type="dxa"/>
          <w:right w:w="28" w:type="dxa"/>
        </w:tblCellMar>
      </w:tblPr>
      <w:tblGrid>
        <w:gridCol w:w="928"/>
        <w:gridCol w:w="816"/>
        <w:gridCol w:w="821"/>
        <w:gridCol w:w="583"/>
        <w:gridCol w:w="583"/>
        <w:gridCol w:w="828"/>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left w:val="single" w:sz="4" w:space="0" w:color="000000"/>
            </w:tcBorders>
            <w:tcMar>
              <w:top w:w="30" w:type="dxa"/>
              <w:left w:w="44"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Shopify Inc.</w:t>
            </w:r>
          </w:p>
        </w:tc>
        <w:tc>
          <w:tcPr>
            <w:tcW w:w="1994" w:type="dxa"/>
            <w:gridSpan w:val="3"/>
            <w:tcBorders>
              <w:top w:val="single" w:sz="4" w:space="0" w:color="000000"/>
              <w:left w:val="single" w:sz="4" w:space="0" w:color="000000"/>
              <w:right w:val="single" w:sz="4" w:space="0" w:color="000000"/>
            </w:tcBorders>
            <w:tcMar>
              <w:top w:w="30" w:type="dxa"/>
              <w:left w:w="44" w:type="dxa"/>
              <w:bottom w:w="0" w:type="dxa"/>
              <w:right w:w="44"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Affirm, Inc.</w:t>
            </w:r>
          </w:p>
        </w:tc>
      </w:tr>
      <w:tr>
        <w:trPr/>
        <w:tc>
          <w:tcPr>
            <w:tcW w:w="2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Signature</w:t>
            </w:r>
            <w:r>
              <w:rPr>
                <w:rFonts w:ascii="Times New Roman;sans-serif" w:hAnsi="Times New Roman;sans-serif"/>
                <w:b w:val="false"/>
                <w:color w:val="000000"/>
                <w:sz w:val="20"/>
              </w:rPr>
              <w:t>: /s/ Jeff Hoffmeister</w:t>
            </w:r>
          </w:p>
        </w:tc>
        <w:tc>
          <w:tcPr>
            <w:tcW w:w="19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Signature</w:t>
            </w:r>
            <w:r>
              <w:rPr>
                <w:rFonts w:ascii="Times New Roman;sans-serif" w:hAnsi="Times New Roman;sans-serif"/>
                <w:b w:val="false"/>
                <w:color w:val="000000"/>
                <w:sz w:val="20"/>
              </w:rPr>
              <w:t>: /s/ Pat Suh</w:t>
            </w:r>
          </w:p>
        </w:tc>
      </w:tr>
      <w:tr>
        <w:trPr/>
        <w:tc>
          <w:tcPr>
            <w:tcW w:w="2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Name</w:t>
            </w:r>
            <w:r>
              <w:rPr>
                <w:rFonts w:ascii="Times New Roman;sans-serif" w:hAnsi="Times New Roman;sans-serif"/>
                <w:b w:val="false"/>
                <w:color w:val="000000"/>
                <w:sz w:val="20"/>
              </w:rPr>
              <w:t>:    Jeff Hoffmeister</w:t>
            </w:r>
          </w:p>
        </w:tc>
        <w:tc>
          <w:tcPr>
            <w:tcW w:w="19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Name</w:t>
            </w:r>
            <w:r>
              <w:rPr>
                <w:rFonts w:ascii="Times New Roman;sans-serif" w:hAnsi="Times New Roman;sans-serif"/>
                <w:b w:val="false"/>
                <w:color w:val="000000"/>
                <w:sz w:val="20"/>
              </w:rPr>
              <w:t>:     Pat Suh</w:t>
            </w:r>
          </w:p>
        </w:tc>
      </w:tr>
      <w:tr>
        <w:trPr/>
        <w:tc>
          <w:tcPr>
            <w:tcW w:w="2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Title</w:t>
            </w:r>
            <w:r>
              <w:rPr>
                <w:rFonts w:ascii="Times New Roman;sans-serif" w:hAnsi="Times New Roman;sans-serif"/>
                <w:b w:val="false"/>
                <w:color w:val="000000"/>
                <w:sz w:val="20"/>
              </w:rPr>
              <w:t>:     CFO</w:t>
            </w:r>
          </w:p>
        </w:tc>
        <w:tc>
          <w:tcPr>
            <w:tcW w:w="19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Title</w:t>
            </w:r>
            <w:r>
              <w:rPr>
                <w:rFonts w:ascii="Times New Roman;sans-serif" w:hAnsi="Times New Roman;sans-serif"/>
                <w:b w:val="false"/>
                <w:color w:val="000000"/>
                <w:sz w:val="20"/>
              </w:rPr>
              <w:t>:      SVP Revenue</w:t>
            </w:r>
          </w:p>
        </w:tc>
      </w:tr>
      <w:tr>
        <w:trPr/>
        <w:tc>
          <w:tcPr>
            <w:tcW w:w="25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w:t>
            </w:r>
            <w:r>
              <w:rPr>
                <w:rFonts w:ascii="Times New Roman;sans-serif" w:hAnsi="Times New Roman;sans-serif"/>
                <w:b w:val="false"/>
                <w:color w:val="000000"/>
                <w:sz w:val="20"/>
              </w:rPr>
              <w:t>2/17/2025</w:t>
            </w:r>
          </w:p>
        </w:tc>
        <w:tc>
          <w:tcPr>
            <w:tcW w:w="19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w:t>
            </w:r>
            <w:r>
              <w:rPr>
                <w:color w:val="000000"/>
              </w:rPr>
              <w:t xml:space="preserve"> </w:t>
            </w:r>
            <w:r>
              <w:rPr>
                <w:rFonts w:ascii="Times New Roman;sans-serif" w:hAnsi="Times New Roman;sans-serif"/>
                <w:b w:val="false"/>
                <w:color w:val="000000"/>
                <w:sz w:val="20"/>
              </w:rPr>
              <w:t>2/14/2025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TERMS AND CONDITIONS</w:t>
      </w:r>
    </w:p>
    <w:p>
      <w:pPr>
        <w:pStyle w:val="TextBody"/>
        <w:bidi w:val="0"/>
        <w:spacing w:lineRule="auto" w:line="288" w:before="0" w:after="24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Introduction</w:t>
      </w:r>
      <w:r>
        <w:rPr>
          <w:rFonts w:ascii="Times New Roman;sans-serif" w:hAnsi="Times New Roman;sans-serif"/>
          <w:b w:val="false"/>
          <w:color w:val="000000"/>
          <w:sz w:val="20"/>
        </w:rPr>
        <w:t>. Affirm offers, administers and/or provides access to certain consumer/buyer installment financial products and services issued or originated in a manner that complies with Applicable Law. Affirm and Shopify are entering into this Agreement for Affirm to make the Financial Product available to Customers and Eligible Merchants. The purpose of this Agreement is to establish the framework and Program pursuant to which the Financial Product is developed, marketed and implemented for use on the Shopify Platform for the benefit of Shopify Merchants and their customers.</w:t>
      </w:r>
    </w:p>
    <w:p>
      <w:pPr>
        <w:pStyle w:val="TextBody"/>
        <w:bidi w:val="0"/>
        <w:spacing w:lineRule="auto" w:line="288" w:before="0" w:after="240"/>
        <w:jc w:val="both"/>
        <w:rPr/>
      </w:pPr>
      <w:r>
        <w:rPr>
          <w:rFonts w:ascii="Times New Roman;sans-serif" w:hAnsi="Times New Roman;sans-serif"/>
          <w:b/>
          <w:color w:val="000000"/>
          <w:sz w:val="20"/>
        </w:rPr>
        <w:t>2.</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All capitalized terms used in this Agreement and not otherwise defined shall have the meaning as set forth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w:t>
      </w:r>
      <w:r>
        <w:rPr>
          <w:color w:val="000000"/>
        </w:rPr>
        <w:t>“</w:t>
      </w:r>
      <w:r>
        <w:rPr>
          <w:rFonts w:ascii="Times New Roman;sans-serif" w:hAnsi="Times New Roman;sans-serif"/>
          <w:b/>
          <w:color w:val="000000"/>
          <w:sz w:val="20"/>
        </w:rPr>
        <w:t>Affiliates</w:t>
      </w:r>
      <w:r>
        <w:rPr>
          <w:color w:val="000000"/>
        </w:rPr>
        <w:t xml:space="preserve">” </w:t>
      </w:r>
      <w:r>
        <w:rPr>
          <w:rFonts w:ascii="Times New Roman;sans-serif" w:hAnsi="Times New Roman;sans-serif"/>
          <w:b w:val="false"/>
          <w:color w:val="000000"/>
          <w:sz w:val="20"/>
        </w:rPr>
        <w:t>means any entity that directly or indirectly controls, is controlled by or is under common control with a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w:t>
      </w:r>
      <w:r>
        <w:rPr>
          <w:color w:val="000000"/>
        </w:rPr>
        <w:t>“</w:t>
      </w:r>
      <w:r>
        <w:rPr>
          <w:rFonts w:ascii="Times New Roman;sans-serif" w:hAnsi="Times New Roman;sans-serif"/>
          <w:b/>
          <w:color w:val="000000"/>
          <w:sz w:val="20"/>
        </w:rPr>
        <w:t>Affirm Materials</w:t>
      </w:r>
      <w:r>
        <w:rPr>
          <w:color w:val="000000"/>
        </w:rPr>
        <w:t xml:space="preserve">” </w:t>
      </w:r>
      <w:r>
        <w:rPr>
          <w:rFonts w:ascii="Times New Roman;sans-serif" w:hAnsi="Times New Roman;sans-serif"/>
          <w:b w:val="false"/>
          <w:color w:val="000000"/>
          <w:sz w:val="20"/>
        </w:rPr>
        <w:t>means any content, information, materials and items provided or made accessible by Affirm pursuant to this Agreement, including the Affirm API, links, text, images, audio, video and other copyright works, and software, tools, technologies and other functional items.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w:t>
      </w:r>
      <w:r>
        <w:rPr>
          <w:color w:val="000000"/>
        </w:rPr>
        <w:t>“</w:t>
      </w:r>
      <w:r>
        <w:rPr>
          <w:rFonts w:ascii="Times New Roman;sans-serif" w:hAnsi="Times New Roman;sans-serif"/>
          <w:b/>
          <w:color w:val="000000"/>
          <w:sz w:val="20"/>
        </w:rPr>
        <w:t>Affirm Pre-Existing IP</w:t>
      </w:r>
      <w:r>
        <w:rPr>
          <w:color w:val="000000"/>
        </w:rPr>
        <w:t xml:space="preserve">” </w:t>
      </w:r>
      <w:r>
        <w:rPr>
          <w:rFonts w:ascii="Times New Roman;sans-serif" w:hAnsi="Times New Roman;sans-serif"/>
          <w:b w:val="false"/>
          <w:color w:val="000000"/>
          <w:sz w:val="20"/>
        </w:rPr>
        <w:t>means Affirm’s concepts, data, designs, developments, documentation, drawings, hardware, improvements, information, inventions, processes, software, techniques, technology, tools, and any other Intellectual Property Rights, and any third-party licenses or other rights to use any of the foregoing, that are developed entirely independently by Affirm (or a third party, as applicable), at any time without any use of Shopify’s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w:t>
      </w:r>
      <w:r>
        <w:rPr>
          <w:color w:val="000000"/>
        </w:rPr>
        <w:t>“</w:t>
      </w:r>
      <w:r>
        <w:rPr>
          <w:rFonts w:ascii="Times New Roman;sans-serif" w:hAnsi="Times New Roman;sans-serif"/>
          <w:b/>
          <w:color w:val="000000"/>
          <w:sz w:val="20"/>
        </w:rPr>
        <w:t>Affirm’s Systems</w:t>
      </w:r>
      <w:r>
        <w:rPr>
          <w:color w:val="000000"/>
        </w:rPr>
        <w:t xml:space="preserve">” </w:t>
      </w:r>
      <w:r>
        <w:rPr>
          <w:rFonts w:ascii="Times New Roman;sans-serif" w:hAnsi="Times New Roman;sans-serif"/>
          <w:b w:val="false"/>
          <w:color w:val="000000"/>
          <w:sz w:val="20"/>
        </w:rPr>
        <w:t>means Affirm’s hardware, network, computing environment and/or systems.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w:t>
      </w:r>
      <w:r>
        <w:rPr>
          <w:color w:val="000000"/>
        </w:rPr>
        <w:t>“</w:t>
      </w:r>
      <w:r>
        <w:rPr>
          <w:rFonts w:ascii="Times New Roman;sans-serif" w:hAnsi="Times New Roman;sans-serif"/>
          <w:b/>
          <w:color w:val="000000"/>
          <w:sz w:val="20"/>
        </w:rPr>
        <w:t>Applicable Law</w:t>
      </w:r>
      <w:r>
        <w:rPr>
          <w:color w:val="000000"/>
        </w:rPr>
        <w:t xml:space="preserve">” </w:t>
      </w:r>
      <w:r>
        <w:rPr>
          <w:rFonts w:ascii="Times New Roman;sans-serif" w:hAnsi="Times New Roman;sans-serif"/>
          <w:b w:val="false"/>
          <w:color w:val="000000"/>
          <w:sz w:val="20"/>
        </w:rPr>
        <w:t>means all federal, state, and local laws and regulations, directives and any other relevant authorities, guidance and requirements, including those of Regulatory Authorities or payment networks, applicable to the Parties’ performance under this Agreement or the Program, including, but not limited to, as may be applicable, fair lending and any other applicable consumer protection laws and regulations, and any amendments and regulations promulgated therefrom, privacy and data protection laws and regulations, anti-money laundering/combatting the financing of terrorism laws and regulations (“</w:t>
      </w:r>
      <w:r>
        <w:rPr>
          <w:rFonts w:ascii="Times New Roman;sans-serif" w:hAnsi="Times New Roman;sans-serif"/>
          <w:b/>
          <w:color w:val="000000"/>
          <w:sz w:val="20"/>
        </w:rPr>
        <w:t>AML/CFT</w:t>
      </w:r>
      <w:r>
        <w:rPr>
          <w:color w:val="000000"/>
        </w:rPr>
        <w:t>”</w:t>
      </w:r>
      <w:r>
        <w:rPr>
          <w:rFonts w:ascii="Times New Roman;sans-serif" w:hAnsi="Times New Roman;sans-serif"/>
          <w:b w:val="false"/>
          <w:color w:val="000000"/>
          <w:sz w:val="20"/>
        </w:rPr>
        <w:t>), country/region sanctions legal requirements (“</w:t>
      </w:r>
      <w:r>
        <w:rPr>
          <w:rFonts w:ascii="Times New Roman;sans-serif" w:hAnsi="Times New Roman;sans-serif"/>
          <w:b/>
          <w:color w:val="000000"/>
          <w:sz w:val="20"/>
        </w:rPr>
        <w:t>Sanctions Requirements</w:t>
      </w:r>
      <w:r>
        <w:rPr>
          <w:color w:val="000000"/>
        </w:rPr>
        <w:t>”</w:t>
      </w:r>
      <w:r>
        <w:rPr>
          <w:rFonts w:ascii="Times New Roman;sans-serif" w:hAnsi="Times New Roman;sans-serif"/>
          <w:b w:val="false"/>
          <w:color w:val="000000"/>
          <w:sz w:val="20"/>
        </w:rPr>
        <w:t>) and applicable anti-bribery and anti-corruption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2.6</w:t>
      </w:r>
      <w:r>
        <w:rPr>
          <w:color w:val="000000"/>
        </w:rPr>
        <w:t>“</w:t>
      </w:r>
      <w:r>
        <w:rPr>
          <w:rFonts w:ascii="Times New Roman;sans-serif" w:hAnsi="Times New Roman;sans-serif"/>
          <w:b/>
          <w:color w:val="000000"/>
          <w:sz w:val="20"/>
        </w:rPr>
        <w:t>Application</w:t>
      </w:r>
      <w:r>
        <w:rPr>
          <w:color w:val="000000"/>
        </w:rPr>
        <w:t xml:space="preserve">” </w:t>
      </w:r>
      <w:r>
        <w:rPr>
          <w:rFonts w:ascii="Times New Roman;sans-serif" w:hAnsi="Times New Roman;sans-serif"/>
          <w:b w:val="false"/>
          <w:color w:val="000000"/>
          <w:sz w:val="20"/>
        </w:rPr>
        <w:t>means the action or document by which a Customer requests or applies for a Financial Product from Affirm in connection with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2.7</w:t>
      </w:r>
      <w:r>
        <w:rPr>
          <w:color w:val="000000"/>
        </w:rPr>
        <w:t>“</w:t>
      </w:r>
      <w:r>
        <w:rPr>
          <w:rFonts w:ascii="Times New Roman;sans-serif" w:hAnsi="Times New Roman;sans-serif"/>
          <w:b/>
          <w:color w:val="000000"/>
          <w:sz w:val="20"/>
        </w:rPr>
        <w:t>Application Processing</w:t>
      </w:r>
      <w:r>
        <w:rPr>
          <w:color w:val="000000"/>
        </w:rPr>
        <w:t xml:space="preserve">” </w:t>
      </w:r>
      <w:r>
        <w:rPr>
          <w:rFonts w:ascii="Times New Roman;sans-serif" w:hAnsi="Times New Roman;sans-serif"/>
          <w:b w:val="false"/>
          <w:color w:val="000000"/>
          <w:sz w:val="20"/>
        </w:rPr>
        <w:t>means those services necessary, in connection with an Application, to originate and establish a Financial Product in accordance with Applicable Law and the terms of the Program and the applicable Territory Program Agreement. Such services shall include but are not to be limited to: application of Affirm’s underwriting standards to incoming Applications, Sanctions Requirements screening, customer service, statement preparation and issuance, regulatory compliance, security and fraud control, and activity reporting.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2.8</w:t>
      </w:r>
      <w:r>
        <w:rPr>
          <w:color w:val="000000"/>
        </w:rPr>
        <w:t>“</w:t>
      </w:r>
      <w:r>
        <w:rPr>
          <w:rFonts w:ascii="Times New Roman;sans-serif" w:hAnsi="Times New Roman;sans-serif"/>
          <w:b/>
          <w:color w:val="000000"/>
          <w:sz w:val="20"/>
        </w:rPr>
        <w:t>Confidential Information</w:t>
      </w:r>
      <w:r>
        <w:rPr>
          <w:color w:val="000000"/>
        </w:rPr>
        <w:t xml:space="preserve">” </w:t>
      </w:r>
      <w:r>
        <w:rPr>
          <w:rFonts w:ascii="Times New Roman;sans-serif" w:hAnsi="Times New Roman;sans-serif"/>
          <w:b w:val="false"/>
          <w:color w:val="000000"/>
          <w:sz w:val="20"/>
        </w:rPr>
        <w:t xml:space="preserve">of the Disclosing Party means all data and information, regardless of the form or media, relating to the Disclosing Party of which the Receiving Party becomes aware as a consequence of, or in relation to, the performance of its obligations or rights under this Agreement, which (i) is not generally known by the public, and (ii) is reasonably identified as confidential at the time of disclosure or which, under the circumstances surrounding disclosure, ought to be reasonably considered as confidential. Confidential Information includes (a) any information about Disclosing Party’s and its Affiliates’ (1) employees, (2) business plans, methods and practices, (3) marketing plans, method and practices, including data flows, product processes and security features, (4) financial information, (5) price lists and pricing policies, (6) contracts and contractual relations with customers, (7) customer names and lists, and (8) personally identifiable information (as defined under Applicable Law); (b) technical information and requirements, drawings, engineering data, performance specifications; (c) the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existence and terms and conditions of this Agreement; and (d) confidential information of third parties. In addition to the above, Confidential Information of Shopify includes Merchant Information and Program Information.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2.9</w:t>
      </w:r>
      <w:r>
        <w:rPr>
          <w:color w:val="000000"/>
        </w:rPr>
        <w:t>“</w:t>
      </w:r>
      <w:r>
        <w:rPr>
          <w:rFonts w:ascii="Times New Roman;sans-serif" w:hAnsi="Times New Roman;sans-serif"/>
          <w:b/>
          <w:color w:val="000000"/>
          <w:sz w:val="20"/>
        </w:rPr>
        <w:t>Conflict”</w:t>
      </w:r>
      <w:r>
        <w:rPr>
          <w:color w:val="000000"/>
        </w:rPr>
        <w:t xml:space="preserve"> </w:t>
      </w:r>
      <w:r>
        <w:rPr>
          <w:rFonts w:ascii="Times New Roman;sans-serif" w:hAnsi="Times New Roman;sans-serif"/>
          <w:b w:val="false"/>
          <w:color w:val="000000"/>
          <w:sz w:val="20"/>
        </w:rPr>
        <w:t>means any dispute, controversy, or claim arising out of or relating to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2.10</w:t>
      </w:r>
      <w:r>
        <w:rPr>
          <w:color w:val="000000"/>
        </w:rPr>
        <w:t>“</w:t>
      </w:r>
      <w:r>
        <w:rPr>
          <w:rFonts w:ascii="Times New Roman;sans-serif" w:hAnsi="Times New Roman;sans-serif"/>
          <w:b/>
          <w:color w:val="000000"/>
          <w:sz w:val="20"/>
        </w:rPr>
        <w:t>Customer</w:t>
      </w:r>
      <w:r>
        <w:rPr>
          <w:color w:val="000000"/>
        </w:rPr>
        <w:t xml:space="preserve">” </w:t>
      </w:r>
      <w:r>
        <w:rPr>
          <w:rFonts w:ascii="Times New Roman;sans-serif" w:hAnsi="Times New Roman;sans-serif"/>
          <w:b w:val="false"/>
          <w:color w:val="000000"/>
          <w:sz w:val="20"/>
        </w:rPr>
        <w:t xml:space="preserve">or </w:t>
      </w:r>
      <w:r>
        <w:rPr>
          <w:color w:val="000000"/>
        </w:rPr>
        <w:t>“</w:t>
      </w:r>
      <w:r>
        <w:rPr>
          <w:rFonts w:ascii="Times New Roman;sans-serif" w:hAnsi="Times New Roman;sans-serif"/>
          <w:b/>
          <w:color w:val="000000"/>
          <w:sz w:val="20"/>
        </w:rPr>
        <w:t>Buyer”</w:t>
      </w:r>
      <w:r>
        <w:rPr>
          <w:color w:val="000000"/>
        </w:rPr>
        <w:t xml:space="preserve"> </w:t>
      </w:r>
      <w:r>
        <w:rPr>
          <w:rFonts w:ascii="Times New Roman;sans-serif" w:hAnsi="Times New Roman;sans-serif"/>
          <w:b w:val="false"/>
          <w:color w:val="000000"/>
          <w:sz w:val="20"/>
        </w:rPr>
        <w:t xml:space="preserve">means any third party that applies for, accesses or receives a Financial Product from an Eligible Merchant pursuant to the Program.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2.11</w:t>
      </w:r>
      <w:r>
        <w:rPr>
          <w:color w:val="000000"/>
        </w:rPr>
        <w:t>“</w:t>
      </w:r>
      <w:r>
        <w:rPr>
          <w:rFonts w:ascii="Times New Roman;sans-serif" w:hAnsi="Times New Roman;sans-serif"/>
          <w:b/>
          <w:color w:val="000000"/>
          <w:sz w:val="20"/>
        </w:rPr>
        <w:t>Customer Information</w:t>
      </w:r>
      <w:r>
        <w:rPr>
          <w:color w:val="000000"/>
        </w:rPr>
        <w:t xml:space="preserve">” </w:t>
      </w:r>
      <w:r>
        <w:rPr>
          <w:rFonts w:ascii="Times New Roman;sans-serif" w:hAnsi="Times New Roman;sans-serif"/>
          <w:b w:val="false"/>
          <w:color w:val="000000"/>
          <w:sz w:val="20"/>
        </w:rPr>
        <w:t>means all Personal Information (as defined under Applicable Law) that is submitted and/or obtained by or on behalf of Affirm or Shopify about a Customer or an Application (whether or not completed) for products or services offered pursuant to the Program, including demographic data, and transaction data and only in connection with the Services provided by Affirm under the Program. “Customer Information” does not include (i) information about a Customer provided by a non-Customer third party to Affirm or Shopify, including but not limited to consumer reports about Customers provided by credit bureaus; or (ii) any customer information that is not part of and was not provided in connection with the Program ((i) and (ii) each are considered “</w:t>
      </w:r>
      <w:r>
        <w:rPr>
          <w:rFonts w:ascii="Times New Roman;sans-serif" w:hAnsi="Times New Roman;sans-serif"/>
          <w:b/>
          <w:color w:val="000000"/>
          <w:sz w:val="20"/>
        </w:rPr>
        <w:t>Excluded Customer Information</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2.12</w:t>
      </w:r>
      <w:r>
        <w:rPr>
          <w:color w:val="000000"/>
        </w:rPr>
        <w:t>“</w:t>
      </w:r>
      <w:r>
        <w:rPr>
          <w:rFonts w:ascii="Times New Roman;sans-serif" w:hAnsi="Times New Roman;sans-serif"/>
          <w:b/>
          <w:color w:val="000000"/>
          <w:sz w:val="20"/>
        </w:rPr>
        <w:t>Customer Losses</w:t>
      </w:r>
      <w:r>
        <w:rPr>
          <w:color w:val="000000"/>
        </w:rPr>
        <w:t xml:space="preserve">” </w:t>
      </w:r>
      <w:r>
        <w:rPr>
          <w:rFonts w:ascii="Times New Roman;sans-serif" w:hAnsi="Times New Roman;sans-serif"/>
          <w:b w:val="false"/>
          <w:color w:val="000000"/>
          <w:sz w:val="20"/>
        </w:rPr>
        <w:t>means any amounts or losses resulting from (i) Customer fraud; or (ii) Customer failure to make loan payments or meet any other obligation to Affirm in accordance with any applicable Customer Agreement, as defined in Section 5.2.</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2.13</w:t>
      </w:r>
      <w:r>
        <w:rPr>
          <w:color w:val="000000"/>
        </w:rPr>
        <w:t>“</w:t>
      </w:r>
      <w:r>
        <w:rPr>
          <w:rFonts w:ascii="Times New Roman;sans-serif" w:hAnsi="Times New Roman;sans-serif"/>
          <w:b/>
          <w:color w:val="000000"/>
          <w:sz w:val="20"/>
        </w:rPr>
        <w:t>Disclosing Party</w:t>
      </w:r>
      <w:r>
        <w:rPr>
          <w:color w:val="000000"/>
        </w:rPr>
        <w:t xml:space="preserve">” </w:t>
      </w:r>
      <w:r>
        <w:rPr>
          <w:rFonts w:ascii="Times New Roman;sans-serif" w:hAnsi="Times New Roman;sans-serif"/>
          <w:b w:val="false"/>
          <w:color w:val="000000"/>
          <w:sz w:val="20"/>
        </w:rPr>
        <w:t>means the Party providing Confidential Information to the other Party directly or indirectly (via one or more third parties acting on behalf of and at the direction of the Disclosing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2.14</w:t>
      </w:r>
      <w:r>
        <w:rPr>
          <w:color w:val="000000"/>
        </w:rPr>
        <w:t>“</w:t>
      </w:r>
      <w:r>
        <w:rPr>
          <w:rFonts w:ascii="Times New Roman;sans-serif" w:hAnsi="Times New Roman;sans-serif"/>
          <w:b/>
          <w:color w:val="000000"/>
          <w:sz w:val="20"/>
        </w:rPr>
        <w:t>Down Payment</w:t>
      </w:r>
      <w:r>
        <w:rPr>
          <w:color w:val="000000"/>
        </w:rPr>
        <w:t xml:space="preserve">” </w:t>
      </w:r>
      <w:r>
        <w:rPr>
          <w:rFonts w:ascii="Times New Roman;sans-serif" w:hAnsi="Times New Roman;sans-serif"/>
          <w:b w:val="false"/>
          <w:color w:val="000000"/>
          <w:sz w:val="20"/>
        </w:rPr>
        <w:t>means a Customer’s initial, one-time partial payment of the applicable purchase price (i.e., down payment) that is collected by Affirm from a Customer on behalf of an Eligible Merchant in connection with a Successful Transaction.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2.15</w:t>
      </w:r>
      <w:r>
        <w:rPr>
          <w:color w:val="000000"/>
        </w:rPr>
        <w:t>“</w:t>
      </w:r>
      <w:r>
        <w:rPr>
          <w:rFonts w:ascii="Times New Roman;sans-serif" w:hAnsi="Times New Roman;sans-serif"/>
          <w:b/>
          <w:color w:val="000000"/>
          <w:sz w:val="20"/>
        </w:rPr>
        <w:t>Eligible Merchant</w:t>
      </w:r>
      <w:r>
        <w:rPr>
          <w:color w:val="000000"/>
        </w:rPr>
        <w:t xml:space="preserve">” </w:t>
      </w:r>
      <w:r>
        <w:rPr>
          <w:rFonts w:ascii="Times New Roman;sans-serif" w:hAnsi="Times New Roman;sans-serif"/>
          <w:b w:val="false"/>
          <w:color w:val="000000"/>
          <w:sz w:val="20"/>
        </w:rPr>
        <w:t>means any Merchant approved by Shopify and Affirm (in compliance with this Agreement) to participate in the Program and makes the Financial Product available to Customers.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2.16</w:t>
      </w:r>
      <w:r>
        <w:rPr>
          <w:color w:val="000000"/>
        </w:rPr>
        <w:t>“</w:t>
      </w:r>
      <w:r>
        <w:rPr>
          <w:rFonts w:ascii="Times New Roman;sans-serif" w:hAnsi="Times New Roman;sans-serif"/>
          <w:b/>
          <w:color w:val="000000"/>
          <w:sz w:val="20"/>
        </w:rPr>
        <w:t>Excluded Customer</w:t>
      </w:r>
      <w:r>
        <w:rPr>
          <w:color w:val="000000"/>
        </w:rPr>
        <w:t xml:space="preserve">” </w:t>
      </w:r>
      <w:r>
        <w:rPr>
          <w:rFonts w:ascii="Times New Roman;sans-serif" w:hAnsi="Times New Roman;sans-serif"/>
          <w:b w:val="false"/>
          <w:color w:val="000000"/>
          <w:sz w:val="20"/>
        </w:rPr>
        <w:t>means any customer of Affirm who has obtained a product or service from Affirm outside of or unrelated to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2.17</w:t>
      </w:r>
      <w:r>
        <w:rPr>
          <w:color w:val="000000"/>
        </w:rPr>
        <w:t>“</w:t>
      </w:r>
      <w:r>
        <w:rPr>
          <w:rFonts w:ascii="Times New Roman;sans-serif" w:hAnsi="Times New Roman;sans-serif"/>
          <w:b/>
          <w:color w:val="000000"/>
          <w:sz w:val="20"/>
        </w:rPr>
        <w:t>Excluded Customer Information</w:t>
      </w:r>
      <w:r>
        <w:rPr>
          <w:color w:val="000000"/>
        </w:rPr>
        <w:t xml:space="preserve">” </w:t>
      </w:r>
      <w:r>
        <w:rPr>
          <w:rFonts w:ascii="Times New Roman;sans-serif" w:hAnsi="Times New Roman;sans-serif"/>
          <w:b w:val="false"/>
          <w:color w:val="000000"/>
          <w:sz w:val="20"/>
        </w:rPr>
        <w:t xml:space="preserve">means, in addition to information described in 2.11(i) and (ii) herein, all information, whether personally identifiable or in aggregate, obtained by Affirm about an Excluded Customer independently of the Program.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2.18</w:t>
      </w:r>
      <w:r>
        <w:rPr>
          <w:color w:val="000000"/>
        </w:rPr>
        <w:t>“</w:t>
      </w:r>
      <w:r>
        <w:rPr>
          <w:rFonts w:ascii="Times New Roman;sans-serif" w:hAnsi="Times New Roman;sans-serif"/>
          <w:b/>
          <w:color w:val="000000"/>
          <w:sz w:val="20"/>
        </w:rPr>
        <w:t>Excluded Merchant</w:t>
      </w:r>
      <w:r>
        <w:rPr>
          <w:color w:val="000000"/>
        </w:rPr>
        <w:t xml:space="preserve">” </w:t>
      </w:r>
      <w:r>
        <w:rPr>
          <w:rFonts w:ascii="Times New Roman;sans-serif" w:hAnsi="Times New Roman;sans-serif"/>
          <w:b w:val="false"/>
          <w:color w:val="000000"/>
          <w:sz w:val="20"/>
        </w:rPr>
        <w:t>means any Merchant who, both prior to the applicable Program launch and independent of the Program, has obtained a product or service from Affirm and who Affirm has not migrated to the Program in accordance with the applicable Program Outline and Territory Program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2.19</w:t>
      </w:r>
      <w:r>
        <w:rPr>
          <w:color w:val="000000"/>
        </w:rPr>
        <w:t>“</w:t>
      </w:r>
      <w:r>
        <w:rPr>
          <w:rFonts w:ascii="Times New Roman;sans-serif" w:hAnsi="Times New Roman;sans-serif"/>
          <w:b/>
          <w:color w:val="000000"/>
          <w:sz w:val="20"/>
        </w:rPr>
        <w:t>Excluded Merchant Information</w:t>
      </w:r>
      <w:r>
        <w:rPr>
          <w:color w:val="000000"/>
        </w:rPr>
        <w:t xml:space="preserve">” </w:t>
      </w:r>
      <w:r>
        <w:rPr>
          <w:rFonts w:ascii="Times New Roman;sans-serif" w:hAnsi="Times New Roman;sans-serif"/>
          <w:b w:val="false"/>
          <w:color w:val="000000"/>
          <w:sz w:val="20"/>
        </w:rPr>
        <w:t xml:space="preserve">means all information, whether personally identifiable or in aggregate, obtained by Affirm about an Excluded Merchant.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2.20</w:t>
      </w:r>
      <w:r>
        <w:rPr>
          <w:color w:val="000000"/>
        </w:rPr>
        <w:t>“</w:t>
      </w:r>
      <w:r>
        <w:rPr>
          <w:rFonts w:ascii="Times New Roman;sans-serif" w:hAnsi="Times New Roman;sans-serif"/>
          <w:b/>
          <w:color w:val="000000"/>
          <w:sz w:val="20"/>
        </w:rPr>
        <w:t>Financial Product</w:t>
      </w:r>
      <w:r>
        <w:rPr>
          <w:color w:val="000000"/>
        </w:rPr>
        <w:t xml:space="preserve">” </w:t>
      </w:r>
      <w:r>
        <w:rPr>
          <w:rFonts w:ascii="Times New Roman;sans-serif" w:hAnsi="Times New Roman;sans-serif"/>
          <w:b w:val="false"/>
          <w:color w:val="000000"/>
          <w:sz w:val="20"/>
        </w:rPr>
        <w:t>means a consumer/buyer installments financial product or service offered by Affirm to Customers pursuant to or in connection with the Program and as further described in a Program Outline.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2.21</w:t>
      </w:r>
      <w:r>
        <w:rPr>
          <w:color w:val="000000"/>
        </w:rPr>
        <w:t>“</w:t>
      </w:r>
      <w:r>
        <w:rPr>
          <w:rFonts w:ascii="Times New Roman;sans-serif" w:hAnsi="Times New Roman;sans-serif"/>
          <w:b/>
          <w:color w:val="000000"/>
          <w:sz w:val="20"/>
        </w:rPr>
        <w:t>Force Majeure Event</w:t>
      </w:r>
      <w:r>
        <w:rPr>
          <w:color w:val="000000"/>
        </w:rPr>
        <w:t xml:space="preserve">” </w:t>
      </w:r>
      <w:r>
        <w:rPr>
          <w:rFonts w:ascii="Times New Roman;sans-serif" w:hAnsi="Times New Roman;sans-serif"/>
          <w:b w:val="false"/>
          <w:color w:val="000000"/>
          <w:sz w:val="20"/>
        </w:rPr>
        <w:t xml:space="preserve">as used in this Agreement will mean an unanticipated event that is not reasonably within the control of the affected Party or its subcontractors, such as (i) acts of God, fire, flood, explosion, earthquake, or other natural forces, war, civil unrest, (ii) unforeseeable pandemics or epidemics that are officially declared by the World Health Organization, combined with labor force quarantines that are officially declared as such by an applicable governmental authority, as a result of such World Health Organization declaration, (iii) any other event similar to those enumerated above and which by exercise of reasonable due diligence, such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affected Party or its subcontractors could not reasonably have been expected to avoid, overcome or obtain, or cause to be obtained, a commercially reasonable substitute therefore, or (iv) restraints or delays impacting power, storage, transportation, or supplies. For the avoidance of doubt, the current COVID-19 pandemic is expressly carved out of this Force Majeure Event and neither party expresses a position whether it would meet the criteria set forth in subclause (ii) above.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2.22</w:t>
      </w:r>
      <w:r>
        <w:rPr>
          <w:color w:val="000000"/>
        </w:rPr>
        <w:t>“</w:t>
      </w:r>
      <w:r>
        <w:rPr>
          <w:rFonts w:ascii="Times New Roman;sans-serif" w:hAnsi="Times New Roman;sans-serif"/>
          <w:b/>
          <w:color w:val="000000"/>
          <w:sz w:val="20"/>
        </w:rPr>
        <w:t>Intellectual Property Rights</w:t>
      </w:r>
      <w:r>
        <w:rPr>
          <w:color w:val="000000"/>
        </w:rPr>
        <w:t xml:space="preserve">” </w:t>
      </w:r>
      <w:r>
        <w:rPr>
          <w:rFonts w:ascii="Times New Roman;sans-serif" w:hAnsi="Times New Roman;sans-serif"/>
          <w:b w:val="false"/>
          <w:color w:val="000000"/>
          <w:sz w:val="20"/>
        </w:rPr>
        <w:t>means (i) inventions, improvements, patents (including all reissues, continuations, continuations-in-part, revisions, extensions, and reexaminations thereof) and patent applications, (ii) trademarks, service marks, trade names and trade dress, together with the goodwill associated therewith, (iii) works of authorship and copyrights, including copyrights in computer software, databases and television programming and all rights related thereto, (iv) confidential and proprietary information, including trade secrets and know-how, (v) processes, methods, procedures and materials, (vi) data, databases and information, (vii) software, tools and machine-readable texts and files, (viii) literary work or other work of authorship, including documentation, reports, drawings, charts, graphics, and other written documentation, together with all copyrights and moral rights, (ix) all other intellectual property or proprietary rights, and (x) all registrations and applications for registration and other rights in or appurtenant to the foregoing items described in clauses (i) through (ix)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2.23</w:t>
      </w:r>
      <w:r>
        <w:rPr>
          <w:color w:val="000000"/>
        </w:rPr>
        <w:t>“</w:t>
      </w:r>
      <w:r>
        <w:rPr>
          <w:rFonts w:ascii="Times New Roman;sans-serif" w:hAnsi="Times New Roman;sans-serif"/>
          <w:b/>
          <w:color w:val="000000"/>
          <w:sz w:val="20"/>
        </w:rPr>
        <w:t>Materials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Program Materials</w:t>
      </w:r>
      <w:r>
        <w:rPr>
          <w:color w:val="000000"/>
        </w:rPr>
        <w:t xml:space="preserve">” </w:t>
      </w:r>
      <w:r>
        <w:rPr>
          <w:rFonts w:ascii="Times New Roman;sans-serif" w:hAnsi="Times New Roman;sans-serif"/>
          <w:b w:val="false"/>
          <w:color w:val="000000"/>
          <w:sz w:val="20"/>
        </w:rPr>
        <w:t>means, individually and collectively, Affirm Materials and/or Shopify Materials.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2.24</w:t>
      </w:r>
      <w:r>
        <w:rPr>
          <w:color w:val="000000"/>
        </w:rPr>
        <w:t>“</w:t>
      </w:r>
      <w:r>
        <w:rPr>
          <w:rFonts w:ascii="Times New Roman;sans-serif" w:hAnsi="Times New Roman;sans-serif"/>
          <w:b/>
          <w:color w:val="000000"/>
          <w:sz w:val="20"/>
        </w:rPr>
        <w:t>Merchant</w:t>
      </w:r>
      <w:r>
        <w:rPr>
          <w:color w:val="000000"/>
        </w:rPr>
        <w:t xml:space="preserve">” </w:t>
      </w:r>
      <w:r>
        <w:rPr>
          <w:rFonts w:ascii="Times New Roman;sans-serif" w:hAnsi="Times New Roman;sans-serif"/>
          <w:b w:val="false"/>
          <w:color w:val="000000"/>
          <w:sz w:val="20"/>
        </w:rPr>
        <w:t xml:space="preserve">means any Shopify customer on the Shopify platform that is in the business of selling goods and/or services unless otherwise expressly excluded from this definition as mutually agreed by the Parties.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2.25</w:t>
      </w:r>
      <w:r>
        <w:rPr>
          <w:color w:val="000000"/>
        </w:rPr>
        <w:t>“</w:t>
      </w:r>
      <w:r>
        <w:rPr>
          <w:rFonts w:ascii="Times New Roman;sans-serif" w:hAnsi="Times New Roman;sans-serif"/>
          <w:b/>
          <w:color w:val="000000"/>
          <w:sz w:val="20"/>
        </w:rPr>
        <w:t>Merchant Information</w:t>
      </w:r>
      <w:r>
        <w:rPr>
          <w:color w:val="000000"/>
        </w:rPr>
        <w:t xml:space="preserve">” </w:t>
      </w:r>
      <w:r>
        <w:rPr>
          <w:rFonts w:ascii="Times New Roman;sans-serif" w:hAnsi="Times New Roman;sans-serif"/>
          <w:b w:val="false"/>
          <w:color w:val="000000"/>
          <w:sz w:val="20"/>
        </w:rPr>
        <w:t>means any information or data obtained during the Term and in connection with the Program about Merchants specifically including, but not limited to, the following: the fact that someone is a Merchant; all lists of Merchants; and all information relating to and identified with such Merchants or its owners. “Merchant Information” does not include (i) information about a Merchant provided by a non-Merchant third party to only Affirm or Shopify, including but not limited to credit reports about Merchants provided by credit bureaus or a similar reporting agency; or (ii) any information about merchants not related to or not provided or processed in connection with the Program (collectively “Excluded Merchant Information”). For the avoidance of doubt, Merchant Information shall be considered Confidential Information and not Personal Information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2.26</w:t>
      </w:r>
      <w:r>
        <w:rPr>
          <w:color w:val="000000"/>
        </w:rPr>
        <w:t>“</w:t>
      </w:r>
      <w:r>
        <w:rPr>
          <w:rFonts w:ascii="Times New Roman;sans-serif" w:hAnsi="Times New Roman;sans-serif"/>
          <w:b/>
          <w:color w:val="000000"/>
          <w:sz w:val="20"/>
        </w:rPr>
        <w:t>Merchant Losses</w:t>
      </w:r>
      <w:r>
        <w:rPr>
          <w:color w:val="000000"/>
        </w:rPr>
        <w:t xml:space="preserve">” </w:t>
      </w:r>
      <w:r>
        <w:rPr>
          <w:rFonts w:ascii="Times New Roman;sans-serif" w:hAnsi="Times New Roman;sans-serif"/>
          <w:b w:val="false"/>
          <w:color w:val="000000"/>
          <w:sz w:val="20"/>
        </w:rPr>
        <w:t xml:space="preserve">means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(i) </w:t>
      </w:r>
      <w:r>
        <w:rPr>
          <w:rFonts w:ascii="Times New Roman;sans-serif" w:hAnsi="Times New Roman;sans-serif"/>
          <w:b w:val="false"/>
          <w:color w:val="000000"/>
          <w:sz w:val="22"/>
        </w:rPr>
        <w:t>[***]</w:t>
      </w:r>
      <w:r>
        <w:rPr>
          <w:rFonts w:ascii="Times New Roman;sans-serif" w:hAnsi="Times New Roman;sans-serif"/>
          <w:b w:val="false"/>
          <w:color w:val="000000"/>
          <w:sz w:val="20"/>
        </w:rPr>
        <w:t xml:space="preserve">; (ii) </w:t>
      </w:r>
      <w:r>
        <w:rPr>
          <w:rFonts w:ascii="Times New Roman;sans-serif" w:hAnsi="Times New Roman;sans-serif"/>
          <w:b w:val="false"/>
          <w:color w:val="000000"/>
          <w:sz w:val="22"/>
        </w:rPr>
        <w:t>[***]</w:t>
      </w:r>
      <w:r>
        <w:rPr>
          <w:rFonts w:ascii="Times New Roman;sans-serif" w:hAnsi="Times New Roman;sans-serif"/>
          <w:b w:val="false"/>
          <w:color w:val="000000"/>
          <w:sz w:val="20"/>
        </w:rPr>
        <w:t xml:space="preserve">; or (iii)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set forth in the applicable Merchant Agreement, as defined in Section 5.2.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2.27</w:t>
      </w:r>
      <w:r>
        <w:rPr>
          <w:color w:val="000000"/>
        </w:rPr>
        <w:t>“</w:t>
      </w:r>
      <w:r>
        <w:rPr>
          <w:rFonts w:ascii="Times New Roman;sans-serif" w:hAnsi="Times New Roman;sans-serif"/>
          <w:b/>
          <w:color w:val="000000"/>
          <w:sz w:val="20"/>
        </w:rPr>
        <w:t>Migrated Merchant</w:t>
      </w:r>
      <w:r>
        <w:rPr>
          <w:color w:val="000000"/>
        </w:rPr>
        <w:t xml:space="preserve">” </w:t>
      </w:r>
      <w:r>
        <w:rPr>
          <w:rFonts w:ascii="Times New Roman;sans-serif" w:hAnsi="Times New Roman;sans-serif"/>
          <w:b w:val="false"/>
          <w:color w:val="000000"/>
          <w:sz w:val="20"/>
        </w:rPr>
        <w:t xml:space="preserve">means any Eligible Merchant that has participated in an Affirm product prior to the date of the migration as described in the applicable Program Outline and Territory Program Agreement and has moved over to the Program in accordance with the applicable Program Outline and Territory Program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2.28</w:t>
      </w:r>
      <w:r>
        <w:rPr>
          <w:color w:val="000000"/>
        </w:rPr>
        <w:t>“</w:t>
      </w:r>
      <w:r>
        <w:rPr>
          <w:rFonts w:ascii="Times New Roman;sans-serif" w:hAnsi="Times New Roman;sans-serif"/>
          <w:b/>
          <w:color w:val="000000"/>
          <w:sz w:val="20"/>
        </w:rPr>
        <w:t>Non-Employee Personnel</w:t>
      </w:r>
      <w:r>
        <w:rPr>
          <w:color w:val="000000"/>
        </w:rPr>
        <w:t xml:space="preserve">” </w:t>
      </w:r>
      <w:r>
        <w:rPr>
          <w:rFonts w:ascii="Times New Roman;sans-serif" w:hAnsi="Times New Roman;sans-serif"/>
          <w:b w:val="false"/>
          <w:color w:val="000000"/>
          <w:sz w:val="20"/>
        </w:rPr>
        <w:t>means any person, whether legal or natural, who is not an employee of a Party, but who may act on behalf of, or otherwise represent, such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2.29</w:t>
      </w: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means any natural or legal person, including any individual, corporation, partnership, limited liability company, trust or unincorporated association, or other entity.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2.30</w:t>
      </w:r>
      <w:r>
        <w:rPr>
          <w:color w:val="000000"/>
        </w:rPr>
        <w:t>“</w:t>
      </w:r>
      <w:r>
        <w:rPr>
          <w:rFonts w:ascii="Times New Roman;sans-serif" w:hAnsi="Times New Roman;sans-serif"/>
          <w:b/>
          <w:color w:val="000000"/>
          <w:sz w:val="20"/>
        </w:rPr>
        <w:t>Personal Information</w:t>
      </w:r>
      <w:r>
        <w:rPr>
          <w:color w:val="000000"/>
        </w:rPr>
        <w:t xml:space="preserve">” </w:t>
      </w:r>
      <w:r>
        <w:rPr>
          <w:rFonts w:ascii="Times New Roman;sans-serif" w:hAnsi="Times New Roman;sans-serif"/>
          <w:b w:val="false"/>
          <w:color w:val="000000"/>
          <w:sz w:val="20"/>
        </w:rPr>
        <w:t>has the meaning as defined under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2.31</w:t>
      </w:r>
      <w:r>
        <w:rPr>
          <w:color w:val="000000"/>
        </w:rPr>
        <w:t>“</w:t>
      </w:r>
      <w:r>
        <w:rPr>
          <w:rFonts w:ascii="Times New Roman;sans-serif" w:hAnsi="Times New Roman;sans-serif"/>
          <w:b/>
          <w:color w:val="000000"/>
          <w:sz w:val="20"/>
        </w:rPr>
        <w:t>Personnel</w:t>
      </w:r>
      <w:r>
        <w:rPr>
          <w:color w:val="000000"/>
        </w:rPr>
        <w:t xml:space="preserve">” </w:t>
      </w:r>
      <w:r>
        <w:rPr>
          <w:rFonts w:ascii="Times New Roman;sans-serif" w:hAnsi="Times New Roman;sans-serif"/>
          <w:b w:val="false"/>
          <w:color w:val="000000"/>
          <w:sz w:val="20"/>
        </w:rPr>
        <w:t xml:space="preserve">means a Party’s employees, representatives, agents, subcontractors, consultants, third-party advisors, Non-Employee Personnel or any other persons, whether legal or natural, who may act on behalf of, or otherwise represent, a Party.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2.32</w:t>
      </w:r>
      <w:r>
        <w:rPr>
          <w:color w:val="000000"/>
        </w:rPr>
        <w:t>“</w:t>
      </w:r>
      <w:r>
        <w:rPr>
          <w:rFonts w:ascii="Times New Roman;sans-serif" w:hAnsi="Times New Roman;sans-serif"/>
          <w:b/>
          <w:color w:val="000000"/>
          <w:sz w:val="20"/>
        </w:rPr>
        <w:t>Program</w:t>
      </w:r>
      <w:r>
        <w:rPr>
          <w:color w:val="000000"/>
        </w:rPr>
        <w:t xml:space="preserve">” </w:t>
      </w:r>
      <w:r>
        <w:rPr>
          <w:rFonts w:ascii="Times New Roman;sans-serif" w:hAnsi="Times New Roman;sans-serif"/>
          <w:b w:val="false"/>
          <w:color w:val="000000"/>
          <w:sz w:val="20"/>
        </w:rPr>
        <w:t xml:space="preserve">means the system of services under which Affirm shall make the Financial Product available to Eligible Merchants and Customers pursuant to the applicable Program Outline and in the applicable Territory as set forth therein.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2.33</w:t>
      </w:r>
      <w:r>
        <w:rPr>
          <w:color w:val="000000"/>
        </w:rPr>
        <w:t>“</w:t>
      </w:r>
      <w:r>
        <w:rPr>
          <w:rFonts w:ascii="Times New Roman;sans-serif" w:hAnsi="Times New Roman;sans-serif"/>
          <w:b/>
          <w:color w:val="000000"/>
          <w:sz w:val="20"/>
        </w:rPr>
        <w:t>Program Information</w:t>
      </w:r>
      <w:r>
        <w:rPr>
          <w:color w:val="000000"/>
        </w:rPr>
        <w:t xml:space="preserve">” </w:t>
      </w:r>
      <w:r>
        <w:rPr>
          <w:rFonts w:ascii="Times New Roman;sans-serif" w:hAnsi="Times New Roman;sans-serif"/>
          <w:b w:val="false"/>
          <w:color w:val="000000"/>
          <w:sz w:val="20"/>
        </w:rPr>
        <w:t>means any information and data related to the Program or any information or data provided by or on behalf of a Party to the other Party in connection with the Program that is not considered to be Merchant Information or Customer Information; provided that “Program Information” shall not include (i) each Party’s Confidential Information, (ii) each Party’s Materials, (iii) each Party’s Pre-Existing IP, (iv) Intellectual Property Rights that a Party or its respective Affiliates solely create, author, develop or otherwise acquire (as further described in Section 8.4), (v) Intellectual Property Rights that the Parties jointly create, author or develop (as further described in Section 8.4), or (vi) information or data related to the Program that is not unique to the Program or that was created, authored or developed by a Party for use outside of the Program (e.g., existing Affirm products that are similar to the Financial Product) ((i) through (vi) collectively “Excluded Program Information.”). For the avoidance of doubt, Program Information shall be considered Confidential Information and not Personal Information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2.34</w:t>
      </w:r>
      <w:r>
        <w:rPr>
          <w:color w:val="000000"/>
        </w:rPr>
        <w:t>“</w:t>
      </w:r>
      <w:r>
        <w:rPr>
          <w:rFonts w:ascii="Times New Roman;sans-serif" w:hAnsi="Times New Roman;sans-serif"/>
          <w:b/>
          <w:color w:val="000000"/>
          <w:sz w:val="20"/>
        </w:rPr>
        <w:t>Program Launch</w:t>
      </w:r>
      <w:r>
        <w:rPr>
          <w:color w:val="000000"/>
        </w:rPr>
        <w:t xml:space="preserve">” </w:t>
      </w:r>
      <w:r>
        <w:rPr>
          <w:rFonts w:ascii="Times New Roman;sans-serif" w:hAnsi="Times New Roman;sans-serif"/>
          <w:b w:val="false"/>
          <w:color w:val="000000"/>
          <w:sz w:val="20"/>
        </w:rPr>
        <w:t>means the Launch Date for each Financial Product in the Territory set forth in each Program Outline and Territory Program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2.35</w:t>
      </w:r>
      <w:r>
        <w:rPr>
          <w:color w:val="000000"/>
        </w:rPr>
        <w:t>“</w:t>
      </w:r>
      <w:r>
        <w:rPr>
          <w:rFonts w:ascii="Times New Roman;sans-serif" w:hAnsi="Times New Roman;sans-serif"/>
          <w:b/>
          <w:color w:val="000000"/>
          <w:sz w:val="20"/>
        </w:rPr>
        <w:t>Program Outline</w:t>
      </w:r>
      <w:r>
        <w:rPr>
          <w:color w:val="000000"/>
        </w:rPr>
        <w:t xml:space="preserve">” </w:t>
      </w:r>
      <w:r>
        <w:rPr>
          <w:rFonts w:ascii="Times New Roman;sans-serif" w:hAnsi="Times New Roman;sans-serif"/>
          <w:b w:val="false"/>
          <w:color w:val="000000"/>
          <w:sz w:val="20"/>
        </w:rPr>
        <w:t>means the terms agreed to by the Parties outlining the Program, and the respective components thereof, for each Territory pursuant to a Territory Program Agreement and as set forth in Exhibit C.</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2.36</w:t>
      </w:r>
      <w:r>
        <w:rPr>
          <w:color w:val="000000"/>
        </w:rPr>
        <w:t>“</w:t>
      </w:r>
      <w:r>
        <w:rPr>
          <w:rFonts w:ascii="Times New Roman;sans-serif" w:hAnsi="Times New Roman;sans-serif"/>
          <w:b/>
          <w:color w:val="000000"/>
          <w:sz w:val="20"/>
        </w:rPr>
        <w:t>Protected Information</w:t>
      </w:r>
      <w:r>
        <w:rPr>
          <w:color w:val="000000"/>
        </w:rPr>
        <w:t xml:space="preserve">” </w:t>
      </w:r>
      <w:r>
        <w:rPr>
          <w:rFonts w:ascii="Times New Roman;sans-serif" w:hAnsi="Times New Roman;sans-serif"/>
          <w:b w:val="false"/>
          <w:color w:val="000000"/>
          <w:sz w:val="20"/>
        </w:rPr>
        <w:t>means any one or more of the following categories of information or data: (i) Customer Information; (ii) Application data; (iii) any other information or data covered by Applicable Law, including applicable privacy laws; (iv) all information about a Party’s information security and its applied information security measures; and (v) any information designated as Protected Information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2.37</w:t>
      </w:r>
      <w:r>
        <w:rPr>
          <w:color w:val="000000"/>
        </w:rPr>
        <w:t>“</w:t>
      </w:r>
      <w:r>
        <w:rPr>
          <w:rFonts w:ascii="Times New Roman;sans-serif" w:hAnsi="Times New Roman;sans-serif"/>
          <w:b/>
          <w:color w:val="000000"/>
          <w:sz w:val="20"/>
        </w:rPr>
        <w:t>Receiving Party</w:t>
      </w:r>
      <w:r>
        <w:rPr>
          <w:color w:val="000000"/>
        </w:rPr>
        <w:t xml:space="preserve">” </w:t>
      </w:r>
      <w:r>
        <w:rPr>
          <w:rFonts w:ascii="Times New Roman;sans-serif" w:hAnsi="Times New Roman;sans-serif"/>
          <w:b w:val="false"/>
          <w:color w:val="000000"/>
          <w:sz w:val="20"/>
        </w:rPr>
        <w:t>means the Party receiving Confidential Information from the Disclosing Party directly or indirectly (via one or more third parties acting on behalf of and at the direction of the Disclosing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2.38</w:t>
      </w:r>
      <w:r>
        <w:rPr>
          <w:color w:val="000000"/>
        </w:rPr>
        <w:t>“</w:t>
      </w:r>
      <w:r>
        <w:rPr>
          <w:rFonts w:ascii="Times New Roman;sans-serif" w:hAnsi="Times New Roman;sans-serif"/>
          <w:b/>
          <w:color w:val="000000"/>
          <w:sz w:val="20"/>
        </w:rPr>
        <w:t>Regulatory Authority</w:t>
      </w:r>
      <w:r>
        <w:rPr>
          <w:color w:val="000000"/>
        </w:rPr>
        <w:t xml:space="preserve">” </w:t>
      </w:r>
      <w:r>
        <w:rPr>
          <w:rFonts w:ascii="Times New Roman;sans-serif" w:hAnsi="Times New Roman;sans-serif"/>
          <w:b w:val="false"/>
          <w:color w:val="000000"/>
          <w:sz w:val="20"/>
        </w:rPr>
        <w:t>means any federal, national, territorial, provincial, regional or local, or similar jurisdictional regulatory agency or other governmental agency or authority having jurisdiction over Affirm or Shopify in the Territory set forth in a Territory Program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2.39</w:t>
      </w:r>
      <w:r>
        <w:rPr>
          <w:color w:val="000000"/>
        </w:rPr>
        <w:t>“</w:t>
      </w:r>
      <w:r>
        <w:rPr>
          <w:rFonts w:ascii="Times New Roman;sans-serif" w:hAnsi="Times New Roman;sans-serif"/>
          <w:b/>
          <w:color w:val="000000"/>
          <w:sz w:val="20"/>
        </w:rPr>
        <w:t>Security Breach</w:t>
      </w:r>
      <w:r>
        <w:rPr>
          <w:color w:val="000000"/>
        </w:rPr>
        <w:t xml:space="preserve">” </w:t>
      </w:r>
      <w:r>
        <w:rPr>
          <w:rFonts w:ascii="Times New Roman;sans-serif" w:hAnsi="Times New Roman;sans-serif"/>
          <w:b w:val="false"/>
          <w:color w:val="000000"/>
          <w:sz w:val="20"/>
        </w:rPr>
        <w:t>means any act or omission that materially compromises either the security, confidentiality or integrity of data or the physical, technical, administrative or organizational safeguards put in place by a Party or a third-party service provider that relate to the protection of the security, confidentiality or integrity of data relating to the Program. Without limiting the foregoing, a material compromise shall include any unauthorized access to, unauthorized disclosure of or unauthorized acquisition of nonpublic personal information or Customer Information, and, in the case of Affirm, Merchant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2.40</w:t>
      </w:r>
      <w:r>
        <w:rPr>
          <w:color w:val="000000"/>
        </w:rPr>
        <w:t>“</w:t>
      </w:r>
      <w:r>
        <w:rPr>
          <w:rFonts w:ascii="Times New Roman;sans-serif" w:hAnsi="Times New Roman;sans-serif"/>
          <w:b/>
          <w:color w:val="000000"/>
          <w:sz w:val="20"/>
        </w:rPr>
        <w:t>Security Complaint</w:t>
      </w:r>
      <w:r>
        <w:rPr>
          <w:color w:val="000000"/>
        </w:rPr>
        <w:t xml:space="preserve">” </w:t>
      </w:r>
      <w:r>
        <w:rPr>
          <w:rFonts w:ascii="Times New Roman;sans-serif" w:hAnsi="Times New Roman;sans-serif"/>
          <w:b w:val="false"/>
          <w:color w:val="000000"/>
          <w:sz w:val="20"/>
        </w:rPr>
        <w:t>means receipt of a credible complaint in relation to privacy and data security practices of the applicable Party or the applicable Party’s third-party service provider of a material breach or alleged material breach of this Agreement relating to such privacy and data security practices.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2.41</w:t>
      </w:r>
      <w:r>
        <w:rPr>
          <w:color w:val="000000"/>
        </w:rPr>
        <w:t>“</w:t>
      </w:r>
      <w:r>
        <w:rPr>
          <w:rFonts w:ascii="Times New Roman;sans-serif" w:hAnsi="Times New Roman;sans-serif"/>
          <w:b/>
          <w:color w:val="000000"/>
          <w:sz w:val="20"/>
        </w:rPr>
        <w:t>Security Breach Costs</w:t>
      </w:r>
      <w:r>
        <w:rPr>
          <w:color w:val="000000"/>
        </w:rPr>
        <w:t xml:space="preserve">” </w:t>
      </w:r>
      <w:r>
        <w:rPr>
          <w:rFonts w:ascii="Times New Roman;sans-serif" w:hAnsi="Times New Roman;sans-serif"/>
          <w:b w:val="false"/>
          <w:color w:val="000000"/>
          <w:sz w:val="20"/>
        </w:rPr>
        <w:t>means (a) costs, expenses (including reasonable attorney and expert witness fees), damage awards, fines and penalties resulting from claims, investigations, litigation, arbitration and mediation arising from or related to a Security Breach; (b) Merchant Losses or Customer Losses arising from or related to such Security Breach; (c) costs and expenses of responding to the Security Breach (for example, the cost of notifying Customers, Regulatory Authorities and others affected directly by the Security Breach); and (d) costs and expenses of mitigation and remediation of the Security Breach, including the provision of monitoring service, credit protection service, credit fraud alert and/or similar services that the non-breached Party deems reasonably necessary to protect itself or its affected Customers in light of risks posed by the actual or potential Security Breach.</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2.42</w:t>
      </w:r>
      <w:r>
        <w:rPr>
          <w:color w:val="000000"/>
        </w:rPr>
        <w:t>“</w:t>
      </w:r>
      <w:r>
        <w:rPr>
          <w:rFonts w:ascii="Times New Roman;sans-serif" w:hAnsi="Times New Roman;sans-serif"/>
          <w:b/>
          <w:color w:val="000000"/>
          <w:sz w:val="20"/>
        </w:rPr>
        <w:t>Shopify Materials</w:t>
      </w:r>
      <w:r>
        <w:rPr>
          <w:color w:val="000000"/>
        </w:rPr>
        <w:t xml:space="preserve">” </w:t>
      </w:r>
      <w:r>
        <w:rPr>
          <w:rFonts w:ascii="Times New Roman;sans-serif" w:hAnsi="Times New Roman;sans-serif"/>
          <w:b w:val="false"/>
          <w:color w:val="000000"/>
          <w:sz w:val="20"/>
        </w:rPr>
        <w:t>means any content, information, materials and items provided or made accessible by Shopify pursuant to this Agreement, including the Shopify API, links, text, images, audio, video and other copyright works, and software, tools, technologies and other functional items.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2.43</w:t>
      </w:r>
      <w:r>
        <w:rPr>
          <w:color w:val="000000"/>
        </w:rPr>
        <w:t>“</w:t>
      </w:r>
      <w:r>
        <w:rPr>
          <w:rFonts w:ascii="Times New Roman;sans-serif" w:hAnsi="Times New Roman;sans-serif"/>
          <w:b/>
          <w:color w:val="000000"/>
          <w:sz w:val="20"/>
        </w:rPr>
        <w:t>Shopify Pre-Existing IP</w:t>
      </w:r>
      <w:r>
        <w:rPr>
          <w:color w:val="000000"/>
        </w:rPr>
        <w:t xml:space="preserve">” </w:t>
      </w:r>
      <w:r>
        <w:rPr>
          <w:rFonts w:ascii="Times New Roman;sans-serif" w:hAnsi="Times New Roman;sans-serif"/>
          <w:b w:val="false"/>
          <w:color w:val="000000"/>
          <w:sz w:val="20"/>
        </w:rPr>
        <w:t>means Shopify’s concepts, data, designs, developments, documentation, drawings, hardware, improvements, information, inventions, processes, software, techniques, technology, tools, and any other Intellectual Property Rights, and any third-party licenses or other rights to use any of the foregoing, that are developed entirely independently by Shopify (or a third party, as applicable), at any time without any use of Affirm’s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2.44</w:t>
      </w:r>
      <w:r>
        <w:rPr>
          <w:color w:val="000000"/>
        </w:rPr>
        <w:t>“</w:t>
      </w:r>
      <w:r>
        <w:rPr>
          <w:rFonts w:ascii="Times New Roman;sans-serif" w:hAnsi="Times New Roman;sans-serif"/>
          <w:b/>
          <w:color w:val="000000"/>
          <w:sz w:val="20"/>
        </w:rPr>
        <w:t>Shopify’s Systems</w:t>
      </w:r>
      <w:r>
        <w:rPr>
          <w:color w:val="000000"/>
        </w:rPr>
        <w:t xml:space="preserve">” </w:t>
      </w:r>
      <w:r>
        <w:rPr>
          <w:rFonts w:ascii="Times New Roman;sans-serif" w:hAnsi="Times New Roman;sans-serif"/>
          <w:b w:val="false"/>
          <w:color w:val="000000"/>
          <w:sz w:val="20"/>
        </w:rPr>
        <w:t>means Shopify’s hardware, network, computing environment and/or systems.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2.45</w:t>
      </w:r>
      <w:r>
        <w:rPr>
          <w:color w:val="000000"/>
        </w:rPr>
        <w:t>“</w:t>
      </w:r>
      <w:r>
        <w:rPr>
          <w:rFonts w:ascii="Times New Roman;sans-serif" w:hAnsi="Times New Roman;sans-serif"/>
          <w:b/>
          <w:color w:val="000000"/>
          <w:sz w:val="20"/>
        </w:rPr>
        <w:t>Specifications</w:t>
      </w:r>
      <w:r>
        <w:rPr>
          <w:color w:val="000000"/>
        </w:rPr>
        <w:t xml:space="preserve">” </w:t>
      </w:r>
      <w:r>
        <w:rPr>
          <w:rFonts w:ascii="Times New Roman;sans-serif" w:hAnsi="Times New Roman;sans-serif"/>
          <w:b w:val="false"/>
          <w:color w:val="000000"/>
          <w:sz w:val="20"/>
        </w:rPr>
        <w:t>means the criteria, requirements, applicable performance capabilities, characteristics, and other descriptions and standards for each Party’s services and deliverables set forth in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2.46</w:t>
      </w:r>
      <w:r>
        <w:rPr>
          <w:color w:val="000000"/>
        </w:rPr>
        <w:t>“</w:t>
      </w:r>
      <w:r>
        <w:rPr>
          <w:rFonts w:ascii="Times New Roman;sans-serif" w:hAnsi="Times New Roman;sans-serif"/>
          <w:b/>
          <w:color w:val="000000"/>
          <w:sz w:val="20"/>
        </w:rPr>
        <w:t>Strategic Operating Committee”</w:t>
      </w:r>
      <w:r>
        <w:rPr>
          <w:color w:val="000000"/>
        </w:rPr>
        <w:t xml:space="preserve"> </w:t>
      </w:r>
      <w:r>
        <w:rPr>
          <w:rFonts w:ascii="Times New Roman;sans-serif" w:hAnsi="Times New Roman;sans-serif"/>
          <w:b w:val="false"/>
          <w:color w:val="000000"/>
          <w:sz w:val="20"/>
        </w:rPr>
        <w:t>means the Committee formed by the Parties as set forth in Section 7.2.</w:t>
      </w:r>
    </w:p>
    <w:p>
      <w:pPr>
        <w:pStyle w:val="TextBody"/>
        <w:bidi w:val="0"/>
        <w:spacing w:lineRule="auto" w:line="288" w:before="0" w:after="24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Scope of Arrangement and Structure</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3.1</w:t>
      </w:r>
      <w:r>
        <w:rPr>
          <w:rFonts w:ascii="Times New Roman;sans-serif" w:hAnsi="Times New Roman;sans-serif"/>
          <w:b w:val="false"/>
          <w:color w:val="000000"/>
          <w:sz w:val="20"/>
        </w:rPr>
        <w:t>This Agreement contains the sole and exclusive terms and conditions between the Parties with respect to the subject matter hereof. The Parties agree that this Agreement is not intended to create an exclusive relationship of any type between the Parties except where and to the extent specifically indicated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3.2</w:t>
      </w:r>
      <w:r>
        <w:rPr>
          <w:rFonts w:ascii="Times New Roman;sans-serif" w:hAnsi="Times New Roman;sans-serif"/>
          <w:b w:val="false"/>
          <w:color w:val="000000"/>
          <w:sz w:val="20"/>
        </w:rPr>
        <w:t>For the purposes of this Agreement, the term “Affirm” is used in connection with any indemnity, obligation, representation, warranty, covenant or undertaking of the applicable Affirm Party, irrespective of whether such item is or must be supported or fulfilled in whole or part for such Affirm Party or other third party financial institution with whom such Affirm Party has contracted as determined by such Affirm Party. For the avoidance of doubt and without limiting the generality of the foregoing, any failure by such Affirm Party to include such third party financial institution in connection with its undertakings under this Agreement is such Affirm Party’s obligation and such Affirm Party bears the sole risk for failure to do so. The applicable Shopify Party will look solely to such Affirm Party to enforce the performance of the duties and obligations of any third party financial institution that has partnered with such Affirm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3.3</w:t>
      </w:r>
      <w:r>
        <w:rPr>
          <w:rFonts w:ascii="Times New Roman;sans-serif" w:hAnsi="Times New Roman;sans-serif"/>
          <w:b w:val="false"/>
          <w:color w:val="000000"/>
          <w:sz w:val="20"/>
        </w:rPr>
        <w:t xml:space="preserve">Shopify and Affirm intend that this Agreement sets forth the terms and conditions under which each Affirm Party will provide the Program specified in the applicable Program Outline and Territory Program Agreement to the applicable Shopify Party throughout the world. For each Territory in which an Affirm Party will provide a Program, the applicable entities will enter into a Territory Program Agreement in accordance with Section 3.4 under which the Program will be provided and fees will be paid.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3.4</w:t>
      </w:r>
      <w:r>
        <w:rPr>
          <w:rFonts w:ascii="Times New Roman;sans-serif" w:hAnsi="Times New Roman;sans-serif"/>
          <w:b w:val="false"/>
          <w:color w:val="000000"/>
          <w:sz w:val="20"/>
        </w:rPr>
        <w:t xml:space="preserve">During the Term, each Affirm Party may make a Program available as set forth in a Program Outline to the applicable Shopify Party, by executing a separate agreement that is substantially similar to the form set forth in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(a “</w:t>
      </w:r>
      <w:r>
        <w:rPr>
          <w:rFonts w:ascii="Times New Roman;sans-serif" w:hAnsi="Times New Roman;sans-serif"/>
          <w:b/>
          <w:color w:val="000000"/>
          <w:sz w:val="20"/>
        </w:rPr>
        <w:t>Territory Program Agreement</w:t>
      </w:r>
      <w:r>
        <w:rPr>
          <w:color w:val="000000"/>
        </w:rPr>
        <w:t>”</w:t>
      </w:r>
      <w:r>
        <w:rPr>
          <w:rFonts w:ascii="Times New Roman;sans-serif" w:hAnsi="Times New Roman;sans-serif"/>
          <w:b w:val="false"/>
          <w:color w:val="000000"/>
          <w:sz w:val="20"/>
        </w:rPr>
        <w:t>). Each Territory Program Agreement will specify: the relevant contracting entities, the Program to be provided pursuant to the applicable Program Outline, the Territory, any fees, applicable indirect or withholding taxes, Affirm’s required insurance coverage and any additional territory-specific terms pertinent to the Territory. Each Territory Program Agreement will be a separate contract between the Shopify Party and the Affirm Party executing that Territory Program Agreement. The execution or termination of a Territory Program Agreement will not affect any other Territory Program Agreements then in force.</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0"/>
        </w:rPr>
        <w:t>4.</w:t>
      </w:r>
      <w:r>
        <w:rPr>
          <w:rFonts w:ascii="Times New Roman;sans-serif" w:hAnsi="Times New Roman;sans-serif"/>
          <w:b/>
          <w:color w:val="000000"/>
          <w:sz w:val="20"/>
          <w:u w:val="single"/>
        </w:rPr>
        <w:t>Shopify Obligations</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4.1</w:t>
      </w:r>
      <w:r>
        <w:rPr>
          <w:rFonts w:ascii="Times New Roman;sans-serif" w:hAnsi="Times New Roman;sans-serif"/>
          <w:b w:val="false"/>
          <w:color w:val="000000"/>
          <w:sz w:val="20"/>
        </w:rPr>
        <w:t>Shopify shall, for the term of this Agreement, as directed by Affirm as the Customer underwriter and servicer of the Program(s), host the user experience/interface for Eligible Merchants and Customers (the “</w:t>
      </w:r>
      <w:r>
        <w:rPr>
          <w:rFonts w:ascii="Times New Roman;sans-serif" w:hAnsi="Times New Roman;sans-serif"/>
          <w:b/>
          <w:color w:val="000000"/>
          <w:sz w:val="20"/>
        </w:rPr>
        <w:t>Platform</w:t>
      </w:r>
      <w:r>
        <w:rPr>
          <w:color w:val="000000"/>
        </w:rPr>
        <w:t>”</w:t>
      </w:r>
      <w:r>
        <w:rPr>
          <w:rFonts w:ascii="Times New Roman;sans-serif" w:hAnsi="Times New Roman;sans-serif"/>
          <w:b w:val="false"/>
          <w:color w:val="000000"/>
          <w:sz w:val="20"/>
        </w:rPr>
        <w:t>) and the customer portal through Shopify’s website and/or mobile application (the “</w:t>
      </w:r>
      <w:r>
        <w:rPr>
          <w:rFonts w:ascii="Times New Roman;sans-serif" w:hAnsi="Times New Roman;sans-serif"/>
          <w:b/>
          <w:color w:val="000000"/>
          <w:sz w:val="20"/>
        </w:rPr>
        <w:t>SHOP App</w:t>
      </w:r>
      <w:r>
        <w:rPr>
          <w:color w:val="000000"/>
        </w:rPr>
        <w:t>”</w:t>
      </w:r>
      <w:r>
        <w:rPr>
          <w:rFonts w:ascii="Times New Roman;sans-serif" w:hAnsi="Times New Roman;sans-serif"/>
          <w:b w:val="false"/>
          <w:color w:val="000000"/>
          <w:sz w:val="20"/>
        </w:rPr>
        <w:t>). Shopify’s role will be limited to developing and maintaining the Platform and SHOP App and providing the Platform/SHOP App to its Eligible Merchants and Customers for Affirm to offer the Financial Product to Customers through the Platform and SHOP App and as otherwise stated in this Article 4. Shopify agrees to configure and maintain the Platform and SHOP App in a manner that will allow Affirm to perform its obligations in a legally compliant manner through the Platform and SHOP App, including without limitation, distribution of Customer Agreements and servicing of loans. Shopify shall enable Affirm to distribute, or shall distribute in accordance with requirements from Affirm, the Customer Agreements, disclosures, amendments and Customer communications referenced in Sections 5.2 and 5.4.</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4.2</w:t>
      </w:r>
      <w:r>
        <w:rPr>
          <w:rFonts w:ascii="Times New Roman;sans-serif" w:hAnsi="Times New Roman;sans-serif"/>
          <w:b w:val="false"/>
          <w:color w:val="000000"/>
          <w:sz w:val="20"/>
        </w:rPr>
        <w:t>Shopify, at its sole expense, may from time-to-time market the Program and Financial Products to Merchants in accordance with this Agreement; such requirements may be modified if required to ensure continued compliance with Applicable Law or if required in writing by a Regulatory Authority. Shopify agrees to work in good faith with Affirm on all marketing-related activities and mutually agree where possible on marketing programs and practices. Shopify further agrees to work in good faith with Affirm to modify marketing materials if Affirm believes such modification is necessary or advisable to avoid reputational damage to Affirm or Shopify or to reduce risk to Affirm or Shopify.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4.3</w:t>
      </w:r>
      <w:r>
        <w:rPr>
          <w:rFonts w:ascii="Times New Roman;sans-serif" w:hAnsi="Times New Roman;sans-serif"/>
          <w:b w:val="false"/>
          <w:color w:val="000000"/>
          <w:sz w:val="20"/>
        </w:rPr>
        <w:t xml:space="preserve">Merchant underwriting and Know Your Customer (KYC) compliance reviews will be performed as set forth in the applicable Program Outline.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4.4</w:t>
      </w:r>
      <w:r>
        <w:rPr>
          <w:rFonts w:ascii="Times New Roman;sans-serif" w:hAnsi="Times New Roman;sans-serif"/>
          <w:b w:val="false"/>
          <w:color w:val="000000"/>
          <w:sz w:val="20"/>
        </w:rPr>
        <w:t xml:space="preserve">Shopify shall execute (or cause to be executed, in the case of an agreement between an Eligible Merchant and Affirm) any and all necessary agreements with Eligible Merchants that will be participating in the Program. Shopify will collect evidence (i.e., name of Eligible Merchant and Eligible Merchant URL) of an Eligible Merchant’s acceptance of Affirm’s terms and conditions for Affirm’s record keeping and will promptly provide such evidence to Affirm upon activation of an Eligible Merchant account. Shopify will provide the timestamp of an Eligible Merchant’s termination of Affirm’s terms and conditions within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of such termination or as otherwise mutually agreed by the Parties. Upon reasonable request, Shopify will provide the following data related to an Eligible Merchant’s agreement to Affirm’s terms and conditions: agreement version, and name and email of the authorized signatory. Shopify will monitor Eligible Merchants and use commercially reasonable efforts to ensure that Eligible Merchants are not engaged in prohibited businesses, as set forth in </w:t>
      </w:r>
      <w:r>
        <w:rPr>
          <w:rFonts w:ascii="Times New Roman;sans-serif" w:hAnsi="Times New Roman;sans-serif"/>
          <w:b w:val="false"/>
          <w:color w:val="000000"/>
          <w:sz w:val="22"/>
        </w:rPr>
        <w:t>[***]</w:t>
      </w:r>
      <w:r>
        <w:rPr>
          <w:rFonts w:ascii="Times New Roman;sans-serif" w:hAnsi="Times New Roman;sans-serif"/>
          <w:b w:val="false"/>
          <w:color w:val="000000"/>
          <w:sz w:val="20"/>
        </w:rPr>
        <w:t xml:space="preserve">, or such other URL as Affirm may agree (the “Prohibited Business Policy”), which may be updated by Affirm from time to time in consultation with Shopify. The Parties will make good faith efforts to mutually agree upon controls to block or prohibit instances of Prohibited Business Policy violations. If Shopify becomes aware of a Merchant’s violation of Applicable Law or its violation of the Prohibited Business Policy, Shopify will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notify Affirm of any such violation as soon as practicable but no later than within </w:t>
      </w:r>
      <w:r>
        <w:rPr>
          <w:rFonts w:ascii="Times New Roman;sans-serif" w:hAnsi="Times New Roman;sans-serif"/>
          <w:b w:val="false"/>
          <w:color w:val="000000"/>
          <w:sz w:val="22"/>
        </w:rPr>
        <w:t>[***]</w:t>
      </w:r>
      <w:r>
        <w:rPr>
          <w:rFonts w:ascii="Times New Roman;sans-serif" w:hAnsi="Times New Roman;sans-serif"/>
          <w:b w:val="false"/>
          <w:color w:val="000000"/>
          <w:sz w:val="20"/>
        </w:rPr>
        <w:t>. Shopify will work in good faith with Affirm to come to a mutually agreeable arrangement regarding how to communicate and provide notification as needed regarding material violations of the Prohibited Business Policy as well as ensure that the necessary agreements with Eligible Merchants address any marketing restrictions required by Affirm based on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4.5</w:t>
      </w:r>
      <w:r>
        <w:rPr>
          <w:rFonts w:ascii="Times New Roman;sans-serif" w:hAnsi="Times New Roman;sans-serif"/>
          <w:b w:val="false"/>
          <w:color w:val="000000"/>
          <w:sz w:val="20"/>
        </w:rPr>
        <w:t xml:space="preserve">Shopify agrees to work with Affirm in good faith to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as soon as commercially reasonable and as discussed and mutually agreed by the Parties, including any Program Outline.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4.6</w:t>
      </w:r>
      <w:r>
        <w:rPr>
          <w:rFonts w:ascii="Times New Roman;sans-serif" w:hAnsi="Times New Roman;sans-serif"/>
          <w:b w:val="false"/>
          <w:color w:val="000000"/>
          <w:sz w:val="20"/>
        </w:rPr>
        <w:t xml:space="preserve">Shopify shall provide Eligible Merchants all reasonably requested support and documentation related to the Program, subject to Section 5 (Affirm Obligations).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4.7</w:t>
      </w:r>
      <w:r>
        <w:rPr>
          <w:rFonts w:ascii="Times New Roman;sans-serif" w:hAnsi="Times New Roman;sans-serif"/>
          <w:b w:val="false"/>
          <w:color w:val="000000"/>
          <w:sz w:val="20"/>
        </w:rPr>
        <w:t xml:space="preserve">Shopify shall require Eligible Merchants to furnish to Shopify any information reasonably requested by Affirm or any information required to be provided by or to any applicable Regulatory Authority.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4.8</w:t>
      </w:r>
      <w:r>
        <w:rPr>
          <w:rFonts w:ascii="Times New Roman;sans-serif" w:hAnsi="Times New Roman;sans-serif"/>
          <w:b w:val="false"/>
          <w:color w:val="000000"/>
          <w:sz w:val="22"/>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4.9</w:t>
      </w:r>
      <w:r>
        <w:rPr>
          <w:rFonts w:ascii="Times New Roman;sans-serif" w:hAnsi="Times New Roman;sans-serif"/>
          <w:b w:val="false"/>
          <w:color w:val="000000"/>
          <w:sz w:val="20"/>
        </w:rPr>
        <w:t>Unless otherwise prohibited by Applicable Law, Shopify will promptly forward to Affirm any complaints, including supporting documentation as necessary, received from a Customer or Eligible Merchant pertaining to: (a) Affirm’s performance; (b) claims or allegations about the Parties’ violations of Applicable Laws with respect to the Program; (c) material threats of lawsuits relating to the Program; or (d) the Financial Product (collectively, “</w:t>
      </w:r>
      <w:r>
        <w:rPr>
          <w:rFonts w:ascii="Times New Roman;sans-serif" w:hAnsi="Times New Roman;sans-serif"/>
          <w:b/>
          <w:color w:val="000000"/>
          <w:sz w:val="20"/>
        </w:rPr>
        <w:t>Complaints</w:t>
      </w:r>
      <w:r>
        <w:rPr>
          <w:color w:val="000000"/>
        </w:rPr>
        <w:t>”</w:t>
      </w:r>
      <w:r>
        <w:rPr>
          <w:rFonts w:ascii="Times New Roman;sans-serif" w:hAnsi="Times New Roman;sans-serif"/>
          <w:b w:val="false"/>
          <w:color w:val="000000"/>
          <w:sz w:val="20"/>
        </w:rPr>
        <w:t>). Shopify shall maintain a record and log of all such Complaints and provide such log to Affirm on a monthly basis at its request.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4.10</w:t>
      </w:r>
      <w:r>
        <w:rPr>
          <w:rFonts w:ascii="Times New Roman;sans-serif" w:hAnsi="Times New Roman;sans-serif"/>
          <w:b w:val="false"/>
          <w:color w:val="000000"/>
          <w:sz w:val="20"/>
        </w:rPr>
        <w:t xml:space="preserve">The Parties agree to work with in good faith to make commercially reasonable efforts to: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4.10.1.</w:t>
      </w:r>
      <w:r>
        <w:rPr>
          <w:rFonts w:ascii="Times New Roman;sans-serif" w:hAnsi="Times New Roman;sans-serif"/>
          <w:b w:val="false"/>
          <w:color w:val="000000"/>
          <w:sz w:val="20"/>
        </w:rPr>
        <w:t xml:space="preserve">Develop and implement improvements to Program functionality to better serve both Merchants and Customers and to </w:t>
      </w:r>
      <w:r>
        <w:rPr>
          <w:rFonts w:ascii="Times New Roman;sans-serif" w:hAnsi="Times New Roman;sans-serif"/>
          <w:b w:val="false"/>
          <w:color w:val="000000"/>
          <w:sz w:val="22"/>
        </w:rPr>
        <w: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4.10.2.</w:t>
      </w:r>
      <w:r>
        <w:rPr>
          <w:rFonts w:ascii="Times New Roman;sans-serif" w:hAnsi="Times New Roman;sans-serif"/>
          <w:b w:val="false"/>
          <w:color w:val="000000"/>
          <w:sz w:val="20"/>
        </w:rPr>
        <w:t>Cooperate and prioritize changes to the Platform and SHOP App if such changes are deemed necessary (i) to prevent a violation of Applicable Law or to comply with a directive from a Regulatory Authority; (ii) to avoid a material risk to Affirm or the Program; or (iii) to avoid a material adverse impact to Customers or prospective Customers.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4.10.3.</w:t>
      </w:r>
      <w:r>
        <w:rPr>
          <w:rFonts w:ascii="Times New Roman;sans-serif" w:hAnsi="Times New Roman;sans-serif"/>
          <w:b w:val="false"/>
          <w:color w:val="000000"/>
          <w:sz w:val="20"/>
        </w:rPr>
        <w:t>Help respond and/or resolve any complaints related to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4.11</w:t>
      </w:r>
      <w:r>
        <w:rPr>
          <w:rFonts w:ascii="Times New Roman;sans-serif" w:hAnsi="Times New Roman;sans-serif"/>
          <w:b w:val="false"/>
          <w:color w:val="000000"/>
          <w:sz w:val="20"/>
        </w:rPr>
        <w:t xml:space="preserve">When permitted by Applicable Law, Shopify may, with Affirm’s support and in accordance with Affirm’s instructions, (a) provide post-purchase Customers with access to information about the Customer’s Financial Product; and (b) perform certain post-purchase functions (which may include, without limitation, account maintenance and sending push notifications to Customers) for Customers in connection with the Financial Product, as mutually agreed upon by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(the “Customer Engagement Functionality”). For the avoidance of doubt, Customer Engagement Functionality applies only to Customer post-purchase activity regarding the Financial Product on the SHOP App and not the SHOP App in its entirety.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4.11.1.</w:t>
      </w:r>
      <w:r>
        <w:rPr>
          <w:rFonts w:ascii="Times New Roman;sans-serif" w:hAnsi="Times New Roman;sans-serif"/>
          <w:b w:val="false"/>
          <w:color w:val="000000"/>
          <w:sz w:val="20"/>
        </w:rPr>
        <w:t>Affirm will provide Shopify with an API key and content, including disclosures (as applicable), for the sole purpose of enabling Shopify to provide and maintain the Customer Engagement Functionality during the Term. The API key(s) and any content provided by Affirm to Shopify in connection with the Customer Engagement Functionality are Affirm Materials and subject to, without limitation, Section 8.2.</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4.11.2.</w:t>
      </w:r>
      <w:r>
        <w:rPr>
          <w:rFonts w:ascii="Times New Roman;sans-serif" w:hAnsi="Times New Roman;sans-serif"/>
          <w:b w:val="false"/>
          <w:color w:val="000000"/>
          <w:sz w:val="20"/>
        </w:rPr>
        <w:t xml:space="preserve">Each Party shall at all times comply with Applicable Law and requirements of Regulatory Authorities with respect to the Customer Engagement Functionality. In order for Affirm to fulfill its obligations as a servicer of the Financial Product, Shopify shall comply with all instructions and guidance from Affirm related to the Customer Engagement Functionality, as may be modified from time to time in Affirm’s sole discretion in order to comply with Applicable Law. Shopify shall design the Customer Engagement Functionality in consultation with Affirm, provided that Affirm shall have the final right of approval over the Customer Engagement Functionality design, functionality, features, and content. Shopify agrees to notify Affirm in writing in advance of any changes to the Customer Engagement Functionality and to consult with Affirm about such changes, provided that Affirm shall have the final right of approval over any such change. In addition, Affirm shall have the right to request reasonable reporting and a reasonable review of Shopify’s performance of the Customer Engagement Functionality, including any communications to Customers related to the Customer Engagement Functionality. Any deficiencies identified by Affirm shall be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addressed by Shopify. Affirm shall have the right to require that Shopify suspend the Customer Engagement Functionality with respect to the Program (with costs to be paid by Shopify) if Affirm determines, in good faith and based on the advice of counsel, that </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4.11.3.</w:t>
      </w:r>
      <w:r>
        <w:rPr>
          <w:rFonts w:ascii="Times New Roman;sans-serif" w:hAnsi="Times New Roman;sans-serif"/>
          <w:b w:val="false"/>
          <w:color w:val="000000"/>
          <w:sz w:val="20"/>
        </w:rPr>
        <w:t xml:space="preserve">Notwithstanding Exhibit B (Branding Standards) and in a manner mutually agreed by the Parties and approved by Affirm, each page related to servicing in the Customer Engagement Functionality where Shop Pay branding is present, and at a minimum on the first page related to servicing, shall display (i) Affirm Marks; and (ii) a hyperlink to an in- SHOP App browser to Affirm’s customer portal. Affirm shall display (i)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Shopify Marks; and (ii) a hyperlink to the SHOP App in the loan detail section of Affirm’s customer portal for each Financial Product.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4.11.4.</w:t>
      </w:r>
      <w:r>
        <w:rPr>
          <w:rFonts w:ascii="Times New Roman;sans-serif" w:hAnsi="Times New Roman;sans-serif"/>
          <w:b w:val="false"/>
          <w:color w:val="000000"/>
          <w:sz w:val="20"/>
        </w:rPr>
        <w:t>In addition to the Customer Engagement Functionality on the SHOP App, all Customer Financial Product and account information will be viewable and accessible by the Customer on Affirm’s website and/or mobile application with certain functionality as mutually agreed by the Parties in writing. For avoidance of doubt, Affirm financial products that are unrelated to the Program will not be viewable or accessible in the SHOP App.</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4.11.5.</w:t>
      </w:r>
      <w:r>
        <w:rPr>
          <w:rFonts w:ascii="Times New Roman;sans-serif" w:hAnsi="Times New Roman;sans-serif"/>
          <w:b w:val="false"/>
          <w:color w:val="000000"/>
          <w:sz w:val="20"/>
        </w:rPr>
        <w:t>Shopify agrees that it shall not send a push notification to a Customer who is delinquent in repayment of a Financial Product.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4.11.6.</w:t>
      </w:r>
      <w:r>
        <w:rPr>
          <w:rFonts w:ascii="Times New Roman;sans-serif" w:hAnsi="Times New Roman;sans-serif"/>
          <w:b w:val="false"/>
          <w:color w:val="000000"/>
          <w:sz w:val="20"/>
        </w:rPr>
        <w:t>Except to the extent Affirm directly causes the act or omission, Shopify shall be liable for its acts or omissions, and the acts or omissions of a third party acting on Shopify’s behalf, with respect to its obligations under this Section 4.11.</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4.11.7.</w:t>
      </w:r>
      <w:r>
        <w:rPr>
          <w:rFonts w:ascii="Times New Roman;sans-serif" w:hAnsi="Times New Roman;sans-serif"/>
          <w:b w:val="false"/>
          <w:color w:val="000000"/>
          <w:sz w:val="20"/>
        </w:rPr>
        <w:t>Shopify will ensure that it (or any third parties engaged in connection with payment to or from Eligible Merchants) obtains and maintains all documentation necessary to direct debit Eligible Merchants on behalf of Affirm or Shopify as outlined in the applicable Program Outline and Territory Program Agreement, as applicable.</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4.11.8.</w:t>
      </w:r>
      <w:r>
        <w:rPr>
          <w:rFonts w:ascii="Times New Roman;sans-serif" w:hAnsi="Times New Roman;sans-serif"/>
          <w:b w:val="false"/>
          <w:color w:val="000000"/>
          <w:sz w:val="20"/>
        </w:rPr>
        <w:t>Shopify will not encourage or require (a) any Affirm Direct Merchant or (b) Eligible Merchant to disable such Affirm Direct Merchant’s integration, including but not limited to the Shopify plug-in (as applicable), with Affirm or any other Affirm product or service.</w:t>
      </w:r>
    </w:p>
    <w:p>
      <w:pPr>
        <w:pStyle w:val="TextBody"/>
        <w:bidi w:val="0"/>
        <w:spacing w:lineRule="auto" w:line="288" w:before="0" w:after="240"/>
        <w:jc w:val="both"/>
        <w:rPr/>
      </w:pPr>
      <w:r>
        <w:rPr>
          <w:rFonts w:ascii="Times New Roman;sans-serif" w:hAnsi="Times New Roman;sans-serif"/>
          <w:b/>
          <w:color w:val="000000"/>
          <w:sz w:val="20"/>
        </w:rPr>
        <w:t>5.</w:t>
      </w:r>
      <w:r>
        <w:rPr>
          <w:rFonts w:ascii="Times New Roman;sans-serif" w:hAnsi="Times New Roman;sans-serif"/>
          <w:b/>
          <w:color w:val="000000"/>
          <w:sz w:val="20"/>
          <w:u w:val="single"/>
        </w:rPr>
        <w:t>Affirm Obligations</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5.1</w:t>
      </w:r>
      <w:r>
        <w:rPr>
          <w:rFonts w:ascii="Times New Roman;sans-serif" w:hAnsi="Times New Roman;sans-serif"/>
          <w:b w:val="false"/>
          <w:color w:val="000000"/>
          <w:sz w:val="20"/>
        </w:rPr>
        <w:t>Affirm, at its sole expense, shall be responsible for all Customer eligibility for the Program. Affirm shall be responsible for all Application Processing, for all Customer underwriting, accepting, and processing Applications in accordance with Applicable Law. Affirm’s Customer AML/CFT compliance program shall at all times comply with Applicable Law, including, but not limited to, Sanctions Requirements and identity verification requirements. Affirm is responsible for determining and modifying underwriting criteria in its sole discretion in compliance with Applicable Laws. Notwithstanding the foregoing, Affirm agrees in good faith where possible to notify Shopify in advance of any material changes to its underwriting criteria that could have the impact of reducing the number of Customers and to consult with Shopify about such changes.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5.2</w:t>
      </w:r>
      <w:r>
        <w:rPr>
          <w:rFonts w:ascii="Times New Roman;sans-serif" w:hAnsi="Times New Roman;sans-serif"/>
          <w:b w:val="false"/>
          <w:color w:val="000000"/>
          <w:sz w:val="20"/>
        </w:rPr>
        <w:t>Affirm, at its sole expense and in consultation with Shopify, shall, with respect to each Territory: (i) develop all Customer agreements and disclosures governing or related to the Financial Product(s) as provided by Affirm to Shopify (“</w:t>
      </w:r>
      <w:r>
        <w:rPr>
          <w:rFonts w:ascii="Times New Roman;sans-serif" w:hAnsi="Times New Roman;sans-serif"/>
          <w:b/>
          <w:color w:val="000000"/>
          <w:sz w:val="20"/>
        </w:rPr>
        <w:t>Customer Agreements</w:t>
      </w:r>
      <w:r>
        <w:rPr>
          <w:color w:val="000000"/>
        </w:rPr>
        <w:t>”</w:t>
      </w:r>
      <w:r>
        <w:rPr>
          <w:rFonts w:ascii="Times New Roman;sans-serif" w:hAnsi="Times New Roman;sans-serif"/>
          <w:b w:val="false"/>
          <w:color w:val="000000"/>
          <w:sz w:val="20"/>
        </w:rPr>
        <w:t>) and will notify Shopify of any material updates or modifications thereto that constitute a significant change to the rights, obligations or expectations of Affirm or the Customers that are parties thereto; (ii) develop all Merchant agreements governing or related to the Financial Product (“</w:t>
      </w:r>
      <w:r>
        <w:rPr>
          <w:rFonts w:ascii="Times New Roman;sans-serif" w:hAnsi="Times New Roman;sans-serif"/>
          <w:b/>
          <w:color w:val="000000"/>
          <w:sz w:val="20"/>
        </w:rPr>
        <w:t>Merchant Agreements</w:t>
      </w:r>
      <w:r>
        <w:rPr>
          <w:color w:val="000000"/>
        </w:rPr>
        <w:t>”</w:t>
      </w:r>
      <w:r>
        <w:rPr>
          <w:rFonts w:ascii="Times New Roman;sans-serif" w:hAnsi="Times New Roman;sans-serif"/>
          <w:b w:val="false"/>
          <w:color w:val="000000"/>
          <w:sz w:val="20"/>
        </w:rPr>
        <w:t>); and (iii) be responsible for ensuring Customer Agreements comply with Applicable Law for each Territory, as applicable. At Program Launch, the Parties shall distribute Customer Agreements and Merchant Agreements that are substantially similar to, and no less protective than, those referenced above.</w:t>
      </w:r>
      <w:r>
        <w:rPr>
          <w:color w:val="000000"/>
        </w:rPr>
        <w:t xml:space="preserve"> </w:t>
      </w:r>
      <w:r>
        <w:rPr>
          <w:rFonts w:ascii="Times New Roman;sans-serif" w:hAnsi="Times New Roman;sans-serif"/>
          <w:b w:val="false"/>
          <w:color w:val="000000"/>
          <w:sz w:val="20"/>
        </w:rPr>
        <w:t xml:space="preserve">The terms and conditions of the Customer Agreements must set forth, at a minimum, the following terms: (a) the contracting party under each Customer Agreement; (b) the lender or provider of the Financial Product; and (c) all disclosures required by Applicable Law. All Customer Agreements shall be drafted in consultation with Shopify, provided that to the extent such Customer Agreement contains language required by Applicable Law or Regulatory Authority, such language shall not be subject to negotiation; and provided further that, Affirm shall have the final right of approval over any such Customer Agreements. The relationship with each Customer in connection with the Program shall be jointly owned by Affirm and Shopify. The Parties acknowledge and agree that the content of all Customer communications provided or developed by Affirm, as mutually agreed by the Parties in connection with the Program, including, without limitation, any statements or disclosures and Customer Agreement, to the extent unmodified by Shopify or a third party on Shopify’s behalf without Affirm’s express prior written consent,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responsibility of Affirm, and shall include each Party’s Marks (use of Shopify’s Marks shall be subject to Shopify’s approval). For the avoidance of doubt, Affirm shall be responsible for ensuring all Program Materials and Customer communications provided or developed by Affirm, to the extent unmodified by Shopify or a third party on Shopify’s behalf without Affirm’s express prior written consent, including, without limitation, any statements or disclosures and Customer Agreements, comply with Applicable Law and any policies and procedures required by Regulatory Authority. The channel and means of distributing Customer Agreements shall be via email, on Shopify’s Platform, through Shopify’s SHOP App, or as otherwise required pursuant to Applicable Law; provided that, if Shopify fails to distribute Customer Agreements, Affirm shall have a right to do so using any means available under Applicable Law.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5.3</w:t>
      </w:r>
      <w:r>
        <w:rPr>
          <w:rFonts w:ascii="Times New Roman;sans-serif" w:hAnsi="Times New Roman;sans-serif"/>
          <w:b w:val="false"/>
          <w:color w:val="000000"/>
          <w:sz w:val="20"/>
        </w:rPr>
        <w:t xml:space="preserve">Affirm, at its sole expense (but subject to each applicable Program Outline), shall provide for fund settlement from Customers, collection of payments due from Customers, processing of any Customer transaction related to the Financial Product or contemplated by the Customer Agreement, and distribution of funds to or from a Customer in connection with a Financial Product, in each case, as outlined in the applicable Program Outline. Affirm acknowledges and agrees that it is responsible for Customer Losses.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5.4</w:t>
      </w:r>
      <w:r>
        <w:rPr>
          <w:rFonts w:ascii="Times New Roman;sans-serif" w:hAnsi="Times New Roman;sans-serif"/>
          <w:b w:val="false"/>
          <w:color w:val="000000"/>
          <w:sz w:val="20"/>
        </w:rPr>
        <w:t>Except as stated in this Agreement and to the extent certain functionality is provided in the SHOP App (in which case Shopify shall be responsible for such functionality and communications provided to Customers by Shopify at Affirm’s direction), Affirm shall be responsible for all customer service and communications that it provides to Customers, as agreed by the Parties, including in connection with any Customer-related complaints, questions or requests it receives. Affirm shall develop, in consultation with Shopify, standardized communications to Customers for servicing of the Financial Product (which may include, for example, push notifications sent by Shopify on behalf of Affirm); provided that to the extent such communications contain language required by Applicable Law, such language shall not be subject to negotiation; and provided further that Affirm shall have the final right of approval over any such communications. Affirm shall develop and maintain an internet website or portal that performs customer service functions, such as taking payments and account maintenance, for Customers in connection with the Financial Product, to be branded with the marks of Affirm and Shopify. Affirm will provide Shopify with its complaint policy and procedure documents (the “</w:t>
      </w:r>
      <w:r>
        <w:rPr>
          <w:rFonts w:ascii="Times New Roman;sans-serif" w:hAnsi="Times New Roman;sans-serif"/>
          <w:b/>
          <w:color w:val="000000"/>
          <w:sz w:val="20"/>
        </w:rPr>
        <w:t>Complaint Policy</w:t>
      </w:r>
      <w:r>
        <w:rPr>
          <w:color w:val="000000"/>
        </w:rPr>
        <w:t>”</w:t>
      </w:r>
      <w:r>
        <w:rPr>
          <w:rFonts w:ascii="Times New Roman;sans-serif" w:hAnsi="Times New Roman;sans-serif"/>
          <w:b w:val="false"/>
          <w:color w:val="000000"/>
          <w:sz w:val="20"/>
        </w:rPr>
        <w:t xml:space="preserve">). Affirm agrees to notify Shopify of any material updates to such Complaint Policy. The Complaint Policy will include provisions for tracking and reporting Customers’ complaints from initial contact to resolution, regardless of the recipient of the complaint (i.e., complaint received by Affirm or by Shopify). Affirm shall promptly (within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business days) notify Shopify when Affirm receives a written or verbal Customer complaint that is directed or referred to any Regulatory Authority, or governmental figure (including a federal legislator) relating to the Program and that specifically refers to the actions or inactions of Shopify. Shopify shall promptly (within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business days) notify Affirm when Shopify receives a written or verbal Customer complaint that is directed or referred to any state attorney general, Regulatory Authority, or governmental figure (including a state or federal legislator) relating to the Program and that refers to the actions or inactions of Affirm or the Customer Engagement Functionality. Each Party shall maintain a record and log of all such Customer-related complaints, questions, or requests and, unless otherwise prohibited by Applicable Law and provide such log to the other Party on a monthly basis at its request.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5.5</w:t>
      </w:r>
      <w:r>
        <w:rPr>
          <w:rFonts w:ascii="Times New Roman;sans-serif" w:hAnsi="Times New Roman;sans-serif"/>
          <w:b w:val="false"/>
          <w:color w:val="000000"/>
          <w:sz w:val="20"/>
        </w:rPr>
        <w:t xml:space="preserve">Affirm shall have the right to terminate or suspend any Eligible Merchant’s participation in the Program in accordance with terms of the applicable Merchant Agreement, including, but not limited to, the right to terminate or suspend such Eligible Merchant in connection with elevated fraud or loss activity; provided that Affirm shall use commercially reasonable efforts to provide Shopify with at least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notice of such termination or suspension, so that Shopify can communicate directly with the Merchant. Any such termination or suspension shall be effectuated by Shopify promptly in accordance with the SLAs set forth in this Agreement.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5.6</w:t>
      </w:r>
      <w:r>
        <w:rPr>
          <w:rFonts w:ascii="Times New Roman;sans-serif" w:hAnsi="Times New Roman;sans-serif"/>
          <w:b w:val="false"/>
          <w:color w:val="000000"/>
          <w:sz w:val="20"/>
        </w:rPr>
        <w:t>Affirm will not encourage or require any Eligible Merchant to disable an Eligible Merchant’s Product integration with Shopify or any other Shopify product or service.</w:t>
      </w:r>
    </w:p>
    <w:p>
      <w:pPr>
        <w:pStyle w:val="TextBody"/>
        <w:bidi w:val="0"/>
        <w:spacing w:lineRule="auto" w:line="288" w:before="0" w:after="240"/>
        <w:jc w:val="both"/>
        <w:rPr/>
      </w:pPr>
      <w:r>
        <w:rPr>
          <w:rFonts w:ascii="Times New Roman;sans-serif" w:hAnsi="Times New Roman;sans-serif"/>
          <w:b/>
          <w:color w:val="000000"/>
          <w:sz w:val="20"/>
        </w:rPr>
        <w:t>6.</w:t>
      </w:r>
      <w:r>
        <w:rPr>
          <w:rFonts w:ascii="Times New Roman;sans-serif" w:hAnsi="Times New Roman;sans-serif"/>
          <w:b/>
          <w:color w:val="000000"/>
          <w:sz w:val="20"/>
          <w:u w:val="single"/>
        </w:rPr>
        <w:t>Service Level Agreement (SLA) Standards</w:t>
      </w:r>
      <w:r>
        <w:rPr>
          <w:rFonts w:ascii="Times New Roman;sans-serif" w:hAnsi="Times New Roman;sans-serif"/>
          <w:b/>
          <w:color w:val="000000"/>
          <w:sz w:val="20"/>
        </w:rPr>
        <w:t>.</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6.1</w:t>
      </w:r>
      <w:r>
        <w:rPr>
          <w:rFonts w:ascii="Times New Roman;sans-serif" w:hAnsi="Times New Roman;sans-serif"/>
          <w:b w:val="false"/>
          <w:color w:val="000000"/>
          <w:sz w:val="20"/>
        </w:rPr>
        <w:t xml:space="preserve">Each Party shall provide all services contemplated by this Agreement with promptness and diligence and in a professional and workmanlike manner (unless some other time frame or manner is set forth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herein, in which case such other time frame or manner shall apply). As applicable, each Party shall provide services contemplated by this Agreement in accordance with the service levels set forth in the applicable Territory Program Agreement (each, an “</w:t>
      </w:r>
      <w:r>
        <w:rPr>
          <w:rFonts w:ascii="Times New Roman;sans-serif" w:hAnsi="Times New Roman;sans-serif"/>
          <w:b/>
          <w:color w:val="000000"/>
          <w:sz w:val="20"/>
        </w:rPr>
        <w:t>SLA</w:t>
      </w:r>
      <w:r>
        <w:rPr>
          <w:color w:val="000000"/>
        </w:rPr>
        <w:t>”</w:t>
      </w:r>
      <w:r>
        <w:rPr>
          <w:rFonts w:ascii="Times New Roman;sans-serif" w:hAnsi="Times New Roman;sans-serif"/>
          <w:b w:val="false"/>
          <w:color w:val="000000"/>
          <w:sz w:val="20"/>
        </w:rPr>
        <w:t>). Affirm and Shopify shall periodically review and measure overall performance against the SLAs to ensure consistency with the goals and objectives of this Agreement, and the Parties shall reasonably cooperate to update such SLAs as necessary.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6.2</w:t>
      </w:r>
      <w:r>
        <w:rPr>
          <w:rFonts w:ascii="Times New Roman;sans-serif" w:hAnsi="Times New Roman;sans-serif"/>
          <w:b w:val="false"/>
          <w:color w:val="000000"/>
          <w:sz w:val="20"/>
        </w:rPr>
        <w:t>If any services are not provided in accordance with the SLAs (each instance, a “</w:t>
      </w:r>
      <w:r>
        <w:rPr>
          <w:rFonts w:ascii="Times New Roman;sans-serif" w:hAnsi="Times New Roman;sans-serif"/>
          <w:b/>
          <w:color w:val="000000"/>
          <w:sz w:val="20"/>
        </w:rPr>
        <w:t>Failed SLA</w:t>
      </w:r>
      <w:r>
        <w:rPr>
          <w:color w:val="000000"/>
        </w:rPr>
        <w:t>”</w:t>
      </w:r>
      <w:r>
        <w:rPr>
          <w:rFonts w:ascii="Times New Roman;sans-serif" w:hAnsi="Times New Roman;sans-serif"/>
          <w:b w:val="false"/>
          <w:color w:val="000000"/>
          <w:sz w:val="20"/>
        </w:rPr>
        <w:t xml:space="preserve">), for each Failed SLA: (i) the failing Party shall promptly investigate and report to the non-failing Party on the causes of the problem; (ii) the failing Party shall provide a root-cause analysis of such failure as soon as practicable after such failure or non-failing Party’s request; (iii) the Parties shall undertake the mutual support obligations set forth in the SLAs for the Program Outline initiate remedial action to correct the Failed SLA and resume meeting the relevant SLA(s) as soon as practicable but, in the event of a P0 or P1 incident, within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business days of the date of the occurrence of the Failed SLA; and (iv) advise the non-failing party, as and to the extent requested, of the status of remedial efforts being undertaken with respect to such problem and, within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business days, provide the non-failing party reasonable evidence that the causes of such problem will be corrected on a permanent basis (such steps, an “</w:t>
      </w:r>
      <w:r>
        <w:rPr>
          <w:rFonts w:ascii="Times New Roman;sans-serif" w:hAnsi="Times New Roman;sans-serif"/>
          <w:b/>
          <w:color w:val="000000"/>
          <w:sz w:val="20"/>
        </w:rPr>
        <w:t>SLA Corrective Action Plan</w:t>
      </w:r>
      <w:r>
        <w:rPr>
          <w:color w:val="000000"/>
        </w:rPr>
        <w:t>”</w:t>
      </w:r>
      <w:r>
        <w:rPr>
          <w:rFonts w:ascii="Times New Roman;sans-serif" w:hAnsi="Times New Roman;sans-serif"/>
          <w:b w:val="false"/>
          <w:color w:val="000000"/>
          <w:sz w:val="20"/>
        </w:rPr>
        <w:t xml:space="preserve">), using commercially reasonable efforts; provided, that any SLAs related to Customer operations as set forth in the applicable Territory Program Agreement will be delivered at the end of following month when such Failed SLA occurred unless otherwise agreed to by the Parties. A Party’s failure to provide services in accordance with its SLAs shall not be deemed a Failed SLA if such Party’s failure resulted from (a) a breach of the other Party’s obligations under this Agreement or (b) the inability to prepare adequate resources to meet its SLAs because of materially inaccurate reports or forecasts provided by the other Party.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6.3</w:t>
      </w:r>
      <w:r>
        <w:rPr>
          <w:rFonts w:ascii="Times New Roman;sans-serif" w:hAnsi="Times New Roman;sans-serif"/>
          <w:b w:val="false"/>
          <w:color w:val="000000"/>
          <w:sz w:val="20"/>
        </w:rPr>
        <w:t>For any given month in which a Party suffers any Failed SLA, such month shall be considered to be a “</w:t>
      </w:r>
      <w:r>
        <w:rPr>
          <w:rFonts w:ascii="Times New Roman;sans-serif" w:hAnsi="Times New Roman;sans-serif"/>
          <w:b/>
          <w:color w:val="000000"/>
          <w:sz w:val="20"/>
        </w:rPr>
        <w:t>Failed Month</w:t>
      </w:r>
      <w:r>
        <w:rPr>
          <w:rFonts w:ascii="Times New Roman;sans-serif" w:hAnsi="Times New Roman;sans-serif"/>
          <w:b w:val="false"/>
          <w:color w:val="000000"/>
          <w:sz w:val="20"/>
        </w:rPr>
        <w:t xml:space="preserve">.” If there are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consecutive Failed Months or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Failed Months during any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period, the non-failing party may, at its option, either terminate the specific subject service(s) or terminate this Agreement in its entirety by giving written notice of termination to the failing party, in which case the date of termination shall be as set forth in such notice. With respect to API Latency (as defined in the applicable Territory Program Agreement), if Shopify determines there is a Failed SLA, Shopify will provide Affirm with an SLA Report detailing the Failed SLA.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6.4</w:t>
      </w:r>
      <w:r>
        <w:rPr>
          <w:rFonts w:ascii="Times New Roman;sans-serif" w:hAnsi="Times New Roman;sans-serif"/>
          <w:b w:val="false"/>
          <w:color w:val="000000"/>
          <w:sz w:val="20"/>
        </w:rPr>
        <w:t xml:space="preserve">Each Party shall implement measurement and monitoring tools and metrics as well as standard reporting procedures to measure and report such Party’s performance of the services against the applicable SLAs and shall provide the other Party with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reports detailing service standards performance unless the Parties agree to otherwise (each, an “</w:t>
      </w:r>
      <w:r>
        <w:rPr>
          <w:rFonts w:ascii="Times New Roman;sans-serif" w:hAnsi="Times New Roman;sans-serif"/>
          <w:b/>
          <w:color w:val="000000"/>
          <w:sz w:val="20"/>
        </w:rPr>
        <w:t>SLA Report</w:t>
      </w:r>
      <w:r>
        <w:rPr>
          <w:color w:val="000000"/>
        </w:rPr>
        <w:t>”</w:t>
      </w:r>
      <w:r>
        <w:rPr>
          <w:rFonts w:ascii="Times New Roman;sans-serif" w:hAnsi="Times New Roman;sans-serif"/>
          <w:b w:val="false"/>
          <w:color w:val="000000"/>
          <w:sz w:val="20"/>
        </w:rPr>
        <w:t>). Each Party shall also provide the other Party with information for purposes of audit verification.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6.5</w:t>
      </w:r>
      <w:r>
        <w:rPr>
          <w:rFonts w:ascii="Times New Roman;sans-serif" w:hAnsi="Times New Roman;sans-serif"/>
          <w:b w:val="false"/>
          <w:color w:val="000000"/>
          <w:sz w:val="20"/>
        </w:rPr>
        <w:t xml:space="preserve">Each Party may schedule planned outages of its services upon not less than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business days’ prior written notice to the other Party, and during such planned outage, the affected services shall be exempt from being deemed a Failed SLA for purposes of the calculations for the time period of the outage identified by the first Party in the prior written notification to the other Party. In no event shall such planned outages occur except between the hours of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of the local time zone of the Territory listed in the Territory Program Agreement or such other time set forth therein.</w:t>
      </w:r>
      <w:r>
        <w:rPr>
          <w:color w:val="000000"/>
        </w:rPr>
        <w:t xml:space="preserve"> </w:t>
      </w:r>
      <w:r>
        <w:rPr>
          <w:rFonts w:ascii="Times New Roman;sans-serif" w:hAnsi="Times New Roman;sans-serif"/>
          <w:b w:val="false"/>
          <w:color w:val="000000"/>
          <w:sz w:val="20"/>
        </w:rPr>
        <w:t xml:space="preserve">Each Party shall use commercially reasonable efforts to minimize any adverse impact to the Program and the Customers as a result of any such planned outages.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6.6</w:t>
      </w:r>
      <w:r>
        <w:rPr>
          <w:rFonts w:ascii="Times New Roman;sans-serif" w:hAnsi="Times New Roman;sans-serif"/>
          <w:b w:val="false"/>
          <w:color w:val="000000"/>
          <w:sz w:val="20"/>
        </w:rPr>
        <w:t xml:space="preserve">Notwithstanding the above, the Parties agree to work together in good faith to improve the Service Levels standard as stated in each Territory Program Agreement. </w:t>
      </w:r>
    </w:p>
    <w:p>
      <w:pPr>
        <w:pStyle w:val="TextBody"/>
        <w:bidi w:val="0"/>
        <w:spacing w:lineRule="auto" w:line="288" w:before="0" w:after="240"/>
        <w:jc w:val="both"/>
        <w:rPr/>
      </w:pPr>
      <w:r>
        <w:rPr>
          <w:rFonts w:ascii="Times New Roman;sans-serif" w:hAnsi="Times New Roman;sans-serif"/>
          <w:b/>
          <w:color w:val="000000"/>
          <w:sz w:val="20"/>
        </w:rPr>
        <w:t>7.</w:t>
      </w:r>
      <w:r>
        <w:rPr>
          <w:rFonts w:ascii="Times New Roman;sans-serif" w:hAnsi="Times New Roman;sans-serif"/>
          <w:b/>
          <w:color w:val="000000"/>
          <w:sz w:val="20"/>
          <w:u w:val="single"/>
        </w:rPr>
        <w:t>Relationship Management</w:t>
      </w:r>
      <w:r>
        <w:rPr>
          <w:rFonts w:ascii="Times New Roman;sans-serif" w:hAnsi="Times New Roman;sans-serif"/>
          <w:b/>
          <w:color w:val="000000"/>
          <w:sz w:val="20"/>
        </w:rPr>
        <w:t>.</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7.1</w:t>
      </w:r>
      <w:r>
        <w:rPr>
          <w:rFonts w:ascii="Times New Roman;sans-serif" w:hAnsi="Times New Roman;sans-serif"/>
          <w:b/>
          <w:color w:val="000000"/>
          <w:sz w:val="20"/>
        </w:rPr>
        <w:t>Relationship Manager</w:t>
      </w:r>
      <w:r>
        <w:rPr>
          <w:rFonts w:ascii="Times New Roman;sans-serif" w:hAnsi="Times New Roman;sans-serif"/>
          <w:b w:val="false"/>
          <w:color w:val="000000"/>
          <w:sz w:val="20"/>
        </w:rPr>
        <w:t>. Each Party will designate a “</w:t>
      </w:r>
      <w:r>
        <w:rPr>
          <w:rFonts w:ascii="Times New Roman;sans-serif" w:hAnsi="Times New Roman;sans-serif"/>
          <w:b/>
          <w:color w:val="000000"/>
          <w:sz w:val="20"/>
        </w:rPr>
        <w:t>Relationship Manager</w:t>
      </w:r>
      <w:r>
        <w:rPr>
          <w:color w:val="000000"/>
        </w:rPr>
        <w:t xml:space="preserve">” </w:t>
      </w:r>
      <w:r>
        <w:rPr>
          <w:rFonts w:ascii="Times New Roman;sans-serif" w:hAnsi="Times New Roman;sans-serif"/>
          <w:b w:val="false"/>
          <w:color w:val="000000"/>
          <w:sz w:val="20"/>
        </w:rPr>
        <w:t xml:space="preserve">to act on its behalf in matters arising under this Agreement; provided, however, that the Relationship Managers may not alter or amend any term, condition or provision of this Agreement. Either Party may change its Relationship Manager or add additional Relationship Managers for different Territories at any time by providing the other Party with written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notice. Each Party reserves the right to request to change its Relationship Manager if the Party determines in good faith that the current Relationship Manager is not working effectively with one another or such Relationship Manager is otherwise detrimental to the Program. Each Party shall reasonably consider all such requests based on the facts and circumstances and make reasonable efforts to comply with any request to change.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7.2</w:t>
      </w:r>
      <w:r>
        <w:rPr>
          <w:rFonts w:ascii="Times New Roman;sans-serif" w:hAnsi="Times New Roman;sans-serif"/>
          <w:b/>
          <w:color w:val="000000"/>
          <w:sz w:val="20"/>
        </w:rPr>
        <w:t>Committees</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7.2.1.</w:t>
      </w:r>
      <w:r>
        <w:rPr>
          <w:rFonts w:ascii="Times New Roman;sans-serif" w:hAnsi="Times New Roman;sans-serif"/>
          <w:b w:val="false"/>
          <w:color w:val="000000"/>
          <w:sz w:val="20"/>
          <w:u w:val="single"/>
        </w:rPr>
        <w:t>Establishment of Strategic Operating Committee</w:t>
      </w:r>
      <w:r>
        <w:rPr>
          <w:rFonts w:ascii="Times New Roman;sans-serif" w:hAnsi="Times New Roman;sans-serif"/>
          <w:b w:val="false"/>
          <w:color w:val="000000"/>
          <w:sz w:val="20"/>
        </w:rPr>
        <w:t>. The Parties will establish an operating committee (“</w:t>
      </w:r>
      <w:r>
        <w:rPr>
          <w:rFonts w:ascii="Times New Roman;sans-serif" w:hAnsi="Times New Roman;sans-serif"/>
          <w:b/>
          <w:color w:val="000000"/>
          <w:sz w:val="20"/>
        </w:rPr>
        <w:t>Strategic Operating Committee</w:t>
      </w:r>
      <w:r>
        <w:rPr>
          <w:color w:val="000000"/>
        </w:rPr>
        <w:t>”</w:t>
      </w:r>
      <w:r>
        <w:rPr>
          <w:rFonts w:ascii="Times New Roman;sans-serif" w:hAnsi="Times New Roman;sans-serif"/>
          <w:b w:val="false"/>
          <w:color w:val="000000"/>
          <w:sz w:val="20"/>
        </w:rPr>
        <w:t>) to oversee and review all aspects of the Program.</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7.2.2.</w:t>
      </w:r>
      <w:r>
        <w:rPr>
          <w:rFonts w:ascii="Times New Roman;sans-serif" w:hAnsi="Times New Roman;sans-serif"/>
          <w:b w:val="false"/>
          <w:color w:val="000000"/>
          <w:sz w:val="20"/>
          <w:u w:val="single"/>
        </w:rPr>
        <w:t>Composition of Strategic Operating Committee</w:t>
      </w:r>
      <w:r>
        <w:rPr>
          <w:rFonts w:ascii="Times New Roman;sans-serif" w:hAnsi="Times New Roman;sans-serif"/>
          <w:b w:val="false"/>
          <w:color w:val="000000"/>
          <w:sz w:val="20"/>
        </w:rPr>
        <w:t>. The Strategic Operating Committee will consist of persons with sufficient enterprise responsibility and knowledge of a business unit integral to the performance or supervision of the Program, as applicable, within each Party (e.g., engineering, relationship management, product). The Parties envision the Strategic Operating Committee to be comprised of approximately 6 members, half of whom will be nominated by Shopify (each, a “</w:t>
      </w:r>
      <w:r>
        <w:rPr>
          <w:rFonts w:ascii="Times New Roman;sans-serif" w:hAnsi="Times New Roman;sans-serif"/>
          <w:b/>
          <w:color w:val="000000"/>
          <w:sz w:val="20"/>
        </w:rPr>
        <w:t>Shopify Designee</w:t>
      </w:r>
      <w:r>
        <w:rPr>
          <w:color w:val="000000"/>
        </w:rPr>
        <w:t>”</w:t>
      </w:r>
      <w:r>
        <w:rPr>
          <w:rFonts w:ascii="Times New Roman;sans-serif" w:hAnsi="Times New Roman;sans-serif"/>
          <w:b w:val="false"/>
          <w:color w:val="000000"/>
          <w:sz w:val="20"/>
        </w:rPr>
        <w:t>) and half of whom will be nominated by Affirm (each, an “</w:t>
      </w:r>
      <w:r>
        <w:rPr>
          <w:rFonts w:ascii="Times New Roman;sans-serif" w:hAnsi="Times New Roman;sans-serif"/>
          <w:b/>
          <w:color w:val="000000"/>
          <w:sz w:val="20"/>
        </w:rPr>
        <w:t>Affirm Designee</w:t>
      </w:r>
      <w:r>
        <w:rPr>
          <w:color w:val="000000"/>
        </w:rPr>
        <w:t xml:space="preserve">” </w:t>
      </w:r>
      <w:r>
        <w:rPr>
          <w:rFonts w:ascii="Times New Roman;sans-serif" w:hAnsi="Times New Roman;sans-serif"/>
          <w:b w:val="false"/>
          <w:color w:val="000000"/>
          <w:sz w:val="20"/>
        </w:rPr>
        <w:t>and collectively with the Shopify Designees, “</w:t>
      </w:r>
      <w:r>
        <w:rPr>
          <w:rFonts w:ascii="Times New Roman;sans-serif" w:hAnsi="Times New Roman;sans-serif"/>
          <w:b/>
          <w:color w:val="000000"/>
          <w:sz w:val="20"/>
        </w:rPr>
        <w:t>Designees</w:t>
      </w:r>
      <w:r>
        <w:rPr>
          <w:color w:val="000000"/>
        </w:rPr>
        <w:t>”</w:t>
      </w:r>
      <w:r>
        <w:rPr>
          <w:rFonts w:ascii="Times New Roman;sans-serif" w:hAnsi="Times New Roman;sans-serif"/>
          <w:b w:val="false"/>
          <w:color w:val="000000"/>
          <w:sz w:val="20"/>
        </w:rPr>
        <w:t xml:space="preserve">). Each Party may change its Designees upon informing the other Party. Each Designee will have one vote to approve Strategic Operating Committee actions requiring a vote; however, if the Parties have an unequal number of Designees, then each Party will be deemed to have a total of one vote.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7.2.3.</w:t>
      </w:r>
      <w:r>
        <w:rPr>
          <w:rFonts w:ascii="Times New Roman;sans-serif" w:hAnsi="Times New Roman;sans-serif"/>
          <w:b w:val="false"/>
          <w:color w:val="000000"/>
          <w:sz w:val="20"/>
          <w:u w:val="single"/>
        </w:rPr>
        <w:t>Certain Functions of the Committee</w:t>
      </w:r>
      <w:r>
        <w:rPr>
          <w:rFonts w:ascii="Times New Roman;sans-serif" w:hAnsi="Times New Roman;sans-serif"/>
          <w:b w:val="false"/>
          <w:color w:val="000000"/>
          <w:sz w:val="20"/>
        </w:rPr>
        <w:t>. The Strategic Operating Committee will:</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w:t>
      </w:r>
      <w:r>
        <w:rPr>
          <w:rFonts w:ascii="Times New Roman;sans-serif" w:hAnsi="Times New Roman;sans-serif"/>
          <w:b w:val="false"/>
          <w:color w:val="000000"/>
          <w:sz w:val="20"/>
        </w:rPr>
        <w:t>evaluate proposed new and existing services, products, functionality and additional features in accordance with the terms of this Agreement, including Section 36 (Exclusivity; Additional Products, Services, Geographies);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7.2.3.2.</w:t>
      </w:r>
      <w:r>
        <w:rPr>
          <w:rFonts w:ascii="Times New Roman;sans-serif" w:hAnsi="Times New Roman;sans-serif"/>
          <w:b w:val="false"/>
          <w:color w:val="000000"/>
          <w:sz w:val="20"/>
        </w:rPr>
        <w:t>evaluate, discuss and resolve operational aspects of any ongoing compliance issues, including any operational changes required by changes in Applicable Law;</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7.2.3.3.</w:t>
      </w:r>
      <w:r>
        <w:rPr>
          <w:rFonts w:ascii="Times New Roman;sans-serif" w:hAnsi="Times New Roman;sans-serif"/>
          <w:b w:val="false"/>
          <w:color w:val="000000"/>
          <w:sz w:val="20"/>
        </w:rPr>
        <w:t>review actual and projected performance by the Parties;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7.2.3.4.</w:t>
      </w:r>
      <w:r>
        <w:rPr>
          <w:rFonts w:ascii="Times New Roman;sans-serif" w:hAnsi="Times New Roman;sans-serif"/>
          <w:b w:val="false"/>
          <w:color w:val="000000"/>
          <w:sz w:val="20"/>
        </w:rPr>
        <w:t xml:space="preserve">propose and evaluate any operational implementation of material changes to any Program Outline, and any material changes to pricing or fees in any applicable Program Outline;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7.2.3.5.</w:t>
      </w:r>
      <w:r>
        <w:rPr>
          <w:rFonts w:ascii="Times New Roman;sans-serif" w:hAnsi="Times New Roman;sans-serif"/>
          <w:b w:val="false"/>
          <w:color w:val="000000"/>
          <w:sz w:val="20"/>
        </w:rPr>
        <w:t>evaluate and respond to any notice of breach given by a Party with respect to the Agreement;</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7.2.3.6.</w:t>
      </w:r>
      <w:r>
        <w:rPr>
          <w:rFonts w:ascii="Times New Roman;sans-serif" w:hAnsi="Times New Roman;sans-serif"/>
          <w:b w:val="false"/>
          <w:color w:val="000000"/>
          <w:sz w:val="20"/>
        </w:rPr>
        <w:t>evaluate and respond to any request for additional reporting, access to data or changes in current reporting or access requirements or practices;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7.2.3.7.</w:t>
      </w:r>
      <w:r>
        <w:rPr>
          <w:rFonts w:ascii="Times New Roman;sans-serif" w:hAnsi="Times New Roman;sans-serif"/>
          <w:b w:val="false"/>
          <w:color w:val="000000"/>
          <w:sz w:val="20"/>
        </w:rPr>
        <w:t>review and approve any project collaboration, marketing or promotional activities;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7.2.3.8.</w:t>
      </w:r>
      <w:r>
        <w:rPr>
          <w:rFonts w:ascii="Times New Roman;sans-serif" w:hAnsi="Times New Roman;sans-serif"/>
          <w:b w:val="false"/>
          <w:color w:val="000000"/>
          <w:sz w:val="20"/>
        </w:rPr>
        <w:t>review fraud metrics and fraud prevention measures with the goal of continuing to mitigate fraud;</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7.2.3.9.</w:t>
      </w:r>
      <w:r>
        <w:rPr>
          <w:rFonts w:ascii="Times New Roman;sans-serif" w:hAnsi="Times New Roman;sans-serif"/>
          <w:b w:val="false"/>
          <w:color w:val="000000"/>
          <w:sz w:val="20"/>
        </w:rPr>
        <w:t xml:space="preserve">evaluate Financial Product charge-offs and defaults with the goal of minimizing such losses;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7.2.3.10.</w:t>
      </w:r>
      <w:r>
        <w:rPr>
          <w:rFonts w:ascii="Times New Roman;sans-serif" w:hAnsi="Times New Roman;sans-serif"/>
          <w:b w:val="false"/>
          <w:color w:val="000000"/>
          <w:sz w:val="20"/>
        </w:rPr>
        <w:t>evaluate Customer repeat-purchase rates and average Merchant Fees (as defined in the applicable Program Outline) across the Merchant Base, with the goal of improving both metrics;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7.2.3.11.</w:t>
      </w:r>
      <w:r>
        <w:rPr>
          <w:rFonts w:ascii="Times New Roman;sans-serif" w:hAnsi="Times New Roman;sans-serif"/>
          <w:b w:val="false"/>
          <w:color w:val="000000"/>
          <w:sz w:val="20"/>
        </w:rPr>
        <w:t xml:space="preserve">discuss the Product Construct and make any adjustments to the First Product as mutually agreed and evidenced by an amendment to the applicable Program Outline;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7.2.3.12.</w:t>
      </w:r>
      <w:r>
        <w:rPr>
          <w:rFonts w:ascii="Times New Roman;sans-serif" w:hAnsi="Times New Roman;sans-serif"/>
          <w:b w:val="false"/>
          <w:color w:val="000000"/>
          <w:sz w:val="20"/>
        </w:rPr>
        <w:t xml:space="preserve">carry out all other tasks the Parties agree in writing will be done by the Strategic Operating Committee;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7.2.3.13.</w:t>
      </w:r>
      <w:r>
        <w:rPr>
          <w:rFonts w:ascii="Times New Roman;sans-serif" w:hAnsi="Times New Roman;sans-serif"/>
          <w:b w:val="false"/>
          <w:color w:val="000000"/>
          <w:sz w:val="20"/>
        </w:rPr>
        <w:t xml:space="preserve">review and measure overall performance against the applicable SLAs to ensure consistency with the goals and objectives of this Agreement, and reasonably cooperate to update such applicable SLAs as necessary;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7.2.3.14.</w:t>
      </w:r>
      <w:r>
        <w:rPr>
          <w:rFonts w:ascii="Times New Roman;sans-serif" w:hAnsi="Times New Roman;sans-serif"/>
          <w:b w:val="false"/>
          <w:color w:val="000000"/>
          <w:sz w:val="20"/>
        </w:rPr>
        <w:t>review Shopify rolling 12-month forecast (provided to Affirm on a quarterly basis) and discuss whether any Affirm SLA failures were directly caused by material misstatements, omissions or errors in the 12-month forecast;</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7.2.3.15.</w:t>
      </w:r>
      <w:r>
        <w:rPr>
          <w:rFonts w:ascii="Times New Roman;sans-serif" w:hAnsi="Times New Roman;sans-serif"/>
          <w:b w:val="false"/>
          <w:color w:val="000000"/>
          <w:sz w:val="20"/>
        </w:rPr>
        <w:t>meet regularly, but no less often than quarterly, in a manner or at a place mutually agreed by the Parties;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7.2.3.16.</w:t>
      </w:r>
      <w:r>
        <w:rPr>
          <w:rFonts w:ascii="Times New Roman;sans-serif" w:hAnsi="Times New Roman;sans-serif"/>
          <w:b w:val="false"/>
          <w:color w:val="000000"/>
          <w:sz w:val="20"/>
        </w:rPr>
        <w:t>resolve any Conflict, including with respect to the amount and payment of Fees for Services, in accordance with Section 9 (Conflict Resolution);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7.2.3.17.</w:t>
      </w:r>
      <w:r>
        <w:rPr>
          <w:rFonts w:ascii="Times New Roman;sans-serif" w:hAnsi="Times New Roman;sans-serif"/>
          <w:b w:val="false"/>
          <w:color w:val="000000"/>
          <w:sz w:val="20"/>
        </w:rPr>
        <w:t>submit all unresolved disputes and matters for expedited resolution to the Escalation Executives as provided for in Section 9.2 (Escalation Executives).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7.2.4.</w:t>
      </w:r>
      <w:r>
        <w:rPr>
          <w:rFonts w:ascii="Times New Roman;sans-serif" w:hAnsi="Times New Roman;sans-serif"/>
          <w:b w:val="false"/>
          <w:color w:val="000000"/>
          <w:sz w:val="20"/>
          <w:u w:val="single"/>
        </w:rPr>
        <w:t>Effect of Actions</w:t>
      </w:r>
      <w:r>
        <w:rPr>
          <w:rFonts w:ascii="Times New Roman;sans-serif" w:hAnsi="Times New Roman;sans-serif"/>
          <w:b w:val="false"/>
          <w:color w:val="000000"/>
          <w:sz w:val="20"/>
        </w:rPr>
        <w:t xml:space="preserve">. All actions taken or approved by the Strategic Operating Committee will be set forth in writing and binding on the Parties and their Affiliates, as applicable; provided that the Strategic Operating Committee may not take any action or approve any matter that would conflict with or otherwise expand the obligations or curtail the rights set forth in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7.2.5.</w:t>
      </w:r>
      <w:r>
        <w:rPr>
          <w:rFonts w:ascii="Times New Roman;sans-serif" w:hAnsi="Times New Roman;sans-serif"/>
          <w:b w:val="false"/>
          <w:color w:val="000000"/>
          <w:sz w:val="20"/>
          <w:u w:val="single"/>
        </w:rPr>
        <w:t>Additional Committees and Personnel</w:t>
      </w:r>
      <w:r>
        <w:rPr>
          <w:rFonts w:ascii="Times New Roman;sans-serif" w:hAnsi="Times New Roman;sans-serif"/>
          <w:b w:val="false"/>
          <w:color w:val="000000"/>
          <w:sz w:val="20"/>
        </w:rPr>
        <w:t xml:space="preserve">. The Parties may create from time to time other committees and for other purposes as they deem appropriate or include other persons, in addition to the Designees, with relevant subject matter or other expertise, to attend Strategic Operating Committee meetings.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7.3</w:t>
      </w:r>
      <w:r>
        <w:rPr>
          <w:rFonts w:ascii="Times New Roman;sans-serif" w:hAnsi="Times New Roman;sans-serif"/>
          <w:b/>
          <w:color w:val="000000"/>
          <w:sz w:val="20"/>
        </w:rPr>
        <w:t>Annual Executive Meeting</w:t>
      </w:r>
      <w:r>
        <w:rPr>
          <w:rFonts w:ascii="Times New Roman;sans-serif" w:hAnsi="Times New Roman;sans-serif"/>
          <w:b w:val="false"/>
          <w:color w:val="000000"/>
          <w:sz w:val="20"/>
        </w:rPr>
        <w:t xml:space="preserve">. The Parties will organize an executive meeting to be held on an annual basis between “VP-level” executives from each respective corporate organization to ensure continued strategic alignment, assess progress against common goals, discuss any issues identified by the Strategic Operating Committee as appropriate for their discussion, and explore further collaboration.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7.4</w:t>
      </w:r>
      <w:r>
        <w:rPr>
          <w:rFonts w:ascii="Times New Roman;sans-serif" w:hAnsi="Times New Roman;sans-serif"/>
          <w:b/>
          <w:color w:val="000000"/>
          <w:sz w:val="20"/>
        </w:rPr>
        <w:t>Independent Contractors</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7.4.1.</w:t>
      </w:r>
      <w:r>
        <w:rPr>
          <w:rFonts w:ascii="Times New Roman;sans-serif" w:hAnsi="Times New Roman;sans-serif"/>
          <w:b w:val="false"/>
          <w:color w:val="000000"/>
          <w:sz w:val="20"/>
        </w:rPr>
        <w:t>Affirm and Shopify agree that they are independent contractors to each other in performing their respective obligations hereunder. This Agreement will not be construed as creating a relationship of employment, agency, partnership, joint venture or any other form of legal association. Neither Party has any power to bind the other Party or to assume or to create any obligation or responsibility on behalf of the other Party or in the other Party’s name.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7.4.2.</w:t>
      </w:r>
      <w:r>
        <w:rPr>
          <w:rFonts w:ascii="Times New Roman;sans-serif" w:hAnsi="Times New Roman;sans-serif"/>
          <w:b w:val="false"/>
          <w:color w:val="000000"/>
          <w:sz w:val="20"/>
        </w:rPr>
        <w:t>Each Party’s Personnel are not eligible for, nor may they participate in, any employee benefit plans of the other Party, and the non-employing Party will not insure the employing Party for workers’ compensation coverage or for unemployment insurance. Each Party is solely responsible for, and agrees to comply with all federal and state laws and regulations with respect to: (i) hire, tenure, and conditions of employment; (ii) hours of work, salaries and compensation (including unemployment compensation); (iii) deductions and withholdings; (iv) payment of any and all contributions, taxes and assessments, with respect to all Party Personnel who provide services hereunder; and (v) the keeping of records and making of reports.</w:t>
      </w:r>
    </w:p>
    <w:p>
      <w:pPr>
        <w:pStyle w:val="TextBody"/>
        <w:bidi w:val="0"/>
        <w:spacing w:lineRule="auto" w:line="288" w:before="0" w:after="240"/>
        <w:jc w:val="both"/>
        <w:rPr/>
      </w:pPr>
      <w:r>
        <w:rPr>
          <w:rFonts w:ascii="Times New Roman;sans-serif" w:hAnsi="Times New Roman;sans-serif"/>
          <w:b/>
          <w:color w:val="000000"/>
          <w:sz w:val="20"/>
        </w:rPr>
        <w:t>8.</w:t>
      </w:r>
      <w:r>
        <w:rPr>
          <w:rFonts w:ascii="Times New Roman;sans-serif" w:hAnsi="Times New Roman;sans-serif"/>
          <w:b/>
          <w:color w:val="000000"/>
          <w:sz w:val="20"/>
          <w:u w:val="single"/>
        </w:rPr>
        <w:t>Intellectual Property Rights</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8.1</w:t>
      </w:r>
      <w:r>
        <w:rPr>
          <w:rFonts w:ascii="Times New Roman;sans-serif" w:hAnsi="Times New Roman;sans-serif"/>
          <w:b/>
          <w:color w:val="000000"/>
          <w:sz w:val="20"/>
        </w:rPr>
        <w:t>Shopify Materials</w:t>
      </w:r>
      <w:r>
        <w:rPr>
          <w:rFonts w:ascii="Times New Roman;sans-serif" w:hAnsi="Times New Roman;sans-serif"/>
          <w:b w:val="false"/>
          <w:color w:val="000000"/>
          <w:sz w:val="20"/>
        </w:rPr>
        <w:t>. To the extent that Shopify provides any Shopify Materials to Affirm pursuant to this Agreement, the following shall apply:</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8.1.1.</w:t>
      </w:r>
      <w:r>
        <w:rPr>
          <w:rFonts w:ascii="Times New Roman;sans-serif" w:hAnsi="Times New Roman;sans-serif"/>
          <w:b w:val="false"/>
          <w:color w:val="000000"/>
          <w:sz w:val="20"/>
        </w:rPr>
        <w:t>License. Shopify hereby grants to Affirm a limited, non-exclusive, non-transferable, non-sublicensable and revocable license to the Shopify Materials during the Term, solely as necessary for Affirm fulfill its obligations under this Agreement and for no other purpose.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8.1.2.</w:t>
      </w:r>
      <w:r>
        <w:rPr>
          <w:rFonts w:ascii="Times New Roman;sans-serif" w:hAnsi="Times New Roman;sans-serif"/>
          <w:b w:val="false"/>
          <w:color w:val="000000"/>
          <w:sz w:val="20"/>
        </w:rPr>
        <w:t>Ownership. Subject to Section 8.4 hereof, the Shopify Materials are owned by Shopify and licensed to Affirm and not sold to Affirm. Shopify owns and reserves all right, title and interest in and to the Shopify Materials and all Intellectual Property Rights therein.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8.1.3.</w:t>
      </w:r>
      <w:r>
        <w:rPr>
          <w:rFonts w:ascii="Times New Roman;sans-serif" w:hAnsi="Times New Roman;sans-serif"/>
          <w:b w:val="false"/>
          <w:color w:val="000000"/>
          <w:sz w:val="20"/>
        </w:rPr>
        <w:t>Risk of Loss. To the extent that Shopify provides any Shopify Materials to Affirm for the performance of its obligations under this Agreement, Affirm will: (i) take all reasonable precautions to protect such property against loss, damage, theft or disappearance; (ii) take no actions that affect Shopify’s title or interest; (iii) abide by specifications and use instructions; (iv) not give access to any third party without Shopify’s prior written consent; and (v) not reverse engineer, decompile, disassemble, modify, create derivative works of or otherwise create, attempt to create or derive, or permit or assist any third party to create or derive, the source code underlying the Shopify Materials.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8.2</w:t>
      </w:r>
      <w:r>
        <w:rPr>
          <w:rFonts w:ascii="Times New Roman;sans-serif" w:hAnsi="Times New Roman;sans-serif"/>
          <w:b/>
          <w:color w:val="000000"/>
          <w:sz w:val="20"/>
        </w:rPr>
        <w:t>Affirm Materials</w:t>
      </w:r>
      <w:r>
        <w:rPr>
          <w:rFonts w:ascii="Times New Roman;sans-serif" w:hAnsi="Times New Roman;sans-serif"/>
          <w:b w:val="false"/>
          <w:color w:val="000000"/>
          <w:sz w:val="20"/>
        </w:rPr>
        <w:t xml:space="preserve">. To the extent that Affirm provides any Affirm Materials to Shopify pursuant to this Agreement, the following shall apply: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8.2.1.</w:t>
      </w:r>
      <w:r>
        <w:rPr>
          <w:rFonts w:ascii="Times New Roman;sans-serif" w:hAnsi="Times New Roman;sans-serif"/>
          <w:b w:val="false"/>
          <w:color w:val="000000"/>
          <w:sz w:val="20"/>
        </w:rPr>
        <w:t>License. Affirm hereby grants to Shopify a limited, non-exclusive, non-transferable, non-sublicensable and revocable license to the Affirm Materials during the Term, solely as necessary for Shopify to fulfill its obligations under this Agreement and for no other purpose.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8.2.2.</w:t>
      </w:r>
      <w:r>
        <w:rPr>
          <w:rFonts w:ascii="Times New Roman;sans-serif" w:hAnsi="Times New Roman;sans-serif"/>
          <w:b w:val="false"/>
          <w:color w:val="000000"/>
          <w:sz w:val="20"/>
        </w:rPr>
        <w:t>Ownership. Subject to Section 8.4 hereof, the Affirm Materials are owned by Affirm and licensed to Shopify and not sold to Shopify. Affirm owns and reserves all right, title and interest in and to the Affirm Materials and all Intellectual Property Rights therein.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8.2.3.</w:t>
      </w:r>
      <w:r>
        <w:rPr>
          <w:rFonts w:ascii="Times New Roman;sans-serif" w:hAnsi="Times New Roman;sans-serif"/>
          <w:b w:val="false"/>
          <w:color w:val="000000"/>
          <w:sz w:val="20"/>
        </w:rPr>
        <w:t>Risk of Loss. To the extent that Affirm provides any Affirm Materials to Shopify for the performance of its obligations under this Agreement, Shopify will: (i) take all reasonable precautions to protect such property against loss, damage, theft or disappearance; (ii) take no actions that affect Affirm’s title or interest; (iii) abide by specifications and use instructions; (iv) not give access to any third party without Affirm’s prior written consent; and (v) not reverse engineer, decompile, disassemble, modify, create derivative works of or otherwise create, attempt to create or derive, or permit or assist any third party to create or derive, the source code underlying the Affirm Materials.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8.3</w:t>
      </w:r>
      <w:r>
        <w:rPr>
          <w:rFonts w:ascii="Times New Roman;sans-serif" w:hAnsi="Times New Roman;sans-serif"/>
          <w:b/>
          <w:color w:val="000000"/>
          <w:sz w:val="20"/>
        </w:rPr>
        <w:t>Pre-Existing Intellectual Property Rights</w:t>
      </w:r>
      <w:r>
        <w:rPr>
          <w:rFonts w:ascii="Times New Roman;sans-serif" w:hAnsi="Times New Roman;sans-serif"/>
          <w:b w:val="false"/>
          <w:color w:val="000000"/>
          <w:sz w:val="20"/>
        </w:rPr>
        <w:t>. Notwithstanding anything else contained in this Agreement, Affirm shall retain ownership of Affirm Pre-Existing IP, and Shopify shall retain ownership of Shopify Pre-Existing IP; provided, however, Affirm grants to Shopify a limited, non-exclusive, non-transferable, non-sublicensable and revocable license, during the Term and through the end of the Orderly Transition as set forth in Section 11.7, to the Affirm Pre-Existing IP that the Parties mutually agree is to be included in or otherwise used in connection with a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8.4</w:t>
      </w:r>
      <w:r>
        <w:rPr>
          <w:rFonts w:ascii="Times New Roman;sans-serif" w:hAnsi="Times New Roman;sans-serif"/>
          <w:b/>
          <w:color w:val="000000"/>
          <w:sz w:val="20"/>
        </w:rPr>
        <w:t>Developed Intellectual Property Rights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8.4.1.</w:t>
      </w:r>
      <w:r>
        <w:rPr>
          <w:rFonts w:ascii="Times New Roman;sans-serif" w:hAnsi="Times New Roman;sans-serif"/>
          <w:b w:val="false"/>
          <w:color w:val="000000"/>
          <w:sz w:val="20"/>
        </w:rPr>
        <w:t xml:space="preserve">Each Party will exclusively own and retain ownership of all right, title, and interest in and to all Intellectual Property Rights that such Party or its Affiliates solely creates, authors, develops, or otherwise acquires pursuant to or in furtherance of this Agreement, and no Intellectual Property Rights of any kind are assigned by one Party to either Party pursuant to this Agreement. Except as expressly provided in Section 8.4.2, the Parties will jointly own, without a duty of accounting, all Intellectual Property Rights that are jointly created, authored, or developed by the Parties pursuant to or in furtherance of this Agreement that does not constitute Affirm Pre-Existing IP or Shopify Pre-Existing IP, provided, however, that neither Party shall have the right to license, transfer, assign or grant rights to such jointly owned Intellectual Property Rights to a third party without the prior written consent of the other Party. The Parties agree to cooperate in good faith to identify and document any jointly owned Intellectual Property Rights. For the avoidance of doubt, the Affirm API and all related documentation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specifications are and will be deemed to be exclusively owned by Affirm, and the Shopify API and all related documentation and specifications are and will be deemed to be exclusively owned by Shopify. Notwithstanding this Section 8.4.1, any new software, other than software constituting Affirm Pre-Existing IP, that is jointly created, authored or developed by the Parties pursuant to or in furtherance of this Agreement that is developed on top of Affirm’s API, including but not limited to the Customer interface, shall belong to Shopify; provided that the concept of the embedded user portal shall be jointly owned by both Parties. For the avoidance of doubt, any Intellectual Property Rights that are created, authored or developed by Affirm and relate to Affirm backend systems or that are a modification, enhancement, or derivative work of the Affirm API, shall be solely and exclusively owned by Affirm.</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8.4.2.</w:t>
      </w:r>
      <w:r>
        <w:rPr>
          <w:rFonts w:ascii="Times New Roman;sans-serif" w:hAnsi="Times New Roman;sans-serif"/>
          <w:b w:val="false"/>
          <w:color w:val="000000"/>
          <w:sz w:val="20"/>
        </w:rPr>
        <w:t>Upon termination of this Agreement, the Parties shall cooperate in good faith to identify, as set forth in Section 8.4.1 above, and document any jointly owned Intellectual Property Rights. Affirm shall not prevent Shopify from using any such jointly developed Intellectual Property Rights or prevent, hinder or in any manner prevent Shopify from entering into agreements to provide and market the same or similar services as provided hereunder. It is understood that following termination, (a) each Party shall continue to jointly own and have the right to use the jointly owned Intellectual Property Rights as of the date of termination in accordance with Section 8.4.1, and (b) neither Party shall have any rights in or ownership of any intellectual property related to any derivatives, enhancements or improvements to such Intellectual Property developed by the other Party following the termination of this Agreement. For the avoidance of doubt, the Financial Product name and its branding on the Shopify platform and SHOP App/SHOP Portal, excluding any Affirm trademarks, belongs to Shopify; provided, that Shopify acknowledges that Affirm may have similarly named financial products that are not part of the Program and nothing herein shall restrict Affirm from using such financial product name or branding which shall belong to Affirm.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8.5</w:t>
      </w:r>
      <w:r>
        <w:rPr>
          <w:rFonts w:ascii="Times New Roman;sans-serif" w:hAnsi="Times New Roman;sans-serif"/>
          <w:b/>
          <w:color w:val="000000"/>
          <w:sz w:val="20"/>
        </w:rPr>
        <w:t>Reservation of Intellectual Property Rights</w:t>
      </w:r>
      <w:r>
        <w:rPr>
          <w:rFonts w:ascii="Times New Roman;sans-serif" w:hAnsi="Times New Roman;sans-serif"/>
          <w:b w:val="false"/>
          <w:color w:val="000000"/>
          <w:sz w:val="20"/>
        </w:rPr>
        <w:t>. Nothing in this Agreement shall be construed as granting either Party a license to use in any way the Intellectual Property Rights of the other Party, except as provided in this Agreement. Neither Party shall take any action that interferes with the other Party’s Intellectual Property Rights or attempt to copyright or patent any part of the other Party’s Intellectual Property Rights or attempt to register any trademark, service mark or trade name that is identical or confusingly similar to the other Party’s Marks.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8.6</w:t>
      </w:r>
      <w:r>
        <w:rPr>
          <w:rFonts w:ascii="Times New Roman;sans-serif" w:hAnsi="Times New Roman;sans-serif"/>
          <w:b/>
          <w:color w:val="000000"/>
          <w:sz w:val="20"/>
        </w:rPr>
        <w:t>Feedback</w:t>
      </w:r>
      <w:r>
        <w:rPr>
          <w:rFonts w:ascii="Times New Roman;sans-serif" w:hAnsi="Times New Roman;sans-serif"/>
          <w:b w:val="false"/>
          <w:color w:val="000000"/>
          <w:sz w:val="20"/>
        </w:rPr>
        <w:t>. Each Party may, from time to time, provide the other Party with suggestions or comments for enhancements or improvements, new features or functionality or other feedback (collectively, “</w:t>
      </w:r>
      <w:r>
        <w:rPr>
          <w:rFonts w:ascii="Times New Roman;sans-serif" w:hAnsi="Times New Roman;sans-serif"/>
          <w:b/>
          <w:color w:val="000000"/>
          <w:sz w:val="20"/>
        </w:rPr>
        <w:t>Feedback</w:t>
      </w:r>
      <w:r>
        <w:rPr>
          <w:color w:val="000000"/>
        </w:rPr>
        <w:t>”</w:t>
      </w:r>
      <w:r>
        <w:rPr>
          <w:rFonts w:ascii="Times New Roman;sans-serif" w:hAnsi="Times New Roman;sans-serif"/>
          <w:b w:val="false"/>
          <w:color w:val="000000"/>
          <w:sz w:val="20"/>
        </w:rPr>
        <w:t>) with respect to the Materials of the other Party or the Program. The Party receiving such Feedback will have the full, unencumbered right, without any obligation to compensate or reimburse the providing Party, to use, incorporate and otherwise fully exercise and exploit any such Feedback in connection with the receiving Party’s Materials, products, and services. Feedback shall not be deemed to be the Confidential Information of either Party.</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0"/>
        </w:rPr>
        <w:t>9.</w:t>
      </w:r>
      <w:r>
        <w:rPr>
          <w:rFonts w:ascii="Times New Roman;sans-serif" w:hAnsi="Times New Roman;sans-serif"/>
          <w:b/>
          <w:color w:val="000000"/>
          <w:sz w:val="20"/>
          <w:u w:val="single"/>
        </w:rPr>
        <w:t>Conflict Resolution</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9.1</w:t>
      </w:r>
      <w:r>
        <w:rPr>
          <w:rFonts w:ascii="Times New Roman;sans-serif" w:hAnsi="Times New Roman;sans-serif"/>
          <w:b/>
          <w:color w:val="000000"/>
          <w:sz w:val="20"/>
        </w:rPr>
        <w:t>Good-Faith Negotiation</w:t>
      </w:r>
      <w:r>
        <w:rPr>
          <w:rFonts w:ascii="Times New Roman;sans-serif" w:hAnsi="Times New Roman;sans-serif"/>
          <w:b w:val="false"/>
          <w:color w:val="000000"/>
          <w:sz w:val="20"/>
        </w:rPr>
        <w:t>. The Parties shall cooperate and attempt in good faith to resolve any Conflict promptly by negotiating between persons who have authority to settle the Conflict. Subject to Section 9.3 (Preliminary, Provisional, Injunctive Judicial Relief), if Parties are unable to resolve the Conflict, the Party raising the Conflict shall provide written notice thereof to the other Party (the “</w:t>
      </w:r>
      <w:r>
        <w:rPr>
          <w:rFonts w:ascii="Times New Roman;sans-serif" w:hAnsi="Times New Roman;sans-serif"/>
          <w:b/>
          <w:color w:val="000000"/>
          <w:sz w:val="20"/>
        </w:rPr>
        <w:t>Initial Notice</w:t>
      </w:r>
      <w:r>
        <w:rPr>
          <w:color w:val="000000"/>
        </w:rPr>
        <w:t>”</w:t>
      </w:r>
      <w:r>
        <w:rPr>
          <w:rFonts w:ascii="Times New Roman;sans-serif" w:hAnsi="Times New Roman;sans-serif"/>
          <w:b w:val="false"/>
          <w:color w:val="000000"/>
          <w:sz w:val="20"/>
        </w:rPr>
        <w:t xml:space="preserve">), and within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days of the delivery of the Initial Notice, the Conflict shall be submitted to the Strategic Operating Committee to negotiate a resolution of the Conflict. The negotiations shall be conducted by executives who hold, at a minimum, the title of senior vice president or general counsel and who have authority to settle the Conflicts. All such negotiations shall be confidential and shall be treated as compromise and settlement negotiations for purposes of applicable rules of evidence. If the Parties are unable for any reason to resolve the Conflict within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days after the delivery of such notice or if a Party reasonably concludes that the other Party is not willing to negotiate as contemplated by the preceding sentences of this Section 9.1 (Good-Faith Negotiation), the Conflict shall be submitted to both Escalation Executives.</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9.2</w:t>
      </w:r>
      <w:r>
        <w:rPr>
          <w:rFonts w:ascii="Times New Roman;sans-serif" w:hAnsi="Times New Roman;sans-serif"/>
          <w:b/>
          <w:color w:val="000000"/>
          <w:sz w:val="20"/>
        </w:rPr>
        <w:t>Escalation Executives</w:t>
      </w:r>
      <w:r>
        <w:rPr>
          <w:rFonts w:ascii="Times New Roman;sans-serif" w:hAnsi="Times New Roman;sans-serif"/>
          <w:b w:val="false"/>
          <w:color w:val="000000"/>
          <w:sz w:val="20"/>
        </w:rPr>
        <w:t xml:space="preserve">. Each Party will each appoint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full-time employee who is a senior executive, or his/her designee, with enterprise-wide responsibility within his or her organization (“</w:t>
      </w:r>
      <w:r>
        <w:rPr>
          <w:rFonts w:ascii="Times New Roman;sans-serif" w:hAnsi="Times New Roman;sans-serif"/>
          <w:b/>
          <w:color w:val="000000"/>
          <w:sz w:val="20"/>
        </w:rPr>
        <w:t>Escalation Executive</w:t>
      </w:r>
      <w:r>
        <w:rPr>
          <w:color w:val="000000"/>
        </w:rPr>
        <w:t>”</w:t>
      </w:r>
      <w:r>
        <w:rPr>
          <w:rFonts w:ascii="Times New Roman;sans-serif" w:hAnsi="Times New Roman;sans-serif"/>
          <w:b w:val="false"/>
          <w:color w:val="000000"/>
          <w:sz w:val="20"/>
        </w:rPr>
        <w:t xml:space="preserve">) to review and resolve all matters on which the Strategic Operating Committee is deadlocked and any Conflicts otherwise referred to him or her by the Strategic Operating Committee. Each Party may change its Escalation Executive upon informing the other Party. The Escalation Executives will meet at least annually and will make a good faith effort to promptly (and in any event within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days of the dispute being referred to the Escalation Executives) resolve all Conflicts referred to them. The Escalation Executives decisions will be binding on the Parties. If the Escalation Executives do not agree to a resolution of a Conflict within the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period following the referral of such Conflict to the Escalation Executives, the Parties may initiate legal proceedings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9.3</w:t>
      </w:r>
      <w:r>
        <w:rPr>
          <w:rFonts w:ascii="Times New Roman;sans-serif" w:hAnsi="Times New Roman;sans-serif"/>
          <w:b/>
          <w:color w:val="000000"/>
          <w:sz w:val="20"/>
        </w:rPr>
        <w:t>Preliminary, Provisional, Injunctive Judicial Relief</w:t>
      </w:r>
      <w:r>
        <w:rPr>
          <w:rFonts w:ascii="Times New Roman;sans-serif" w:hAnsi="Times New Roman;sans-serif"/>
          <w:b w:val="false"/>
          <w:color w:val="000000"/>
          <w:sz w:val="20"/>
        </w:rPr>
        <w:t xml:space="preserve">. Notwithstanding the foregoing, a Party may seek preliminary provisional or injunctive judicial relief with respect to a Conflict without first complying with the procedures set forth in this Section 9 (Conflict Resolution) if permitted under Section 13.6 (Remedies) or as otherwise necessary to prevent immediate and irreparable harm to a Party for which money damages might not constitute an adequate remedy. </w:t>
      </w:r>
    </w:p>
    <w:p>
      <w:pPr>
        <w:pStyle w:val="TextBody"/>
        <w:bidi w:val="0"/>
        <w:spacing w:lineRule="auto" w:line="288" w:before="0" w:after="240"/>
        <w:jc w:val="both"/>
        <w:rPr/>
      </w:pPr>
      <w:r>
        <w:rPr>
          <w:rFonts w:ascii="Times New Roman;sans-serif" w:hAnsi="Times New Roman;sans-serif"/>
          <w:b/>
          <w:color w:val="000000"/>
          <w:sz w:val="20"/>
        </w:rPr>
        <w:t>10.</w:t>
      </w:r>
      <w:r>
        <w:rPr>
          <w:rFonts w:ascii="Times New Roman;sans-serif" w:hAnsi="Times New Roman;sans-serif"/>
          <w:b/>
          <w:color w:val="000000"/>
          <w:sz w:val="20"/>
          <w:u w:val="single"/>
        </w:rPr>
        <w:t>Compensation, Expenses and Taxes</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10.1</w:t>
      </w:r>
      <w:r>
        <w:rPr>
          <w:rFonts w:ascii="Times New Roman;sans-serif" w:hAnsi="Times New Roman;sans-serif"/>
          <w:b/>
          <w:color w:val="000000"/>
          <w:sz w:val="20"/>
        </w:rPr>
        <w:t>Compensation</w:t>
      </w:r>
      <w:r>
        <w:rPr>
          <w:rFonts w:ascii="Times New Roman;sans-serif" w:hAnsi="Times New Roman;sans-serif"/>
          <w:b w:val="false"/>
          <w:color w:val="000000"/>
          <w:sz w:val="20"/>
        </w:rPr>
        <w:t>. All fees not expressly set forth in this Agreement must be expressly and mutually agreed to in the applicable Program Outline. Except as expressly set forth in this Agreement, Shopify will have no other payment obligations for fees to Affirm.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10.2</w:t>
      </w:r>
      <w:r>
        <w:rPr>
          <w:rFonts w:ascii="Times New Roman;sans-serif" w:hAnsi="Times New Roman;sans-serif"/>
          <w:b/>
          <w:color w:val="000000"/>
          <w:sz w:val="20"/>
        </w:rPr>
        <w:t>Expenses</w:t>
      </w:r>
      <w:r>
        <w:rPr>
          <w:rFonts w:ascii="Times New Roman;sans-serif" w:hAnsi="Times New Roman;sans-serif"/>
          <w:b w:val="false"/>
          <w:color w:val="000000"/>
          <w:sz w:val="20"/>
        </w:rPr>
        <w:t>. Except as otherwise set forth in this Agreement, each Party shall be responsible for its costs and expenses incurred in performance of its obligations under this Agreement. Unless otherwise stated in any Program Outline, Shopify shall be responsible for advertising and other expenses associated with the marketing of the Program to Merchants and the Customer Engagement Functionality. Unless otherwise stated in any Program Outline, Affirm shall be responsible for its own costs and overhead generated from its review, assessment and development of the Program, and costs associated with or required to establish and maintain the Financial Product.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10.3</w:t>
      </w:r>
      <w:r>
        <w:rPr>
          <w:rFonts w:ascii="Times New Roman;sans-serif" w:hAnsi="Times New Roman;sans-serif"/>
          <w:b/>
          <w:color w:val="000000"/>
          <w:sz w:val="20"/>
        </w:rPr>
        <w:t>Taxes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10.3.1.</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10.3.2.</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10.3.3.</w:t>
      </w:r>
      <w:r>
        <w:rPr>
          <w:rFonts w:ascii="Times New Roman;sans-serif" w:hAnsi="Times New Roman;sans-serif"/>
          <w:b w:val="false"/>
          <w:color w:val="000000"/>
          <w:sz w:val="20"/>
        </w:rPr>
        <w:t>[***]</w:t>
      </w:r>
    </w:p>
    <w:p>
      <w:pPr>
        <w:pStyle w:val="TextBody"/>
        <w:bidi w:val="0"/>
        <w:spacing w:lineRule="auto" w:line="288" w:before="0" w:after="240"/>
        <w:jc w:val="both"/>
        <w:rPr/>
      </w:pPr>
      <w:r>
        <w:rPr>
          <w:rFonts w:ascii="Times New Roman;sans-serif" w:hAnsi="Times New Roman;sans-serif"/>
          <w:b/>
          <w:color w:val="000000"/>
          <w:sz w:val="20"/>
        </w:rPr>
        <w:t>11.</w:t>
      </w:r>
      <w:r>
        <w:rPr>
          <w:rFonts w:ascii="Times New Roman;sans-serif" w:hAnsi="Times New Roman;sans-serif"/>
          <w:b/>
          <w:color w:val="000000"/>
          <w:sz w:val="20"/>
          <w:u w:val="single"/>
        </w:rPr>
        <w:t>Term and Termination</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11.1</w:t>
      </w:r>
      <w:r>
        <w:rPr>
          <w:rFonts w:ascii="Times New Roman;sans-serif" w:hAnsi="Times New Roman;sans-serif"/>
          <w:b/>
          <w:color w:val="000000"/>
          <w:sz w:val="20"/>
        </w:rPr>
        <w:t>Term</w:t>
      </w:r>
      <w:r>
        <w:rPr>
          <w:rFonts w:ascii="Times New Roman;sans-serif" w:hAnsi="Times New Roman;sans-serif"/>
          <w:b w:val="false"/>
          <w:color w:val="000000"/>
          <w:sz w:val="20"/>
        </w:rPr>
        <w:t>. The term of this Agreement begins on the Effective Date and will remain in effect for an initial term ending on June 8, 2028 (“</w:t>
      </w:r>
      <w:r>
        <w:rPr>
          <w:rFonts w:ascii="Times New Roman;sans-serif" w:hAnsi="Times New Roman;sans-serif"/>
          <w:b/>
          <w:color w:val="000000"/>
          <w:sz w:val="20"/>
        </w:rPr>
        <w:t>Initial Term</w:t>
      </w:r>
      <w:r>
        <w:rPr>
          <w:color w:val="000000"/>
        </w:rPr>
        <w:t>”</w:t>
      </w:r>
      <w:r>
        <w:rPr>
          <w:rFonts w:ascii="Times New Roman;sans-serif" w:hAnsi="Times New Roman;sans-serif"/>
          <w:b w:val="false"/>
          <w:color w:val="000000"/>
          <w:sz w:val="20"/>
        </w:rPr>
        <w:t>), unless otherwise terminated as permitted herein; provided that if the Parties enter into a Territory Program Agreement on or after June 8, 2027, the Parties will negotiate an extension of the Initial Term. After the Initial Term, this Agreement shall automatically renew for successive 1-year periods (each, a “</w:t>
      </w:r>
      <w:r>
        <w:rPr>
          <w:rFonts w:ascii="Times New Roman;sans-serif" w:hAnsi="Times New Roman;sans-serif"/>
          <w:b/>
          <w:color w:val="000000"/>
          <w:sz w:val="20"/>
        </w:rPr>
        <w:t>Renewal Term</w:t>
      </w:r>
      <w:r>
        <w:rPr>
          <w:color w:val="000000"/>
        </w:rPr>
        <w:t>”</w:t>
      </w:r>
      <w:r>
        <w:rPr>
          <w:rFonts w:ascii="Times New Roman;sans-serif" w:hAnsi="Times New Roman;sans-serif"/>
          <w:b w:val="false"/>
          <w:color w:val="000000"/>
          <w:sz w:val="20"/>
        </w:rPr>
        <w:t>) unless a Party provides the other Party with written notice of its election to terminate this Agreement at least 180 days prior to the expiration of the Initial Term or the then-current Renewal Term as applicable. The Initial Term together with all Renewal Terms and any wind-down or transition period shall be collectively referred to herein as the “</w:t>
      </w:r>
      <w:r>
        <w:rPr>
          <w:rFonts w:ascii="Times New Roman;sans-serif" w:hAnsi="Times New Roman;sans-serif"/>
          <w:b/>
          <w:color w:val="000000"/>
          <w:sz w:val="20"/>
        </w:rPr>
        <w:t>Term</w:t>
      </w:r>
      <w:r>
        <w:rPr>
          <w:rFonts w:ascii="Times New Roman;sans-serif" w:hAnsi="Times New Roman;sans-serif"/>
          <w:b w:val="false"/>
          <w:color w:val="000000"/>
          <w:sz w:val="20"/>
        </w:rPr>
        <w:t>.” Any Program Outline(s) still in effect will terminate on the date that termination of the Agreement takes effect, subject in each case to Affirm’s obligations in Section 11.6 (Orderly Transition).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11.2</w:t>
      </w:r>
      <w:r>
        <w:rPr>
          <w:rFonts w:ascii="Times New Roman;sans-serif" w:hAnsi="Times New Roman;sans-serif"/>
          <w:b/>
          <w:color w:val="000000"/>
          <w:sz w:val="20"/>
        </w:rPr>
        <w:t>Termination for Cause; Notification of Significant Events</w:t>
      </w:r>
      <w:r>
        <w:rPr>
          <w:rFonts w:ascii="Times New Roman;sans-serif" w:hAnsi="Times New Roman;sans-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11.2.1.</w:t>
      </w:r>
      <w:r>
        <w:rPr>
          <w:rFonts w:ascii="Times New Roman;sans-serif" w:hAnsi="Times New Roman;sans-serif"/>
          <w:b w:val="false"/>
          <w:color w:val="000000"/>
          <w:sz w:val="20"/>
        </w:rPr>
        <w:t>In addition to any other termination rights set forth in the Agreement (including those set out in Sections 6.3 and Section 26 (Force Majeure)) or any applicable Program Outline, either Party (“</w:t>
      </w:r>
      <w:r>
        <w:rPr>
          <w:rFonts w:ascii="Times New Roman;sans-serif" w:hAnsi="Times New Roman;sans-serif"/>
          <w:b/>
          <w:color w:val="000000"/>
          <w:sz w:val="20"/>
        </w:rPr>
        <w:t>Terminating Party</w:t>
      </w:r>
      <w:r>
        <w:rPr>
          <w:color w:val="000000"/>
        </w:rPr>
        <w:t>”</w:t>
      </w:r>
      <w:r>
        <w:rPr>
          <w:rFonts w:ascii="Times New Roman;sans-serif" w:hAnsi="Times New Roman;sans-serif"/>
          <w:b w:val="false"/>
          <w:color w:val="000000"/>
          <w:sz w:val="20"/>
        </w:rPr>
        <w:t>) may terminate this Agreement or any Program Outline immediately upon notice to the other Party (“</w:t>
      </w:r>
      <w:r>
        <w:rPr>
          <w:rFonts w:ascii="Times New Roman;sans-serif" w:hAnsi="Times New Roman;sans-serif"/>
          <w:b/>
          <w:color w:val="000000"/>
          <w:sz w:val="20"/>
        </w:rPr>
        <w:t>Non-Terminating Party</w:t>
      </w:r>
      <w:r>
        <w:rPr>
          <w:color w:val="000000"/>
        </w:rPr>
        <w:t>”</w:t>
      </w:r>
      <w:r>
        <w:rPr>
          <w:rFonts w:ascii="Times New Roman;sans-serif" w:hAnsi="Times New Roman;sans-serif"/>
          <w:b w:val="false"/>
          <w:color w:val="000000"/>
          <w:sz w:val="20"/>
        </w:rPr>
        <w:t>) (subject to the cure periods and notices noted below, if any) if:</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11.2.1.1.</w:t>
      </w:r>
      <w:r>
        <w:rPr>
          <w:rFonts w:ascii="Times New Roman;sans-serif" w:hAnsi="Times New Roman;sans-serif"/>
          <w:b w:val="false"/>
          <w:color w:val="000000"/>
          <w:sz w:val="20"/>
        </w:rPr>
        <w:t>Non-Terminating Party breaches any material provision relating to its security or confidentiality obligations of this Agreement;</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11.2.1.2.</w:t>
      </w:r>
      <w:r>
        <w:rPr>
          <w:rFonts w:ascii="Times New Roman;sans-serif" w:hAnsi="Times New Roman;sans-serif"/>
          <w:b w:val="false"/>
          <w:color w:val="000000"/>
          <w:sz w:val="20"/>
        </w:rPr>
        <w:t xml:space="preserve">Non-Terminating Party materially breaches any provision of this Agreement and the breach is capable of cure but Non-Terminating Party fails to cure such breach within [***] days following written notice to Non-Terminating Party from Terminating Party specifying in reasonable detail the nature of the claimed breach;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11.2.1.3.</w:t>
      </w:r>
      <w:r>
        <w:rPr>
          <w:rFonts w:ascii="Times New Roman;sans-serif" w:hAnsi="Times New Roman;sans-serif"/>
          <w:b w:val="false"/>
          <w:color w:val="000000"/>
          <w:sz w:val="20"/>
        </w:rPr>
        <w:t xml:space="preserve">Non-Terminating Party materially breaches the Agreement in a manner that cannot be remedied;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11.2.1.4.</w:t>
      </w:r>
      <w:r>
        <w:rPr>
          <w:rFonts w:ascii="Times New Roman;sans-serif" w:hAnsi="Times New Roman;sans-serif"/>
          <w:b w:val="false"/>
          <w:color w:val="000000"/>
          <w:sz w:val="20"/>
        </w:rPr>
        <w:t>Shopify has the right to terminate the Agreement if, (i) there is a change of control in which [***] or their affiliates acquire a majority interest of the voting power or voting capital or other equity interest of Affirm sufficient to exercise control over Affirm that occurs without the prior, express written consent of Shopify; or (ii) Max Levchin is no longer an executive officer of Affirm or the chairman of the Board of Directors of Affirm for more than 90 days (collectively, a “</w:t>
      </w:r>
      <w:r>
        <w:rPr>
          <w:rFonts w:ascii="Times New Roman;sans-serif" w:hAnsi="Times New Roman;sans-serif"/>
          <w:b/>
          <w:color w:val="000000"/>
          <w:sz w:val="20"/>
        </w:rPr>
        <w:t>Change of Control</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11.2.1.5.</w:t>
      </w:r>
      <w:r>
        <w:rPr>
          <w:rFonts w:ascii="Times New Roman;sans-serif" w:hAnsi="Times New Roman;sans-serif"/>
          <w:b w:val="false"/>
          <w:color w:val="000000"/>
          <w:sz w:val="20"/>
        </w:rPr>
        <w:t>Non-Terminating Party generally fails to pay its debts as they become due, admits in writing its inability to pay its debts generally, makes a general assignment for the benefit of creditors or any proceedings or filing of any petition seeking relief under any federal, provincial, national, territorial, state or foreign bankruptcy, insolvency, liquidation or similar law is instituted by or against Non-Terminating Party or Non-Terminating Party takes any corporate action to authorize any of the actions set forth in this subsection; provided that this termination right shall only apply to an involuntary petition or proceeding under any other federal, provincial, state or foreign bankruptcy, insolvency, liquidation or similar law if such involuntary petition or proceeding is not dismissed within [***] days;</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11.2.1.6.</w:t>
      </w:r>
      <w:r>
        <w:rPr>
          <w:rFonts w:ascii="Times New Roman;sans-serif" w:hAnsi="Times New Roman;sans-serif"/>
          <w:b w:val="false"/>
          <w:color w:val="000000"/>
          <w:sz w:val="20"/>
        </w:rPr>
        <w:t>A court of competent jurisdiction (or other administrative body or Regulatory Authority empowered to issue such orders) issues a final order or judgment holding that this Agreement or the services and deliverables offered hereunder are in violation of or are prohibited by Applicable Law;</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11.2.1.7.</w:t>
      </w:r>
      <w:r>
        <w:rPr>
          <w:rFonts w:ascii="Times New Roman;sans-serif" w:hAnsi="Times New Roman;sans-serif"/>
          <w:b w:val="false"/>
          <w:color w:val="000000"/>
          <w:sz w:val="20"/>
        </w:rPr>
        <w:t>There is any obligation placed on Terminating Party by a Regulatory Authority or any other third party after the Effective Date that the Terminating Party determines, in its sole and reasonable discretion, would materially diminish the economic value of the Program or this Agreement to the Terminating Party, make performance infeasible, or otherwise have a material and adverse effect on the Terminating Party;</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11.2.1.8.</w:t>
      </w:r>
      <w:r>
        <w:rPr>
          <w:rFonts w:ascii="Times New Roman;sans-serif" w:hAnsi="Times New Roman;sans-serif"/>
          <w:b w:val="false"/>
          <w:color w:val="000000"/>
          <w:sz w:val="20"/>
        </w:rPr>
        <w:t>With immediate effect, if so required by a Regulatory Authority or Applicable Law, or Non-Terminating Party is issued a warning or any other form of reprimand by a Regulatory Authority, and if the Regulatory Authority permits a cure, Non-Terminating Party then fails to remedy or cure such situation within [***] days or the cure period designated by Applicable Law or Regulatory Authority, whichever is earlier, following written notice to Non-Terminating Party specifying in reasonable detail the nature of the cause. In the event the non-Terminating Party does not comply with such requirement, the non-Terminating Party shall be responsible for all Losses to the Terminating Party arising from or related to such non-compliance; or</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11.2.1.9.</w:t>
      </w:r>
      <w:r>
        <w:rPr>
          <w:rFonts w:ascii="Times New Roman;sans-serif" w:hAnsi="Times New Roman;sans-serif"/>
          <w:b w:val="false"/>
          <w:color w:val="000000"/>
          <w:sz w:val="20"/>
        </w:rPr>
        <w:t>Upon [***] days’ prior written notice to the Non-Terminating Party if the Financial Product is not made available to all merchants on the Shopify Platform in the United States as mutually determined by the Parties within [***] after the Program Effective Date, and such failure was caused by the action or inaction of the Non-Terminating Party.</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11.3</w:t>
      </w:r>
      <w:r>
        <w:rPr>
          <w:rFonts w:ascii="Times New Roman;sans-serif" w:hAnsi="Times New Roman;sans-serif"/>
          <w:b/>
          <w:color w:val="000000"/>
          <w:sz w:val="20"/>
        </w:rPr>
        <w:t>Termination for Convenience</w:t>
      </w:r>
      <w:r>
        <w:rPr>
          <w:rFonts w:ascii="Times New Roman;sans-serif" w:hAnsi="Times New Roman;sans-serif"/>
          <w:b w:val="false"/>
          <w:color w:val="000000"/>
          <w:sz w:val="20"/>
        </w:rPr>
        <w:t>. Either Party may immediately terminate this Agreement after the first year of the Initial Term for convenience by providing [***] prior written notice to the other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11.4</w:t>
      </w:r>
      <w:r>
        <w:rPr>
          <w:rFonts w:ascii="Times New Roman;sans-serif" w:hAnsi="Times New Roman;sans-serif"/>
          <w:b/>
          <w:color w:val="000000"/>
          <w:sz w:val="20"/>
        </w:rPr>
        <w:t>Shopify Notification of Significant Events</w:t>
      </w:r>
      <w:r>
        <w:rPr>
          <w:rFonts w:ascii="Times New Roman;sans-serif" w:hAnsi="Times New Roman;sans-serif"/>
          <w:b w:val="false"/>
          <w:color w:val="000000"/>
          <w:sz w:val="20"/>
        </w:rPr>
        <w:t>. Shopify shall notify Affirm in writing [***] of any material adverse catastrophic events that adversely affect Shopify’s performance of its obligations under this Agreement or of regulatory enforcement actions or investigations that will or reasonably could adversely affect its performance of its obligations under this Agreement. Unless prohibited by law, Shopify shall also notify Affirm [***] of any communications from a Regulatory Authority, other bona fide third party with regulatory or other legitimate authority over Shopify, or nationally-recognized industry groups (such as the Better Business Bureau)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11.5</w:t>
      </w:r>
      <w:r>
        <w:rPr>
          <w:rFonts w:ascii="Times New Roman;sans-serif" w:hAnsi="Times New Roman;sans-serif"/>
          <w:b/>
          <w:color w:val="000000"/>
          <w:sz w:val="20"/>
        </w:rPr>
        <w:t xml:space="preserve">Affirm Notification of Significant Events. </w:t>
      </w:r>
      <w:r>
        <w:rPr>
          <w:rFonts w:ascii="Times New Roman;sans-serif" w:hAnsi="Times New Roman;sans-serif"/>
          <w:b w:val="false"/>
          <w:color w:val="000000"/>
          <w:sz w:val="20"/>
        </w:rPr>
        <w:t>Affirm shall notify Shopify in writing: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11.5.1.</w:t>
      </w:r>
      <w:r>
        <w:rPr>
          <w:rFonts w:ascii="Times New Roman;sans-serif" w:hAnsi="Times New Roman;sans-serif"/>
          <w:b w:val="false"/>
          <w:color w:val="000000"/>
          <w:sz w:val="20"/>
        </w:rPr>
        <w:t>as soon as possible and with, at a minimum, at least [***] notice before making significant changes to its services necessary to satisfy its obligations under this Agreement, or implementing new or revised policies, processes and information technology that materially affects services necessary to satisfy its obligations under this Agreement; provided that Affirm shall provide notice as soon as possible in conjunction with making significant changes where [***] days’ notice is not feasible, such as objectively reasonable significant changes necessary to prevent fraud or to ensure data security. In addition, Affirm shall notify Shopify of any management or key Personnel changes or other business activities that could affect materially the services necessary to satisfy its obligations under this Agreement following the implementation of such Personnel change or other business activity;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11.5.2.</w:t>
      </w:r>
      <w:r>
        <w:rPr>
          <w:rFonts w:ascii="Times New Roman;sans-serif" w:hAnsi="Times New Roman;sans-serif"/>
          <w:b w:val="false"/>
          <w:color w:val="000000"/>
          <w:sz w:val="20"/>
        </w:rPr>
        <w:t>as soon as possible (as permitted under Applicable Law or applicable agreements) prior to a Change of Control;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11.5.3.</w:t>
      </w:r>
      <w:r>
        <w:rPr>
          <w:rFonts w:ascii="Times New Roman;sans-serif" w:hAnsi="Times New Roman;sans-serif"/>
          <w:b w:val="false"/>
          <w:color w:val="000000"/>
          <w:sz w:val="20"/>
        </w:rPr>
        <w:t xml:space="preserve">[***] (as permitted under Applicable Law) of any Affirm significant financial distress, material adverse catastrophic events affecting Affirm and significant incidents, including: service or Affirm’s Systems interruptions, material compliance lapses, regulatory enforcement actions or investigations that will or reasonably could adversely affect its performance of its obligations under this Agreement. For avoidance of doubt, Affirm is not required to share any information that Affirm determines may constitute NPI.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11.6</w:t>
      </w:r>
      <w:r>
        <w:rPr>
          <w:rFonts w:ascii="Times New Roman;sans-serif" w:hAnsi="Times New Roman;sans-serif"/>
          <w:b/>
          <w:color w:val="000000"/>
          <w:sz w:val="20"/>
        </w:rPr>
        <w:t>Effect of Termination</w:t>
      </w:r>
      <w:r>
        <w:rPr>
          <w:rFonts w:ascii="Times New Roman;sans-serif" w:hAnsi="Times New Roman;sans-serif"/>
          <w:b w:val="false"/>
          <w:color w:val="000000"/>
          <w:sz w:val="20"/>
        </w:rPr>
        <w:t>. In the event either Party terminates this Agreement for any reason whatsoever, then each Party will destroy, as requested by the Disclosing Party, all Confidential Information of the other Party, except to the extent (i) this Agreement requires or permits the express retention of the Confidential Information; (ii) in accordance with the Receiving Party’s record retention policy; (iii) such Confidential Information is retained in automated backups provided that the Receiving Party does not access such Confidential Information; or (iv) as otherwise required by Applicable Law and in which case, such Confidential Information will remain subject to the confidentiality provisions of this Agreement until such time that such obligations expire and the applicable Party certifies the destruction of such Confidential Information in accordance with this Section 11.5 (Effect of Termination) and Section 13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11.7</w:t>
      </w:r>
      <w:r>
        <w:rPr>
          <w:rFonts w:ascii="Times New Roman;sans-serif" w:hAnsi="Times New Roman;sans-serif"/>
          <w:b/>
          <w:color w:val="000000"/>
          <w:sz w:val="20"/>
        </w:rPr>
        <w:t>Orderly Transition</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11.7.1.</w:t>
      </w:r>
      <w:r>
        <w:rPr>
          <w:rFonts w:ascii="Times New Roman;sans-serif" w:hAnsi="Times New Roman;sans-serif"/>
          <w:b w:val="false"/>
          <w:color w:val="000000"/>
          <w:sz w:val="20"/>
        </w:rPr>
        <w:t xml:space="preserve">In the event of the termination or expiration of the Program or the termination of this Agreement, for any reason, the Parties will cooperate to transition or wind down such Program in accordance with Applicable Law pursuant to this Section 11.6 (Orderly Transition). Each Party acknowledges that the goals of any transition or wind-down are to benefit the Customers by minimizing any possible burdens or confusion and to protect and enhance the names and reputations of the Parties, each of whom have invested their names and reputations in the Program. Unless otherwise required by Applicable Law or any Regulatory Authority, upon the expiration or termination of this Agreement for any reason, the Parties agree to cooperate in good faith to transition or wind down the Program in a commercially reasonable way as soon as reasonably possible but, in any event for at least [***] days, to provide for a smooth and orderly transition or wind-down. Such cooperation will include continued provision of customer service to all outstanding Customers in accordance with the terms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Agreement until the expiration, termination or assignment of the Customer Agreement and shall include Affirm transferring any and all Customer Information, Merchant Information and Program Information in its possession to Shopify unless prevented from doing so under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11.7.2.</w:t>
      </w:r>
      <w:r>
        <w:rPr>
          <w:rFonts w:ascii="Times New Roman;sans-serif" w:hAnsi="Times New Roman;sans-serif"/>
          <w:b/>
          <w:color w:val="000000"/>
          <w:sz w:val="20"/>
        </w:rPr>
        <w:t>Transition</w:t>
      </w:r>
      <w:r>
        <w:rPr>
          <w:rFonts w:ascii="Times New Roman;sans-serif" w:hAnsi="Times New Roman;sans-serif"/>
          <w:b w:val="false"/>
          <w:color w:val="000000"/>
          <w:sz w:val="20"/>
        </w:rPr>
        <w:t>. Shopify shall have the right to cause any terminated or expired Program and all associated Customer accounts, Customer Information, Merchant Information and Program Information to be transferred by or on behalf of Affirm to Shopify at its sole cost. Shopify shall notify Affirm upon any termination or expiration of this Agreement whether it intends to transfer the Program and all associated Customer Information, Merchant Information and Program Information to Shopify, and Affirm shall cause such transfer in accordance with the terms set forth herein. No later than [***] days after exercising its option hereunder, Shopify will provide to Affirm in writing a proposed transition plan detailing a proposed timeline that shall designate a schedule of dates as of which the Program will be transferred. The Parties shall meet promptly thereafter to review such proposed plan and to determine a mutually acceptable transition plan (a “</w:t>
      </w:r>
      <w:r>
        <w:rPr>
          <w:rFonts w:ascii="Times New Roman;sans-serif" w:hAnsi="Times New Roman;sans-serif"/>
          <w:b/>
          <w:color w:val="000000"/>
          <w:sz w:val="20"/>
        </w:rPr>
        <w:t>Transition Plan</w:t>
      </w:r>
      <w:r>
        <w:rPr>
          <w:color w:val="000000"/>
        </w:rPr>
        <w:t>”</w:t>
      </w:r>
      <w:r>
        <w:rPr>
          <w:rFonts w:ascii="Times New Roman;sans-serif" w:hAnsi="Times New Roman;sans-serif"/>
          <w:b w:val="false"/>
          <w:color w:val="000000"/>
          <w:sz w:val="20"/>
        </w:rPr>
        <w:t>), such Transition Plan not to exceed [***] days to complete. The Transition Plan shall include a detailed outline of the Parties’ intentions in connection with the transfer of the Program and Customer accounts, including timeframes for continuation of the Program during the period of transition, and target dates for transition milestones, such as development of the transition procedures for the transfer of the Program and any other information reasonably requested by a Party. In the event that Shopify elects to transition the Program pursuant to a Transition Plan, Affirm shall use commercially reasonable efforts to: (i) take all commercially reasonable actions and execute such other documents as necessary to transfer the Program; and (ii) transfer all Customer Information, Merchant Information and Program Information in its possession to Shopify, subject to Applicable Law and any required third-party (e.g., customer) consents, which Affirm shall in good faith attempt to obtain. For the avoidance of doubt, if Affirm is party to an agreement with a Merchant or Customer for whom the Program Information, Merchant Information or Customer Information relates and such agreement explicitly permits retention of such Program Information, Merchant Information or Customer Information, Affirm may retain a copy of such Program Information, Merchant Information or Customer Information, subject to all of the restrictions on use set forth in this Agreement. Also, for the avoidance of doubt, nothing in this Section 11.7.2 requires Affirm to license or transfer Affirm Pre-Existing IP or Affirm Confidential Information to any successor provider or Shopify. Shopify shall be responsible for all costs associated with its election to transition the Program.</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11.7.3.</w:t>
      </w:r>
      <w:r>
        <w:rPr>
          <w:rFonts w:ascii="Times New Roman;sans-serif" w:hAnsi="Times New Roman;sans-serif"/>
          <w:b/>
          <w:color w:val="000000"/>
          <w:sz w:val="20"/>
        </w:rPr>
        <w:t>Wind down</w:t>
      </w:r>
      <w:r>
        <w:rPr>
          <w:rFonts w:ascii="Times New Roman;sans-serif" w:hAnsi="Times New Roman;sans-serif"/>
          <w:b w:val="false"/>
          <w:color w:val="000000"/>
          <w:sz w:val="20"/>
        </w:rPr>
        <w:t>. In the event that Shopify provides written notice of its intention to wind down the Program or in the event that Shopify does not exercise its option for transition as provided for under Section 11.7.2 (Transition) above, the Parties will cooperate to provide a smooth and orderly wind-down of the Program involved. Such wind-down shall include the following:</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11.7.3.1.</w:t>
      </w:r>
      <w:r>
        <w:rPr>
          <w:rFonts w:ascii="Times New Roman;sans-serif" w:hAnsi="Times New Roman;sans-serif"/>
          <w:b w:val="false"/>
          <w:color w:val="000000"/>
          <w:sz w:val="20"/>
        </w:rPr>
        <w:t>Affirm or Shopify, as applicable, will provide to the other Party in writing a proposed wind-down plan detailing a proposed timeline that shall designate a schedule of dates as of which the Program will be wound down and an allocation of associated cost among the Parties. The Parties shall meet promptly thereafter to review such proposed plan and to determine a mutually acceptable wind-down plan (a “</w:t>
      </w:r>
      <w:r>
        <w:rPr>
          <w:rFonts w:ascii="Times New Roman;sans-serif" w:hAnsi="Times New Roman;sans-serif"/>
          <w:b/>
          <w:color w:val="000000"/>
          <w:sz w:val="20"/>
        </w:rPr>
        <w:t>Wind-Down Plan</w:t>
      </w:r>
      <w:r>
        <w:rPr>
          <w:color w:val="000000"/>
        </w:rPr>
        <w:t>”</w:t>
      </w:r>
      <w:r>
        <w:rPr>
          <w:rFonts w:ascii="Times New Roman;sans-serif" w:hAnsi="Times New Roman;sans-serif"/>
          <w:b w:val="false"/>
          <w:color w:val="000000"/>
          <w:sz w:val="20"/>
        </w:rPr>
        <w:t xml:space="preserve">); provided, however, that if the Parties fail to reach mutual agreement on a wind-down plan within [***] days of either Party’s written notice of its intention to wind down the Program, the Parties shall select as promptly as practicable thereafter an independent third party to establish a wind-down plan that is appropriate for the affected Program and that is, to the extent practicable, in which case such wind-down plan so established by such independent third party shall constitute the “Wind-Down Plan” hereunder as to the Program and shall be deemed to be approved by the Parties, and the Parties shall comply with the terms thereof.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11.7.3.2.</w:t>
      </w:r>
      <w:r>
        <w:rPr>
          <w:rFonts w:ascii="Times New Roman;sans-serif" w:hAnsi="Times New Roman;sans-serif"/>
          <w:b w:val="false"/>
          <w:color w:val="000000"/>
          <w:sz w:val="20"/>
        </w:rPr>
        <w:t xml:space="preserve">Unless otherwise contemplated by the Wind-Down Plan, the Parties shall continue to be bound by and perform and comply with the terms of this Agreement and perform all of their obligations hereunder during the wind-down period (regardless of whether the Term has expired or been terminated) until such time as all Financial Products expire or are canceled pursuant to and consistent with the Customer Agreements or, to the extent permitted by Applicable Law, until such earlier time as mutually agreed upon by the Parties. For the avoidance of doubt, Shopify shall continue to provide Affirm with all information necessary for Affirm to continue to service the Financial Product and Affirm shall retain the ability to service such Financial Product using communication methods determined by Affirm in good faith consultation with Shopify.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11.7.4.</w:t>
      </w:r>
      <w:r>
        <w:rPr>
          <w:rFonts w:ascii="Times New Roman;sans-serif" w:hAnsi="Times New Roman;sans-serif"/>
          <w:b w:val="false"/>
          <w:color w:val="000000"/>
          <w:sz w:val="20"/>
        </w:rPr>
        <w:t>During any wind-down or transition period, Affirm agrees to continue to provide customer service to the affected Customers in accordance with the terms of this Agreement. Also during such period, the Parties shall mutually agree whether to offer the Program to new Customers, such Customers to then be considered “affected Customers” as noted above. Except as required by Applicable Law (including applicable securities laws and the rules promulgated thereunder), in no event will any Party make any public statement or customer communication regarding the termination or wind-down of this Agreement or the Program without the express prior written approval of the other Party, which approval shall not be unreasonably withheld or delayed. Notwithstanding the foregoing, (i) Affirm agrees that Shopify may communicate the termination or expiration of this Agreement with any party with which Shopify has contracted to provide any marketing or other service in support of the Program; and (ii) Shopify agrees that Affirm may communicate the termination or expiration of this Agreement with any party with which Affirm has contracted to provide services in support of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11.8</w:t>
      </w:r>
      <w:r>
        <w:rPr>
          <w:rFonts w:ascii="Times New Roman;sans-serif" w:hAnsi="Times New Roman;sans-serif"/>
          <w:b/>
          <w:color w:val="000000"/>
          <w:sz w:val="20"/>
        </w:rPr>
        <w:t>Survival</w:t>
      </w:r>
      <w:r>
        <w:rPr>
          <w:rFonts w:ascii="Times New Roman;sans-serif" w:hAnsi="Times New Roman;sans-serif"/>
          <w:b w:val="false"/>
          <w:color w:val="000000"/>
          <w:sz w:val="20"/>
        </w:rPr>
        <w:t>. Those provisions of this Agreement that, by their nature, are intended to survive the termination or expiration of this Agreement, will remain in full force and effect following the termination or expiration of this Agreement, which may include (but are not limited to): Definitions (Section 2), Independent Contractors (Section 7.4), Pre-Existing Intellectual Property Rights (Section 8.3), Developed Intellectual Property Rights (Section 8.4), and Reservation of Intellectual Property Rights (Section 8.5), Compensation, Expenses, and Taxes (Section 10), Term and Termination (Section 11), Representations, Warranties and Covenants (Section 12), Confidential Information (Section 13), Customer Information, Merchant Information and Program Information (Section 14), Affirm Data Security (Section 15), Shopify Data Security (Section 16), Indemnification (Section 17), Exclusion of Damages and Limitation of Liability (Section 18), Claims Made Coverage (Section 20.6), Notices (Section 23), Sections 27 to 35 (inclusive), and Entire Agreement (Section 40).</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11.9</w:t>
      </w:r>
      <w:r>
        <w:rPr>
          <w:rFonts w:ascii="Times New Roman;sans-serif" w:hAnsi="Times New Roman;sans-serif"/>
          <w:b/>
          <w:color w:val="000000"/>
          <w:sz w:val="20"/>
        </w:rPr>
        <w:t>Mandated Changes to Services</w:t>
      </w:r>
      <w:r>
        <w:rPr>
          <w:rFonts w:ascii="Times New Roman;sans-serif" w:hAnsi="Times New Roman;sans-serif"/>
          <w:b w:val="false"/>
          <w:color w:val="000000"/>
          <w:sz w:val="20"/>
        </w:rPr>
        <w:t>. If (a) either Party has been advised in writing by objective, outside legal counsel, with both expertise and experience regarding the Program that are the subject of this Agreement, of a change in Applicable Law or any judicial decision of a court having jurisdiction over such Party or any interpretation of a Regulatory Authority that, in the view of such legal counsel, would have a material adverse effect on the Program, the rights or obligations of such Party under this Agreement or the financial condition of such Party; (b) either Party receives a lawful written request of any Regulatory Authority having jurisdiction over such Party, including any letter or directive of any kind from any such Regulatory Authority, that prohibits or materially restricts such Party from carrying out its obligations under this Agreement; (c) either Party has been advised by legal counsel (as described above) in a written legal opinion that there is a material risk that such Party’s or the other Party’s continued performance under this Agreement would violate Applicable Law in any material respect; (d) any Regulatory Authority will have determined and notified either Party that the arrangement between the Parties contemplated by this Agreement constitutes an unsafe or unsound banking practice or is in violation of Applicable Law; or (e) a Regulatory Authority has commenced a formal action against a Party that the other Party, in its reasonable judgment, determines threatens such Party’s ability to perform its obligations under this Agreement in any material respect, then, in each case, the Parties will meet and consider in good faith any modifications, changes or additions to the Program or this Agreement that may be necessary to eliminate such result. Notwithstanding any other provision of this Agreement, if the Parties, after using best efforts, are unable to reach agreement regarding modifications, changes or additions to the Program or this Agreement within [***] after the Parties initially meet, either Party may terminate this Agreement upon [***] prior written notice to the other Party and without payment of a termination fee or other penalty. A Party will be able to suspend performance of its obligations under this Agreement, or require the other Party to suspend its performance of its obligations under this Agreement, if (i) any event described in clauses (b), (c), or (d) of this Section occurs and (ii) such Party reasonably determines that continued performance hereunder may result in a fine, penalty or other sanction being imposed by the applicable Regulatory Authority, or in material civil liability, unless with regards to civil liability, the other Party agrees to indemnify the Party. For the avoidance of doubt, nothing in this Section will obligate a Party to disclose, share or discuss any information to the extent prohibited by Applicable Law or a Regulatory Authority.</w:t>
      </w:r>
    </w:p>
    <w:p>
      <w:pPr>
        <w:pStyle w:val="TextBody"/>
        <w:bidi w:val="0"/>
        <w:spacing w:lineRule="auto" w:line="288" w:before="0" w:after="240"/>
        <w:jc w:val="both"/>
        <w:rPr/>
      </w:pPr>
      <w:r>
        <w:rPr>
          <w:rFonts w:ascii="Times New Roman;sans-serif" w:hAnsi="Times New Roman;sans-serif"/>
          <w:b/>
          <w:color w:val="000000"/>
          <w:sz w:val="20"/>
        </w:rPr>
        <w:t>12.</w:t>
      </w:r>
      <w:r>
        <w:rPr>
          <w:rFonts w:ascii="Times New Roman;sans-serif" w:hAnsi="Times New Roman;sans-serif"/>
          <w:b/>
          <w:color w:val="000000"/>
          <w:sz w:val="20"/>
          <w:u w:val="single"/>
        </w:rPr>
        <w:t>Representations, Warranties and Covenants</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12.1</w:t>
      </w:r>
      <w:r>
        <w:rPr>
          <w:rFonts w:ascii="Times New Roman;sans-serif" w:hAnsi="Times New Roman;sans-serif"/>
          <w:b/>
          <w:color w:val="000000"/>
          <w:sz w:val="20"/>
        </w:rPr>
        <w:t>Affirm Representations, Warranties and Covenants</w:t>
      </w:r>
      <w:r>
        <w:rPr>
          <w:rFonts w:ascii="Times New Roman;sans-serif" w:hAnsi="Times New Roman;sans-serif"/>
          <w:b w:val="false"/>
          <w:color w:val="000000"/>
          <w:sz w:val="20"/>
        </w:rPr>
        <w:t>. Affirm represents, warrants and covenants to Shopify that:</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12.1.1.</w:t>
      </w:r>
      <w:r>
        <w:rPr>
          <w:rFonts w:ascii="Times New Roman;sans-serif" w:hAnsi="Times New Roman;sans-serif"/>
          <w:b w:val="false"/>
          <w:color w:val="000000"/>
          <w:sz w:val="20"/>
        </w:rPr>
        <w:t xml:space="preserve">Entering into and carrying out of the terms and conditions of this Agreement will not violate or constitute a breach of any obligation binding Affirm;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12.1.2.</w:t>
      </w:r>
      <w:r>
        <w:rPr>
          <w:rFonts w:ascii="Times New Roman;sans-serif" w:hAnsi="Times New Roman;sans-serif"/>
          <w:b w:val="false"/>
          <w:color w:val="000000"/>
          <w:sz w:val="20"/>
        </w:rPr>
        <w:t>Affirm is duly organized, validly existing and in good standing under the laws of the country, province or state of jurisdiction of its formation and has full corporate power and authority to carry on its business as currently conducted;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12.1.3.</w:t>
      </w:r>
      <w:r>
        <w:rPr>
          <w:rFonts w:ascii="Times New Roman;sans-serif" w:hAnsi="Times New Roman;sans-serif"/>
          <w:b w:val="false"/>
          <w:color w:val="000000"/>
          <w:sz w:val="20"/>
        </w:rPr>
        <w:t>When executed and delivered by Affirm, this Agreement will constitute the legal, valid and binding obligation of Affirm,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12.1.4.</w:t>
      </w:r>
      <w:r>
        <w:rPr>
          <w:rFonts w:ascii="Times New Roman;sans-serif" w:hAnsi="Times New Roman;sans-serif"/>
          <w:b w:val="false"/>
          <w:color w:val="000000"/>
          <w:sz w:val="20"/>
        </w:rPr>
        <w:t>Affirm has obtained and is in compliance with all licenses, permits, memberships, consents and authorizations required to perform all its obligations under this Agreement and other agreements that must be executed to effect the services provided by Affirm as expressly set forth herein, and which shall be maintained at all times during the term of this Agreement; provided that, in the event a Regulatory Authority requires Affirm to obtain an additional lending, brokering or servicing license, permit or authorization to provide a Financial Product solely because of Shopify’s activities, Affirm shall not be considered to be in violation of this Section 12.1.4;</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12.1.5.</w:t>
      </w:r>
      <w:r>
        <w:rPr>
          <w:rFonts w:ascii="Times New Roman;sans-serif" w:hAnsi="Times New Roman;sans-serif"/>
          <w:b w:val="false"/>
          <w:color w:val="000000"/>
          <w:sz w:val="20"/>
        </w:rPr>
        <w:t>To Affirm’s knowledge, any Intellectual Property Rights it may provide to Shopify do not violate the Intellectual Property Rights of any third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12.1.6.</w:t>
      </w:r>
      <w:r>
        <w:rPr>
          <w:rFonts w:ascii="Times New Roman;sans-serif" w:hAnsi="Times New Roman;sans-serif"/>
          <w:b w:val="false"/>
          <w:color w:val="000000"/>
          <w:sz w:val="20"/>
        </w:rPr>
        <w:t>There is no pending, nor to the knowledge of Affirm,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financial condition or its ability to perform services under or in connection with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12.1.7.</w:t>
      </w:r>
      <w:r>
        <w:rPr>
          <w:rFonts w:ascii="Times New Roman;sans-serif" w:hAnsi="Times New Roman;sans-serif"/>
          <w:b w:val="false"/>
          <w:color w:val="000000"/>
          <w:sz w:val="20"/>
        </w:rPr>
        <w:t>Affirm shall at all times comply with and conduct its activities in connection with this Agreement in accordance with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12.1.8.</w:t>
      </w:r>
      <w:r>
        <w:rPr>
          <w:rFonts w:ascii="Times New Roman;sans-serif" w:hAnsi="Times New Roman;sans-serif"/>
          <w:b w:val="false"/>
          <w:color w:val="000000"/>
          <w:sz w:val="20"/>
        </w:rPr>
        <w:t>The Program shall comply in all material respects with Applicable Law unless Shopify’s acts or omissions prevent Affirm from making the Program, or causes the Program to not, comply with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12.1.9.</w:t>
      </w:r>
      <w:r>
        <w:rPr>
          <w:rFonts w:ascii="Times New Roman;sans-serif" w:hAnsi="Times New Roman;sans-serif"/>
          <w:b w:val="false"/>
          <w:color w:val="000000"/>
          <w:sz w:val="20"/>
        </w:rPr>
        <w:t xml:space="preserve">Affirm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12.1.10.</w:t>
      </w:r>
      <w:r>
        <w:rPr>
          <w:color w:val="000000"/>
        </w:rPr>
        <w:t xml:space="preserve"> </w:t>
      </w:r>
      <w:r>
        <w:rPr>
          <w:rFonts w:ascii="Times New Roman;sans-serif" w:hAnsi="Times New Roman;sans-serif"/>
          <w:b w:val="false"/>
          <w:color w:val="000000"/>
          <w:sz w:val="20"/>
        </w:rPr>
        <w:t>Affirm has established and is maintaining (i) a Security Program which is sufficient to satisfy the requirements of Section 15 (Affirm Data Security) hereof and (ii) disaster recovery, business resumption and contingency plans appropriate for the nature and scope of the activities of and the obligations to be performed by Affirm hereunder that are sufficient to satisfy the requirements of Section 19 (Disaster Recovery and Business Continuity) hereof; that will enable Affirm to continue to comply with such requirements during the Term and any wind-down or transfer period. Affirm has, within [***], tested such Security Program, has determined it is sufficient and will enable Affirm to continue to comply with the requirements herein during the Term and any wind-down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12.1.11.</w:t>
      </w:r>
      <w:r>
        <w:rPr>
          <w:rFonts w:ascii="Times New Roman;sans-serif" w:hAnsi="Times New Roman;sans-serif"/>
          <w:b w:val="false"/>
          <w:color w:val="000000"/>
          <w:sz w:val="20"/>
        </w:rPr>
        <w:t>Affirm has implemented and will maintain an enterprise governance, third-party risk management, and a compliance program that includes legal and regulatory training requirements related to its services contemplated under this Agreement; and</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12.1.12.</w:t>
      </w:r>
      <w:r>
        <w:rPr>
          <w:color w:val="000000"/>
        </w:rPr>
        <w:t xml:space="preserve"> </w:t>
      </w:r>
      <w:r>
        <w:rPr>
          <w:rFonts w:ascii="Times New Roman;sans-serif" w:hAnsi="Times New Roman;sans-serif"/>
          <w:b w:val="false"/>
          <w:color w:val="000000"/>
          <w:sz w:val="20"/>
        </w:rPr>
        <w:t>Affirm’s services and deliverables, including Affirm Materials, will be free from all viruses, worms, Trojan horses, and malicious code.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12.2</w:t>
      </w:r>
      <w:r>
        <w:rPr>
          <w:rFonts w:ascii="Times New Roman;sans-serif" w:hAnsi="Times New Roman;sans-serif"/>
          <w:b/>
          <w:color w:val="000000"/>
          <w:sz w:val="20"/>
        </w:rPr>
        <w:t>Shopify Representations, Warranties and Covenants</w:t>
      </w:r>
      <w:r>
        <w:rPr>
          <w:rFonts w:ascii="Times New Roman;sans-serif" w:hAnsi="Times New Roman;sans-serif"/>
          <w:b w:val="false"/>
          <w:color w:val="000000"/>
          <w:sz w:val="20"/>
        </w:rPr>
        <w:t>. Shopify represents, warrants, and covenants to Affirm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12.2.1.</w:t>
      </w:r>
      <w:r>
        <w:rPr>
          <w:rFonts w:ascii="Times New Roman;sans-serif" w:hAnsi="Times New Roman;sans-serif"/>
          <w:b w:val="false"/>
          <w:color w:val="000000"/>
          <w:sz w:val="20"/>
        </w:rPr>
        <w:t>Entering into and carrying out of the terms and conditions of this Agreement will not violate or constitute a breach of any obligation binding Shopify;</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12.2.2.</w:t>
      </w:r>
      <w:r>
        <w:rPr>
          <w:rFonts w:ascii="Times New Roman;sans-serif" w:hAnsi="Times New Roman;sans-serif"/>
          <w:b w:val="false"/>
          <w:color w:val="000000"/>
          <w:sz w:val="20"/>
        </w:rPr>
        <w:t>Shopify is duly organized, validly existing and in good standing under the laws of the state of jurisdiction of its formation and has full corporate power and authority to carry on its business as currently conducted;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12.2.3.</w:t>
      </w:r>
      <w:r>
        <w:rPr>
          <w:rFonts w:ascii="Times New Roman;sans-serif" w:hAnsi="Times New Roman;sans-serif"/>
          <w:b w:val="false"/>
          <w:color w:val="000000"/>
          <w:sz w:val="20"/>
        </w:rPr>
        <w:t>Shopify has obtained and is in compliance with all licenses, permits, memberships, consents and authorizations required to perform all its obligations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12.2.4.</w:t>
      </w:r>
      <w:r>
        <w:rPr>
          <w:rFonts w:ascii="Times New Roman;sans-serif" w:hAnsi="Times New Roman;sans-serif"/>
          <w:b w:val="false"/>
          <w:color w:val="000000"/>
          <w:sz w:val="20"/>
        </w:rPr>
        <w:t>To Shopify’s knowledge, any Intellectual Property Rights it may provide to Affirm do not violate the Intellectual Property Rights of any third party;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12.2.5.</w:t>
      </w:r>
      <w:r>
        <w:rPr>
          <w:rFonts w:ascii="Times New Roman;sans-serif" w:hAnsi="Times New Roman;sans-serif"/>
          <w:b w:val="false"/>
          <w:color w:val="000000"/>
          <w:sz w:val="20"/>
        </w:rPr>
        <w:t>When executed and delivered by Shopify, this Agreement will constitute the legal, valid and binding obligation of Shopify,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12.2.6.</w:t>
      </w:r>
      <w:r>
        <w:rPr>
          <w:rFonts w:ascii="Times New Roman;sans-serif" w:hAnsi="Times New Roman;sans-serif"/>
          <w:b w:val="false"/>
          <w:color w:val="000000"/>
          <w:sz w:val="20"/>
        </w:rPr>
        <w:t>There is no pending, nor to the knowledge of Shopify,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ability to perform its obligations under or in connection with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12.2.7.</w:t>
      </w:r>
      <w:r>
        <w:rPr>
          <w:rFonts w:ascii="Times New Roman;sans-serif" w:hAnsi="Times New Roman;sans-serif"/>
          <w:b w:val="false"/>
          <w:color w:val="000000"/>
          <w:sz w:val="20"/>
        </w:rPr>
        <w:t>Shopify shall at all times comply with and (by implementing and maintaining appropriate contractual provisions and monitoring practices) will ensure that Payout Provider (in connection with the Payout Consolidation Feature) will comply with, and conduct its activities in connection with this Agreement, in accordance with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12.2.8.</w:t>
      </w:r>
      <w:r>
        <w:rPr>
          <w:rFonts w:ascii="Times New Roman;sans-serif" w:hAnsi="Times New Roman;sans-serif"/>
          <w:b w:val="false"/>
          <w:color w:val="000000"/>
          <w:sz w:val="20"/>
        </w:rPr>
        <w:t xml:space="preserve">Shopify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12.2.9.</w:t>
      </w:r>
      <w:r>
        <w:rPr>
          <w:rFonts w:ascii="Times New Roman;sans-serif" w:hAnsi="Times New Roman;sans-serif"/>
          <w:b w:val="false"/>
          <w:color w:val="000000"/>
          <w:sz w:val="20"/>
        </w:rPr>
        <w:t>Shopify has (i) a Security Program appropriate for the nature and scope of its obligations hereunder (including any transition or wind-down period); (ii) disaster recovery, business resumption and contingency plans appropriate for the nature and scope of its obligations hereunder (including any transition or wind-down period) or as required in a Program outline; and (iii) adequate insurance coverage for the nature and scope of its obligations hereunder (including any transition or wind-down period);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12.2.10.</w:t>
      </w:r>
      <w:r>
        <w:rPr>
          <w:rFonts w:ascii="Times New Roman;sans-serif" w:hAnsi="Times New Roman;sans-serif"/>
          <w:b w:val="false"/>
          <w:color w:val="000000"/>
          <w:sz w:val="20"/>
        </w:rPr>
        <w:t>Shopify’s services and deliverables, including Shopify Materials, to the extent applicable or as required for the Program, will be free from all viruses, worms, Trojan horses, and malicious code.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12.2.11.</w:t>
      </w:r>
      <w:r>
        <w:rPr>
          <w:rFonts w:ascii="Times New Roman;sans-serif" w:hAnsi="Times New Roman;sans-serif"/>
          <w:b w:val="false"/>
          <w:color w:val="000000"/>
          <w:sz w:val="20"/>
        </w:rPr>
        <w:t xml:space="preserve">Shopify shall use good faith efforts to render, provide and distribute Customer communications in accordance with Affirm’s reasonable instructions including but not limited to: (i) the Customer Agreement; (ii) any disclosures required by Applicable Law; (iii) any amendments to the Customer Agreement or disclosures, including amendments; (iv) any amendments to the Customer Agreement or disclosures that are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required by Applicable Law or Regulatory Authority and (v) any other information provided by Affirm that is to be rendered, provided or distributed by Shopify, as agreed upon between the Parties.</w:t>
      </w:r>
    </w:p>
    <w:p>
      <w:pPr>
        <w:pStyle w:val="TextBody"/>
        <w:bidi w:val="0"/>
        <w:spacing w:lineRule="auto" w:line="288" w:before="0" w:after="240"/>
        <w:jc w:val="both"/>
        <w:rPr/>
      </w:pPr>
      <w:r>
        <w:rPr>
          <w:rFonts w:ascii="Times New Roman;sans-serif" w:hAnsi="Times New Roman;sans-serif"/>
          <w:b/>
          <w:color w:val="000000"/>
          <w:sz w:val="20"/>
        </w:rPr>
        <w:t>13.</w:t>
      </w:r>
      <w:r>
        <w:rPr>
          <w:rFonts w:ascii="Times New Roman;sans-serif" w:hAnsi="Times New Roman;sans-serif"/>
          <w:b/>
          <w:color w:val="000000"/>
          <w:sz w:val="20"/>
          <w:u w:val="single"/>
        </w:rPr>
        <w:t>Confidential Information</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13.1</w:t>
      </w:r>
      <w:r>
        <w:rPr>
          <w:rFonts w:ascii="Times New Roman;sans-serif" w:hAnsi="Times New Roman;sans-serif"/>
          <w:b/>
          <w:color w:val="000000"/>
          <w:sz w:val="20"/>
        </w:rPr>
        <w:t>Obligations for Confidential Information</w:t>
      </w:r>
      <w:r>
        <w:rPr>
          <w:rFonts w:ascii="Times New Roman;sans-serif" w:hAnsi="Times New Roman;sans-serif"/>
          <w:b w:val="false"/>
          <w:color w:val="000000"/>
          <w:sz w:val="20"/>
        </w:rPr>
        <w:t>. Each Party shall hold the Confidential Information of the other Party in confidence and the Receiving Party will disclose such information only to its Personnel who reasonably require access to such Confidential Information. Disclosing Party will be liable for all damages arising out of such third parties’ disclosure of Confidential Information. A Receiving Party may use the Confidential Information only as necessary for Receiving Party’s performance under or pursuant to rights granted in this Agreement and for no other purpose. A Receiving Party shall protect or be required to protect, in the case of Receiving Parties that are third parties so authorized to receive Confidential Information pursuant to this Agreement, the Disclosing Party’s Confidential Information using at least the same degree of care it uses to protect its own Confidential Information, but no less than a reasonable degree of care, to prevent the unauthorized use, disclosure or duplication (except as required for backup systems or to carry out the purpose of the Agreement) of such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13.2</w:t>
      </w:r>
      <w:r>
        <w:rPr>
          <w:rFonts w:ascii="Times New Roman;sans-serif" w:hAnsi="Times New Roman;sans-serif"/>
          <w:b/>
          <w:color w:val="000000"/>
          <w:sz w:val="20"/>
        </w:rPr>
        <w:t>Compelled Disclosure</w:t>
      </w:r>
      <w:r>
        <w:rPr>
          <w:rFonts w:ascii="Times New Roman;sans-serif" w:hAnsi="Times New Roman;sans-serif"/>
          <w:b w:val="false"/>
          <w:color w:val="000000"/>
          <w:sz w:val="20"/>
        </w:rPr>
        <w:t>. If a court or governmental agency having proper jurisdiction over the Parties requires a Receiving Party to disclose any Confidential Information, then Receiving Party will promptly provide the Disclosing Party notice of such requirement (to the extent permissible under Applicable Law) to enable the Disclosing Party to seek an appropriate protective order.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13.3</w:t>
      </w:r>
      <w:r>
        <w:rPr>
          <w:rFonts w:ascii="Times New Roman;sans-serif" w:hAnsi="Times New Roman;sans-serif"/>
          <w:b/>
          <w:color w:val="000000"/>
          <w:sz w:val="20"/>
        </w:rPr>
        <w:t>Authorized Disclosure</w:t>
      </w:r>
      <w:r>
        <w:rPr>
          <w:rFonts w:ascii="Times New Roman;sans-serif" w:hAnsi="Times New Roman;sans-serif"/>
          <w:b w:val="false"/>
          <w:color w:val="000000"/>
          <w:sz w:val="20"/>
        </w:rPr>
        <w:t>. A Receiving Party may disclose the Disclosing Party’s Confidential Information with the written authorization of the Disclosing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13.4</w:t>
      </w:r>
      <w:r>
        <w:rPr>
          <w:rFonts w:ascii="Times New Roman;sans-serif" w:hAnsi="Times New Roman;sans-serif"/>
          <w:b/>
          <w:color w:val="000000"/>
          <w:sz w:val="20"/>
        </w:rPr>
        <w:t>Exclusions</w:t>
      </w:r>
      <w:r>
        <w:rPr>
          <w:rFonts w:ascii="Times New Roman;sans-serif" w:hAnsi="Times New Roman;sans-serif"/>
          <w:b w:val="false"/>
          <w:color w:val="000000"/>
          <w:sz w:val="20"/>
        </w:rPr>
        <w:t xml:space="preserve">. Subject to the last sentence of this Section 13.4 (Exclusions), the term “Confidential Information” excludes any portion of such information that a Receiving Party can establish by clear and convincing evidence to have been: (i) publicly known without breach of this Agreement; (ii) known by the Receiving Party prior to its receipt from the Disclosing Party; (iii) received in good faith from a third-party source that to Receiving Party’s reasonable knowledge rightfully disclosed such information without an obligation of confidentiality; or (iv) developed independently by Receiving Party without use or reference to the Disclosing Party’s Confidential Information.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13.5</w:t>
      </w:r>
      <w:r>
        <w:rPr>
          <w:rFonts w:ascii="Times New Roman;sans-serif" w:hAnsi="Times New Roman;sans-serif"/>
          <w:b/>
          <w:color w:val="000000"/>
          <w:sz w:val="20"/>
        </w:rPr>
        <w:t>Filings</w:t>
      </w:r>
      <w:r>
        <w:rPr>
          <w:rFonts w:ascii="Times New Roman;sans-serif" w:hAnsi="Times New Roman;sans-serif"/>
          <w:b w:val="false"/>
          <w:color w:val="000000"/>
          <w:sz w:val="20"/>
        </w:rPr>
        <w:t>. Neither Party shall file the Agreement (including any addendum, schedule, supplement or attachment), or any future amendment or supplement hereto, with the U.S.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or with the securities regulators in any Territory where the Parties launch the Program unless such filing is required under Item 601 of Regulation S-K or Applicable Law. In the event that a Party determines that the Agreement (or amendment or supplement) must be filed with the securities regulators in any Territory where the Parties launch the Program under Applicable Law, it shall take all actions necessary to obtain confidential treatment to the extent possible for the Agreement and all exhibits, addenda, schedules, supplements and attachments (including all pricing attachments).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13.6</w:t>
      </w:r>
      <w:r>
        <w:rPr>
          <w:rFonts w:ascii="Times New Roman;sans-serif" w:hAnsi="Times New Roman;sans-serif"/>
          <w:b/>
          <w:color w:val="000000"/>
          <w:sz w:val="20"/>
        </w:rPr>
        <w:t>Remedies</w:t>
      </w:r>
      <w:r>
        <w:rPr>
          <w:rFonts w:ascii="Times New Roman;sans-serif" w:hAnsi="Times New Roman;sans-serif"/>
          <w:b w:val="false"/>
          <w:color w:val="000000"/>
          <w:sz w:val="20"/>
        </w:rPr>
        <w:t xml:space="preserve">. If Receiving Party or its representatives or agents breach the obligations set forth in this Section 13 (Confidential Information), then irreparable injury may result to the Disclosing Party or third parties entrusting Confidential Information to the Disclosing Party. Therefore, the Disclosing Party’s remedies at law may be inadequate and the Disclosing Party will be entitled to seek an injunction to restrain any continuing breach. Notwithstanding any limitation on Receiving Party’s liability, the Disclosing Party will further be entitled to any other rights and remedies that it may have at law or in equity. </w:t>
      </w:r>
    </w:p>
    <w:p>
      <w:pPr>
        <w:pStyle w:val="TextBody"/>
        <w:bidi w:val="0"/>
        <w:spacing w:lineRule="auto" w:line="288" w:before="0" w:after="240"/>
        <w:jc w:val="both"/>
        <w:rPr/>
      </w:pPr>
      <w:r>
        <w:rPr>
          <w:rFonts w:ascii="Times New Roman;sans-serif" w:hAnsi="Times New Roman;sans-serif"/>
          <w:b/>
          <w:color w:val="000000"/>
          <w:sz w:val="20"/>
        </w:rPr>
        <w:t>14.</w:t>
      </w:r>
      <w:r>
        <w:rPr>
          <w:rFonts w:ascii="Times New Roman;sans-serif" w:hAnsi="Times New Roman;sans-serif"/>
          <w:b/>
          <w:color w:val="000000"/>
          <w:sz w:val="20"/>
          <w:u w:val="single"/>
        </w:rPr>
        <w:t>Customer Information, Merchant Information and Program Information</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14.1</w:t>
      </w:r>
      <w:r>
        <w:rPr>
          <w:rFonts w:ascii="Times New Roman;sans-serif" w:hAnsi="Times New Roman;sans-serif"/>
          <w:b/>
          <w:color w:val="000000"/>
          <w:sz w:val="20"/>
        </w:rPr>
        <w:t>General</w:t>
      </w:r>
      <w:r>
        <w:rPr>
          <w:rFonts w:ascii="Times New Roman;sans-serif" w:hAnsi="Times New Roman;sans-serif"/>
          <w:b w:val="false"/>
          <w:color w:val="000000"/>
          <w:sz w:val="20"/>
        </w:rPr>
        <w:t xml:space="preserve">. The purpose of this Section 14 is to ensure that this Agreement conforms to Applicable Law, and otherwise sets forth the Parties’ agreement with respect to the use, ownership rights, and disclosure of Customer Information, Merchant Information, and Program Information. All use and disclosure of Customer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Merchant Information, and Program Information under this Agreement shall be subject to the provisions of this Section 14.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14.2</w:t>
      </w:r>
      <w:r>
        <w:rPr>
          <w:rFonts w:ascii="Times New Roman;sans-serif" w:hAnsi="Times New Roman;sans-serif"/>
          <w:b/>
          <w:color w:val="000000"/>
          <w:sz w:val="20"/>
        </w:rPr>
        <w:t>Ownership and Use of Customer Information</w:t>
      </w:r>
      <w:r>
        <w:rPr>
          <w:rFonts w:ascii="Times New Roman;sans-serif" w:hAnsi="Times New Roman;sans-serif"/>
          <w:b w:val="false"/>
          <w:color w:val="000000"/>
          <w:sz w:val="20"/>
        </w:rPr>
        <w:t xml:space="preserve">. As between the Parties, the Customer Information shall be [***].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14.3</w:t>
      </w:r>
      <w:r>
        <w:rPr>
          <w:rFonts w:ascii="Times New Roman;sans-serif" w:hAnsi="Times New Roman;sans-serif"/>
          <w:b/>
          <w:color w:val="000000"/>
          <w:sz w:val="20"/>
        </w:rPr>
        <w:t>Ownership and Use of [***]</w:t>
      </w:r>
      <w:r>
        <w:rPr>
          <w:rFonts w:ascii="Times New Roman;sans-serif" w:hAnsi="Times New Roman;sans-serif"/>
          <w:b w:val="false"/>
          <w:color w:val="000000"/>
          <w:sz w:val="20"/>
        </w:rPr>
        <w:t xml:space="preserve">. As between the Parties, all [***] and all [***] shall be [***] unless otherwise expressly stated herein in this Section 14. [***] shall be owned by the respective parties. Subject to Section 14.4 (Exceptions and Additional Obligations), Affirm agrees that, during Term, it shall not use, nor permit any [***] other than as necessary [***]. [***] shall have all rights and interest with respect to the sharing, use and disclosure of [***] during the Term and following the expiration or termination of this Agreement in its entirety. Upon the termination or expiration of this Agreement and any applicable transition or wind-down period, or at any time upon the reasonable request of [***] shall return (or destroy if so directed by [***]) all [***] in its/their possession subject only to any limitations on the return or destruction of [***] as provided under this Agreement or Applicable Law. Any [***] or [***] separately maintained in an electronic format shall be returned to [***] in an industry standard and secure format or, at the option of [***], as is possible, deleted and removed from all computers, electronic databases and other media. Compliance by [***] with this Section shall be certified in writing by an appropriate officer of [***] within [***] of the end of the Term or the wind-down period, whichever is later, which certification shall include a statement that no [***] or [***] has been retained except as described in this Section 14.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14.4</w:t>
      </w:r>
      <w:r>
        <w:rPr>
          <w:rFonts w:ascii="Times New Roman;sans-serif" w:hAnsi="Times New Roman;sans-serif"/>
          <w:b/>
          <w:color w:val="000000"/>
          <w:sz w:val="20"/>
        </w:rPr>
        <w:t>Exceptions and Additional Obligations</w:t>
      </w:r>
      <w:r>
        <w:rPr>
          <w:rFonts w:ascii="Times New Roman;sans-serif" w:hAnsi="Times New Roman;sans-serif"/>
          <w:b w:val="false"/>
          <w:color w:val="000000"/>
          <w:sz w:val="20"/>
        </w:rPr>
        <w:t xml:space="preserve">. Without waiving any of its rights under Sections 11, 13, 14.2 and 14.3, [***] may retain and use: (a) [***]. For the avoidance of doubt, [***] is not required to change its hard-coded underwriting, other models, automated backups, [***] or records that may contain [***] or [***] added/embedded into them, but it has no right to use any such information independently, separate from such models or for any other purposes than [***]. Notwithstanding the limitations and rights set forth in this Section 14, and only as expressly stated herein and as expressly agreed to by the Parties, the Parties commit to support, and will work in good faith to (a) enable growth initiatives designed to enhance the consumer brand and consumer experience of each of Shopify and Affirm, respectively; (b) optimize the Customer’s onboarding and user experience for the Financial Product and, upon the Customer Engagement Effective Date, permit Customers to access the Customer Engagement Functionality in accordance with Section 4.11; and (c) optimize the Customer’s onboarding and user experience for any other installments products the Parties mutually agree to launch consistent with Section 36.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14.5</w:t>
      </w:r>
      <w:r>
        <w:rPr>
          <w:rFonts w:ascii="Times New Roman;sans-serif" w:hAnsi="Times New Roman;sans-serif"/>
          <w:b/>
          <w:color w:val="000000"/>
          <w:sz w:val="20"/>
        </w:rPr>
        <w:t>Confidentiality</w:t>
      </w:r>
      <w:r>
        <w:rPr>
          <w:rFonts w:ascii="Times New Roman;sans-serif" w:hAnsi="Times New Roman;sans-serif"/>
          <w:b w:val="false"/>
          <w:color w:val="000000"/>
          <w:sz w:val="20"/>
        </w:rPr>
        <w:t>. Notwithstanding anything to the contrary in the Agreement, if required by Applicable Law, each Party shall have the right to provide a copy of the Agreement to a requesting governmental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14.6</w:t>
      </w:r>
      <w:r>
        <w:rPr>
          <w:rFonts w:ascii="Times New Roman;sans-serif" w:hAnsi="Times New Roman;sans-serif"/>
          <w:b w:val="false"/>
          <w:color w:val="000000"/>
          <w:sz w:val="20"/>
        </w:rPr>
        <w:t>C</w:t>
      </w:r>
      <w:r>
        <w:rPr>
          <w:rFonts w:ascii="Times New Roman;sans-serif" w:hAnsi="Times New Roman;sans-serif"/>
          <w:b/>
          <w:color w:val="000000"/>
          <w:sz w:val="20"/>
        </w:rPr>
        <w:t>ompelled Disclosure</w:t>
      </w:r>
      <w:r>
        <w:rPr>
          <w:rFonts w:ascii="Times New Roman;sans-serif" w:hAnsi="Times New Roman;sans-serif"/>
          <w:b w:val="false"/>
          <w:color w:val="000000"/>
          <w:sz w:val="20"/>
        </w:rPr>
        <w:t>. If Affirm is required by Applicable Law to disclose [***] to the extent permitted by Applicable Law. Affirm will consult and cooperate with Shopify (to the extent legally permitted) to obtain a protective order from the appropriate governmental authority, or other reliable assurance that confidential treatment will be accorded such information, and will otherwise only disclose that portion of the information that is required to be disclosed by Applicable Law.</w:t>
      </w:r>
    </w:p>
    <w:p>
      <w:pPr>
        <w:pStyle w:val="TextBody"/>
        <w:bidi w:val="0"/>
        <w:spacing w:lineRule="auto" w:line="288" w:before="0" w:after="240"/>
        <w:jc w:val="both"/>
        <w:rPr/>
      </w:pPr>
      <w:r>
        <w:rPr>
          <w:rFonts w:ascii="Times New Roman;sans-serif" w:hAnsi="Times New Roman;sans-serif"/>
          <w:b/>
          <w:color w:val="000000"/>
          <w:sz w:val="20"/>
        </w:rPr>
        <w:t>15.</w:t>
      </w:r>
      <w:r>
        <w:rPr>
          <w:rFonts w:ascii="Times New Roman;sans-serif" w:hAnsi="Times New Roman;sans-serif"/>
          <w:b/>
          <w:color w:val="000000"/>
          <w:sz w:val="20"/>
          <w:u w:val="single"/>
        </w:rPr>
        <w:t>Affirm Data Security</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15.1</w:t>
      </w:r>
      <w:r>
        <w:rPr>
          <w:rFonts w:ascii="Times New Roman;sans-serif" w:hAnsi="Times New Roman;sans-serif"/>
          <w:b/>
          <w:color w:val="000000"/>
          <w:sz w:val="20"/>
        </w:rPr>
        <w:t>Security Plan</w:t>
      </w:r>
      <w:r>
        <w:rPr>
          <w:rFonts w:ascii="Times New Roman;sans-serif" w:hAnsi="Times New Roman;sans-serif"/>
          <w:b w:val="false"/>
          <w:color w:val="000000"/>
          <w:sz w:val="20"/>
        </w:rPr>
        <w:t>. Affirm shall establish and maintain appropriate administrative, technical and physical safeguards designed to (i) protect the security, confidentiality and integrity of the Protected Information in the possession or control of Affirm or its Personnel; (ii) ensure against any anticipated threats or hazards to its security and integrity; (iii) protect against unauthorized access to or use of such Protected Information or associated records which could result in substantial harm or inconvenience to any Customer or applicant; and (iv) ensure the proper disposal of Protected Information (collectively, the “</w:t>
      </w:r>
      <w:r>
        <w:rPr>
          <w:rFonts w:ascii="Times New Roman;sans-serif" w:hAnsi="Times New Roman;sans-serif"/>
          <w:b/>
          <w:color w:val="000000"/>
          <w:sz w:val="20"/>
        </w:rPr>
        <w:t>Security Program</w:t>
      </w:r>
      <w:r>
        <w:rPr>
          <w:color w:val="000000"/>
        </w:rPr>
        <w:t>”</w:t>
      </w:r>
      <w:r>
        <w:rPr>
          <w:rFonts w:ascii="Times New Roman;sans-serif" w:hAnsi="Times New Roman;sans-serif"/>
          <w:b w:val="false"/>
          <w:color w:val="000000"/>
          <w:sz w:val="20"/>
        </w:rPr>
        <w:t xml:space="preserve">). At all times during the Term, and during any wind-down or transition period, (x) Affirm shall use the same degree of care in protecting the Protected Information against unauthorized disclosure as it accords to its other confidential customer or consumer information, but in no event less than a reasonable standard of care, and (y) the Security Program shall be in compliance with all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and data security requirements promulgated by the Applicable Law. Upon request, Affirm shall provide Shopify a copy of its Security Program. Any material change to the Security Program by Affirm, which change would cause Affirm to not be in compliance with this Section 15.1, shall be approved in advance by Shopify.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15.2</w:t>
      </w:r>
      <w:r>
        <w:rPr>
          <w:rFonts w:ascii="Times New Roman;sans-serif" w:hAnsi="Times New Roman;sans-serif"/>
          <w:b/>
          <w:color w:val="000000"/>
          <w:sz w:val="20"/>
        </w:rPr>
        <w:t>Security Measures</w:t>
      </w:r>
      <w:r>
        <w:rPr>
          <w:rFonts w:ascii="Times New Roman;sans-serif" w:hAnsi="Times New Roman;sans-serif"/>
          <w:b w:val="false"/>
          <w:color w:val="000000"/>
          <w:sz w:val="20"/>
        </w:rPr>
        <w:t xml:space="preserve">. Shopify and Affirm may amend the Security Program and Sections 14, 15 and 16 from time to time upon written amendment, provided such updates may be no more onerous than those required by the then prevailing good industry practices and changes in Applicable Law. Affirm shall review any such amendments and updates and will use reasonable commercial efforts to adjust its security practices to comply with any such amendment and updates within [***] if feasible or as soon as practicable in the event [***] is not feasible following Affirm’s receipt of such amendments and updates from Shopify. Notwithstanding the foregoing, if Affirm fails to adjust its security practices to comply with any such amendment or updates within sixty (60) days or the time period mutually agreed upon by the Parties in writing if [***] is not feasible, then Shopify may terminate this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15.3</w:t>
      </w:r>
      <w:r>
        <w:rPr>
          <w:rFonts w:ascii="Times New Roman;sans-serif" w:hAnsi="Times New Roman;sans-serif"/>
          <w:b/>
          <w:color w:val="000000"/>
          <w:sz w:val="20"/>
        </w:rPr>
        <w:t>Access</w:t>
      </w:r>
      <w:r>
        <w:rPr>
          <w:rFonts w:ascii="Times New Roman;sans-serif" w:hAnsi="Times New Roman;sans-serif"/>
          <w:b w:val="false"/>
          <w:color w:val="000000"/>
          <w:sz w:val="20"/>
        </w:rPr>
        <w:t xml:space="preserve">. Affirm shall ensure its Personnel, when working with or accessing Shopify’s Systems, comply at all times with all applicable instructions, policies and procedures provided by Shopify to Affirm or Affirm’s Personnel from time to time, including safety and security policies and procedures and information security policies and procedures. Affirm will execute, and ensure each of its Personnel execute, all applicable documents generally required by Shopify for access to Shopify’s Systems. Affirm will not: (i) alter or disable any hardware or software security programs residing on Shopify’s hardware, networks, computing environments or systems; (ii) allow unauthorized traffic to pass into Shopify’s networks, computing environments or systems; or (iii) resell or assign Shopify’s Confidential Information or access to Shopify’s Systems to another entity or person. If Affirm or Affirm’s Personnel allow unauthorized access to, or traffic to (as applicable) Shopify’s systems, Shopify may immediately terminate Affirm’s access to Shopify’s Systems.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15.4</w:t>
      </w:r>
      <w:r>
        <w:rPr>
          <w:rFonts w:ascii="Times New Roman;sans-serif" w:hAnsi="Times New Roman;sans-serif"/>
          <w:b/>
          <w:color w:val="000000"/>
          <w:sz w:val="20"/>
        </w:rPr>
        <w:t>Network Connections</w:t>
      </w:r>
      <w:r>
        <w:rPr>
          <w:rFonts w:ascii="Times New Roman;sans-serif" w:hAnsi="Times New Roman;sans-serif"/>
          <w:b w:val="false"/>
          <w:color w:val="000000"/>
          <w:sz w:val="20"/>
        </w:rPr>
        <w:t xml:space="preserve">. If a network connection is established between Shopify Systems and the computing environment(s) used by Affirm or Affirm Personnel in connection with this Agreement or the Program, Affirm agrees, for itself and all Affirm Personnel, to maintain an alert status regarding the security of such computing environments, including all vulnerabilities and security patches or corrective actions, by subscribing to an industry recognized service. Affirm understands that, should a Shopify review reveal any non-compliance with the Security Measures, Shopify may, in addition to other remedies it may have, remove access by Affirm Personnel to Shopify Systems until Affirm Personnel satisfactorily comply with the Security Measures.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15.5</w:t>
      </w:r>
      <w:r>
        <w:rPr>
          <w:rFonts w:ascii="Times New Roman;sans-serif" w:hAnsi="Times New Roman;sans-serif"/>
          <w:b/>
          <w:color w:val="000000"/>
          <w:sz w:val="20"/>
        </w:rPr>
        <w:t>Data Security Compliance</w:t>
      </w:r>
      <w:r>
        <w:rPr>
          <w:rFonts w:ascii="Times New Roman;sans-serif" w:hAnsi="Times New Roman;sans-serif"/>
          <w:b w:val="false"/>
          <w:color w:val="000000"/>
          <w:sz w:val="20"/>
        </w:rPr>
        <w:t xml:space="preserve">. Affirm will permit Shopify to review Affirm’s documents and records confirming its compliance with this Section 15 (Affirm Data Security) and provide Shopify with the relevant portions of audits and system test results acquired by Affirm in relation to the data security policies and procedures designed to meet the requirements of this Section 15 (Affirm Data Security). Upon request, Affirm shall submit to [***] assessments of Affirm’s security policies, standards and practices by Shopify, make reasonable efforts to resolve deficiencies noted as a result of these assessments in a manner commensurate to the risk those deficiencies represent and promptly notify Shopify of any material changes to Affirm’s security policies, standards and practices.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15.6</w:t>
      </w:r>
      <w:r>
        <w:rPr>
          <w:rFonts w:ascii="Times New Roman;sans-serif" w:hAnsi="Times New Roman;sans-serif"/>
          <w:b/>
          <w:color w:val="000000"/>
          <w:sz w:val="20"/>
        </w:rPr>
        <w:t>Security Breach</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15.6.1.</w:t>
      </w:r>
      <w:r>
        <w:rPr>
          <w:rFonts w:ascii="Times New Roman;sans-serif" w:hAnsi="Times New Roman;sans-serif"/>
          <w:b w:val="false"/>
          <w:color w:val="000000"/>
          <w:sz w:val="20"/>
        </w:rPr>
        <w:t>If Affirm maintains, processes or otherwise is permitted access to Protected Information, Affirm will maintain and, upon request, produce copies of incident response policies and procedures and evidence of incident response testing conducted within the last year. Notwithstanding the foregoing, initial evidence of incident response testing will be provided as soon as possible after the execution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15.6.2.</w:t>
      </w:r>
      <w:r>
        <w:rPr>
          <w:rFonts w:ascii="Times New Roman;sans-serif" w:hAnsi="Times New Roman;sans-serif"/>
          <w:b w:val="false"/>
          <w:color w:val="000000"/>
          <w:sz w:val="20"/>
        </w:rPr>
        <w:t xml:space="preserve">In the event Affirm suffers or learns of any actual Security Breach (including any unauthorized acquisition, accessing, use, alteration, disclosure, compromise or loss of any Protected Information or Merchant Information), then, as soon as practicable but within no more than [***] (except that notice to Shopify may be delayed if required by law enforcement or other Regulatory Authority), Affirm will notify its primary Shopify contact and provide an estimate of the Security Breach’s effect on Shopify. Affirm will diligently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investigate the cause of the Security Breach and promptly create and enact a corrective action plan to prevent future breaches.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15.6.3.</w:t>
      </w:r>
      <w:r>
        <w:rPr>
          <w:rFonts w:ascii="Times New Roman;sans-serif" w:hAnsi="Times New Roman;sans-serif"/>
          <w:b w:val="false"/>
          <w:color w:val="000000"/>
          <w:sz w:val="20"/>
        </w:rPr>
        <w:t>In the case of a Security Breach involving Protected Information, Affirm will cooperate fully with Shopify to correct any Security Breach and notify each Customer as to the facts and circumstances of the breach of the Customer’s particular information. Affirm agrees not to notify any Regulatory Authority, nor any Customer, on behalf of Shopify unless Shopify specifically requests Affirm to provide such notification (such notification to be in a form approved by Shopify in writing). If Affirm reasonably determines that Regulatory Authority or Customer notification is required by it under Applicable Law, then Affirm must provide Shopify prior notice, and if Shopify disagrees, Shopify and Affirm will then negotiate in good faith to make a final determination regarding what action, if any, is to be taken. To the extent requested by Shopify, Affirm will cooperate fully with all Regulatory Authorities investigating a Security Breach and any known or suspected criminal activity. Affirm shall be responsible for all Security Breach Costs associated with its Security Breach.</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15.6.4.</w:t>
      </w:r>
      <w:r>
        <w:rPr>
          <w:rFonts w:ascii="Times New Roman;sans-serif" w:hAnsi="Times New Roman;sans-serif"/>
          <w:b w:val="false"/>
          <w:color w:val="000000"/>
          <w:sz w:val="20"/>
        </w:rPr>
        <w:t xml:space="preserve">In the event of a Security Complaint directed at Affirm, then, as soon as practicable but within no more than [***], Affirm will notify its primary Shopify contact and the Parties shall promptly work in good faith to determine the appropriate actions to be taken in connection with such Security Complaint.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15.7</w:t>
      </w:r>
      <w:r>
        <w:rPr>
          <w:rFonts w:ascii="Times New Roman;sans-serif" w:hAnsi="Times New Roman;sans-serif"/>
          <w:b/>
          <w:color w:val="000000"/>
          <w:sz w:val="20"/>
        </w:rPr>
        <w:t>Subprocessing</w:t>
      </w:r>
      <w:r>
        <w:rPr>
          <w:rFonts w:ascii="Times New Roman;sans-serif" w:hAnsi="Times New Roman;sans-serif"/>
          <w:b w:val="false"/>
          <w:color w:val="000000"/>
          <w:sz w:val="20"/>
        </w:rPr>
        <w:t xml:space="preserve">. Affirm may only permit Subprocessors to Process Personal Information for the limited and specific purposes of providing Shopify with the Services or as required to comply with Applicable Law. Affirm shall be responsible and liable for the acts, omissions or defaults of Subprocessors in the performance of Affirm’s obligations under the Agreement, as if they were Affirm’s own acts, omissions or defaults. Affirm will notify Shopify in writing promptly upon becoming aware of any breach by a Subprocessor of the terms of this Agreement. </w:t>
      </w:r>
    </w:p>
    <w:p>
      <w:pPr>
        <w:pStyle w:val="TextBody"/>
        <w:bidi w:val="0"/>
        <w:spacing w:lineRule="auto" w:line="288" w:before="0" w:after="240"/>
        <w:jc w:val="both"/>
        <w:rPr/>
      </w:pPr>
      <w:r>
        <w:rPr>
          <w:rFonts w:ascii="Times New Roman;sans-serif" w:hAnsi="Times New Roman;sans-serif"/>
          <w:b/>
          <w:color w:val="000000"/>
          <w:sz w:val="20"/>
        </w:rPr>
        <w:t>16.</w:t>
      </w:r>
      <w:r>
        <w:rPr>
          <w:rFonts w:ascii="Times New Roman;sans-serif" w:hAnsi="Times New Roman;sans-serif"/>
          <w:b/>
          <w:color w:val="000000"/>
          <w:sz w:val="20"/>
          <w:u w:val="single"/>
        </w:rPr>
        <w:t>Shopify Data Security</w:t>
      </w:r>
      <w:r>
        <w:rPr>
          <w:rFonts w:ascii="Times New Roman;sans-serif" w:hAnsi="Times New Roman;sans-serif"/>
          <w:b/>
          <w:color w:val="000000"/>
          <w:sz w:val="20"/>
        </w:rPr>
        <w:t xml:space="preserve">. </w:t>
      </w:r>
      <w:r>
        <w:rPr>
          <w:rFonts w:ascii="Times New Roman;sans-serif" w:hAnsi="Times New Roman;sans-serif"/>
          <w:b w:val="false"/>
          <w:color w:val="000000"/>
          <w:sz w:val="20"/>
        </w:rPr>
        <w:t>Section 15 (Affirm Data Security) will apply equally to Shopify, mutatis mutandis.</w:t>
      </w:r>
    </w:p>
    <w:p>
      <w:pPr>
        <w:pStyle w:val="TextBody"/>
        <w:bidi w:val="0"/>
        <w:spacing w:lineRule="auto" w:line="288" w:before="0" w:after="240"/>
        <w:jc w:val="both"/>
        <w:rPr/>
      </w:pPr>
      <w:r>
        <w:rPr>
          <w:rFonts w:ascii="Times New Roman;sans-serif" w:hAnsi="Times New Roman;sans-serif"/>
          <w:b/>
          <w:color w:val="000000"/>
          <w:sz w:val="20"/>
        </w:rPr>
        <w:t>17.</w:t>
      </w:r>
      <w:r>
        <w:rPr>
          <w:rFonts w:ascii="Times New Roman;sans-serif" w:hAnsi="Times New Roman;sans-serif"/>
          <w:b/>
          <w:color w:val="000000"/>
          <w:sz w:val="20"/>
          <w:u w:val="single"/>
        </w:rPr>
        <w:t>Indemnification</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17.1</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17.2</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17.3</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17.4</w:t>
      </w:r>
      <w:r>
        <w:rPr>
          <w:rFonts w:ascii="Times New Roman;sans-serif" w:hAnsi="Times New Roman;sans-serif"/>
          <w:b/>
          <w:color w:val="000000"/>
          <w:sz w:val="20"/>
        </w:rPr>
        <w:t>[***]</w:t>
      </w:r>
    </w:p>
    <w:p>
      <w:pPr>
        <w:pStyle w:val="TextBody"/>
        <w:bidi w:val="0"/>
        <w:spacing w:lineRule="auto" w:line="288" w:before="0" w:after="240"/>
        <w:jc w:val="both"/>
        <w:rPr/>
      </w:pPr>
      <w:r>
        <w:rPr>
          <w:rFonts w:ascii="Times New Roman;sans-serif" w:hAnsi="Times New Roman;sans-serif"/>
          <w:b/>
          <w:color w:val="000000"/>
          <w:sz w:val="20"/>
        </w:rPr>
        <w:t>18.</w:t>
      </w:r>
      <w:r>
        <w:rPr>
          <w:rFonts w:ascii="Times New Roman;sans-serif" w:hAnsi="Times New Roman;sans-serif"/>
          <w:b/>
          <w:color w:val="000000"/>
          <w:sz w:val="20"/>
          <w:u w:val="single"/>
        </w:rPr>
        <w:t>Exclusion of Damages and Limitation of Liability</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18.1</w:t>
      </w:r>
      <w:r>
        <w:rPr>
          <w:rFonts w:ascii="Times New Roman;sans-serif" w:hAnsi="Times New Roman;sans-serif"/>
          <w:b w:val="false"/>
          <w:color w:val="000000"/>
          <w:sz w:val="20"/>
        </w:rPr>
        <w:t>EXCEPT FOR A PARTY’S CONFIDENTIALITY OBLIGATION HEREUNDER OR OBLIGATION TO MAKE PAYMENT TO THE OTHER PARTY, IN NO EVENT SHALL EITHER PARTY BE LIABLE TO THE OTHER PARTY UNDER, IN CONNECTION WITH OR RELATED TO THIS AGREEMENT, FOR ANY INDIRECT, CONSEQUENTIAL, SPECIAL, INCIDENTAL OR PUNITIVE DAMAGES, INCLUDING LOST PROFITS OR LOSS OF GOODWILL, WHETHER BASED ON BREACH OF CONTRACT, WARRANTY, TORT, PRODUCT LIABILITY OR OTHERWISE, AND WHETHER OR NOT SUCH DAMAGES WERE FORESEEABLE.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18.2</w:t>
      </w:r>
      <w:r>
        <w:rPr>
          <w:rFonts w:ascii="Times New Roman;sans-serif" w:hAnsi="Times New Roman;sans-serif"/>
          <w:b w:val="false"/>
          <w:color w:val="000000"/>
          <w:sz w:val="20"/>
        </w:rPr>
        <w:t>The cumulative aggregate liability of (i) all Affirm Parties and their affiliates and (ii) all Shopify Parties and their affiliates across all Territories and including all Territory Program Agreements for all losses, claims, suits, controversies, breaches or damages of any manner whatsoever and for any cause whatsoever, including indemnification, and regardless of the form or action or legal theory (collectively, “</w:t>
      </w:r>
      <w:r>
        <w:rPr>
          <w:rFonts w:ascii="Times New Roman;sans-serif" w:hAnsi="Times New Roman;sans-serif"/>
          <w:b/>
          <w:color w:val="000000"/>
          <w:sz w:val="20"/>
        </w:rPr>
        <w:t>Losses</w:t>
      </w:r>
      <w:r>
        <w:rPr>
          <w:color w:val="000000"/>
        </w:rPr>
        <w:t>”</w:t>
      </w:r>
      <w:r>
        <w:rPr>
          <w:rFonts w:ascii="Times New Roman;sans-serif" w:hAnsi="Times New Roman;sans-serif"/>
          <w:b w:val="false"/>
          <w:color w:val="000000"/>
          <w:sz w:val="20"/>
        </w:rPr>
        <w:t xml:space="preserve">), shall be limited to the actual direct Losses that are incurred by such other Party and shall not exceed the Liability Cap (as defined below); provided, no Party will be entitled to duplicative remedies or duplicative recovery for the same act, omission, breach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contract, or other cause of action; provided, further that, notwithstanding anything in the Agreement to the contrary, the Liability Cap shall not apply to the following (and amounts owed thereunder shall not be taken into account for purposes of calculating the Liability Cap):</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18.2.1.</w:t>
      </w:r>
      <w:r>
        <w:rPr>
          <w:rFonts w:ascii="Times New Roman;sans-serif" w:hAnsi="Times New Roman;sans-serif"/>
          <w:b w:val="false"/>
          <w:color w:val="000000"/>
          <w:sz w:val="20"/>
        </w:rPr>
        <w:t xml:space="preserve">Ordinary course payments owed by one Party to the other Party pursuant to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18.2.2.</w:t>
      </w:r>
      <w:r>
        <w:rPr>
          <w:rFonts w:ascii="Times New Roman;sans-serif" w:hAnsi="Times New Roman;sans-serif"/>
          <w:b w:val="false"/>
          <w:color w:val="000000"/>
          <w:sz w:val="20"/>
        </w:rPr>
        <w:t>Breach of confidentiality obligations under Section 13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18.2.3.</w:t>
      </w:r>
      <w:r>
        <w:rPr>
          <w:rFonts w:ascii="Times New Roman;sans-serif" w:hAnsi="Times New Roman;sans-serif"/>
          <w:b w:val="false"/>
          <w:color w:val="000000"/>
          <w:sz w:val="20"/>
        </w:rPr>
        <w:t>Affirm’s indemnification obligations under Section 17.1(i) (Breach of Applicable Law); Section 17.1(iii) (Gross Negligence or Willful Misconduct); Sections 17.1(iv) (Intellectual Property Infringement) and 17.5 (Additional Terms for Intellectual Property Indemnification);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18.2.4.</w:t>
      </w:r>
      <w:r>
        <w:rPr>
          <w:rFonts w:ascii="Times New Roman;sans-serif" w:hAnsi="Times New Roman;sans-serif"/>
          <w:b w:val="false"/>
          <w:color w:val="000000"/>
          <w:sz w:val="20"/>
        </w:rPr>
        <w:t>Shopify’s indemnification obligations under Section 10.3 (Taxes); Section 17.3 (i) (Breach of Applicable Law); Section 17.3 (iii) (Gross Negligence or Willful Misconduct);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18.3</w:t>
      </w:r>
      <w:r>
        <w:rPr>
          <w:rFonts w:ascii="Times New Roman;sans-serif" w:hAnsi="Times New Roman;sans-serif"/>
          <w:b w:val="false"/>
          <w:color w:val="000000"/>
          <w:sz w:val="20"/>
        </w:rPr>
        <w:t>The “</w:t>
      </w:r>
      <w:r>
        <w:rPr>
          <w:rFonts w:ascii="Times New Roman;sans-serif" w:hAnsi="Times New Roman;sans-serif"/>
          <w:b/>
          <w:color w:val="000000"/>
          <w:sz w:val="20"/>
        </w:rPr>
        <w:t>Liability Cap</w:t>
      </w:r>
      <w:r>
        <w:rPr>
          <w:color w:val="000000"/>
        </w:rPr>
        <w:t xml:space="preserve">” </w:t>
      </w:r>
      <w:r>
        <w:rPr>
          <w:rFonts w:ascii="Times New Roman;sans-serif" w:hAnsi="Times New Roman;sans-serif"/>
          <w:b w:val="false"/>
          <w:color w:val="000000"/>
          <w:sz w:val="20"/>
        </w:rPr>
        <w:t xml:space="preserve">means [***]. </w:t>
      </w:r>
    </w:p>
    <w:p>
      <w:pPr>
        <w:pStyle w:val="TextBody"/>
        <w:bidi w:val="0"/>
        <w:spacing w:lineRule="auto" w:line="288" w:before="0" w:after="240"/>
        <w:jc w:val="both"/>
        <w:rPr/>
      </w:pPr>
      <w:r>
        <w:rPr>
          <w:rFonts w:ascii="Times New Roman;sans-serif" w:hAnsi="Times New Roman;sans-serif"/>
          <w:b/>
          <w:color w:val="000000"/>
          <w:sz w:val="20"/>
        </w:rPr>
        <w:t>19.</w:t>
      </w:r>
      <w:r>
        <w:rPr>
          <w:rFonts w:ascii="Times New Roman;sans-serif" w:hAnsi="Times New Roman;sans-serif"/>
          <w:b/>
          <w:color w:val="000000"/>
          <w:sz w:val="20"/>
          <w:u w:val="single"/>
        </w:rPr>
        <w:t>Disaster Recovery and Business Continuity</w:t>
      </w:r>
      <w:r>
        <w:rPr>
          <w:rFonts w:ascii="Times New Roman;sans-serif" w:hAnsi="Times New Roman;sans-serif"/>
          <w:b/>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19.1</w:t>
      </w:r>
      <w:r>
        <w:rPr>
          <w:rFonts w:ascii="Times New Roman;sans-serif" w:hAnsi="Times New Roman;sans-serif"/>
          <w:b w:val="false"/>
          <w:color w:val="000000"/>
          <w:sz w:val="20"/>
        </w:rPr>
        <w:t xml:space="preserve">At all times during the Term and for so long as this Agreement remains in effect, each Party shall prepare and maintain disaster recovery, business resumption and contingency plans appropriate for the nature and scope of the activities of and the obligations to be performed by such Party hereunder. The Party shall ensure that such plans comply with Applicable Law and are sufficient to enable it to promptly resume the performance of its obligations hereunder in the event of a natural disaster, destruction of facilities or operations, utility or communication failures or similar interruption in operations and shall ensure that all material records, including, but not limited to, Protected Information, are backed up in a manner sufficient to survive any disaster or business interruption. These plans shall ensure that such resumption takes place no later than [***] after the interruption. Upon written request, each Party shall make available to the other Party summaries of relevant disaster recovery, business resumption and contingency plans. Any changes to the disaster recovery, business resumption, or contingency plans must comply with the terms herein. Further, any changes to the policies, taken collectively as a whole, must be no less protective than the policies it has in place on the Effective Date.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19.2</w:t>
      </w:r>
      <w:r>
        <w:rPr>
          <w:rFonts w:ascii="Times New Roman;sans-serif" w:hAnsi="Times New Roman;sans-serif"/>
          <w:b w:val="false"/>
          <w:color w:val="000000"/>
          <w:sz w:val="20"/>
        </w:rPr>
        <w:t>If a Party suffers a disruption, disaster or failure and implements the disaster recovery, business resumption and contingency plans in relation to the Program, the affected Party will promptly notify the other Party.</w:t>
      </w:r>
    </w:p>
    <w:p>
      <w:pPr>
        <w:pStyle w:val="TextBody"/>
        <w:bidi w:val="0"/>
        <w:spacing w:lineRule="auto" w:line="288" w:before="0" w:after="240"/>
        <w:jc w:val="both"/>
        <w:rPr/>
      </w:pPr>
      <w:r>
        <w:rPr>
          <w:rFonts w:ascii="Times New Roman;sans-serif" w:hAnsi="Times New Roman;sans-serif"/>
          <w:b/>
          <w:color w:val="000000"/>
          <w:sz w:val="20"/>
        </w:rPr>
        <w:t>20.</w:t>
      </w:r>
      <w:r>
        <w:rPr>
          <w:rFonts w:ascii="Times New Roman;sans-serif" w:hAnsi="Times New Roman;sans-serif"/>
          <w:b/>
          <w:color w:val="000000"/>
          <w:sz w:val="20"/>
          <w:u w:val="single"/>
        </w:rPr>
        <w:t>Insurance</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20.1</w:t>
      </w:r>
      <w:r>
        <w:rPr>
          <w:rFonts w:ascii="Times New Roman;sans-serif" w:hAnsi="Times New Roman;sans-serif"/>
          <w:b/>
          <w:color w:val="000000"/>
          <w:sz w:val="20"/>
        </w:rPr>
        <w:t>Required Insurance</w:t>
      </w:r>
      <w:r>
        <w:rPr>
          <w:rFonts w:ascii="Times New Roman;sans-serif" w:hAnsi="Times New Roman;sans-serif"/>
          <w:b w:val="false"/>
          <w:color w:val="000000"/>
          <w:sz w:val="20"/>
        </w:rPr>
        <w:t xml:space="preserve">. Without limiting Affirm’s liability to Shopify, Affirm, at its sole cost and expense, will maintain adequate insurance coverage to protect Shopify from any losses or claims that may arise out of the Program or performance of its services hereunder during the Term.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20.1.1.</w:t>
      </w:r>
      <w:r>
        <w:rPr>
          <w:rFonts w:ascii="Times New Roman;sans-serif" w:hAnsi="Times New Roman;sans-serif"/>
          <w:b w:val="false"/>
          <w:color w:val="000000"/>
          <w:sz w:val="20"/>
        </w:rPr>
        <w:t>Such coverage will include the minimum be set forth below or the equivalent policy for all Territories in the aggregate:</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20.1.1.1.</w:t>
      </w:r>
      <w:r>
        <w:rPr>
          <w:rFonts w:ascii="Times New Roman;sans-serif" w:hAnsi="Times New Roman;sans-serif"/>
          <w:b w:val="false"/>
          <w:color w:val="000000"/>
          <w:sz w:val="20"/>
        </w:rPr>
        <w:t>workers’ compensation (statutory limits) and employer’s liability [***] limits to the extent required by the laws of the state(s) or province(s) (as applicable) in which the Services are performed in the applicable Territory Program Agreement;</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20.1.1.2.</w:t>
      </w:r>
      <w:r>
        <w:rPr>
          <w:rFonts w:ascii="Times New Roman;sans-serif" w:hAnsi="Times New Roman;sans-serif"/>
          <w:b w:val="false"/>
          <w:color w:val="000000"/>
          <w:sz w:val="20"/>
        </w:rPr>
        <w:t>commercial general liability and property damage insurance with combined bodily injury and property damage limits of at least [***] combined single limit for bodily injury, death, property damage, including personal injury, and products and completed operations coverage, including Shopify as an additional insured;</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20.1.1.3.</w:t>
      </w:r>
      <w:r>
        <w:rPr>
          <w:rFonts w:ascii="Times New Roman;sans-serif" w:hAnsi="Times New Roman;sans-serif"/>
          <w:b w:val="false"/>
          <w:color w:val="000000"/>
          <w:sz w:val="20"/>
        </w:rPr>
        <w:t xml:space="preserve">fidelity bonding of at least [***] for claims based upon and damages arising out of or relating to such Party’s employees’ fraudulent or dishonest acts; </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20.1.1.4.</w:t>
      </w:r>
      <w:r>
        <w:rPr>
          <w:rFonts w:ascii="Times New Roman;sans-serif" w:hAnsi="Times New Roman;sans-serif"/>
          <w:b w:val="false"/>
          <w:color w:val="000000"/>
          <w:sz w:val="20"/>
        </w:rPr>
        <w:t>errors and omissions insurance or comparable coverage of at least [***] for claims based and damages arising out of or relating to negligence, omissions or errors of Affirm;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20.1.1.5.</w:t>
      </w:r>
      <w:r>
        <w:rPr>
          <w:rFonts w:ascii="Times New Roman;sans-serif" w:hAnsi="Times New Roman;sans-serif"/>
          <w:b w:val="false"/>
          <w:color w:val="000000"/>
          <w:sz w:val="20"/>
        </w:rPr>
        <w:t>directors and officers insurance coverage of at least [***] for claims based and damages arising out of or relating to actual or alleged wrongful acts of any executive of Affirm;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20.1.1.6.</w:t>
      </w:r>
      <w:r>
        <w:rPr>
          <w:rFonts w:ascii="Times New Roman;sans-serif" w:hAnsi="Times New Roman;sans-serif"/>
          <w:b w:val="false"/>
          <w:color w:val="000000"/>
          <w:sz w:val="20"/>
        </w:rPr>
        <w:t>network security and privacy liability insurance with a [***] per claim/ [***]aggregate covering described services contained within the Agreement to include but not be limited to, business interruption, data recovery, hardware replacement at [***], incident responses, data breach, security and privacy violations, third-party liability, crisis management costs, which include Customers notification expenses and credit monitoring.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20.1.2.</w:t>
      </w:r>
      <w:r>
        <w:rPr>
          <w:rFonts w:ascii="Times New Roman;sans-serif" w:hAnsi="Times New Roman;sans-serif"/>
          <w:b w:val="false"/>
          <w:color w:val="000000"/>
          <w:sz w:val="20"/>
        </w:rPr>
        <w:t>If a Territory specific insurance policy is different than the minimum requirements set forth above, the Parties will work together in good faith to determine the insurance requirements for such Territory. Such requirements will be set forth in the applicable Territory Program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20.2</w:t>
      </w:r>
      <w:r>
        <w:rPr>
          <w:rFonts w:ascii="Times New Roman;sans-serif" w:hAnsi="Times New Roman;sans-serif"/>
          <w:b/>
          <w:color w:val="000000"/>
          <w:sz w:val="20"/>
        </w:rPr>
        <w:t>Shopify Insurance</w:t>
      </w:r>
      <w:r>
        <w:rPr>
          <w:rFonts w:ascii="Times New Roman;sans-serif" w:hAnsi="Times New Roman;sans-serif"/>
          <w:b w:val="false"/>
          <w:color w:val="000000"/>
          <w:sz w:val="20"/>
        </w:rPr>
        <w:t>. Shopify will maintain adequate insurance coverage to protect Affirm from any losses or claims that may arise out of the Program or its performance hereunder during the Term. Such insurance shall be commensurate with the risk posed by the services provided by Shopify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20.3</w:t>
      </w:r>
      <w:r>
        <w:rPr>
          <w:rFonts w:ascii="Times New Roman;sans-serif" w:hAnsi="Times New Roman;sans-serif"/>
          <w:b/>
          <w:color w:val="000000"/>
          <w:sz w:val="20"/>
        </w:rPr>
        <w:t>Insurance Ratings</w:t>
      </w:r>
      <w:r>
        <w:rPr>
          <w:rFonts w:ascii="Times New Roman;sans-serif" w:hAnsi="Times New Roman;sans-serif"/>
          <w:b w:val="false"/>
          <w:color w:val="000000"/>
          <w:sz w:val="20"/>
        </w:rPr>
        <w:t>. All the insurance policies required to be obtained pursuant to this Agreement will be with companies rated an A.M. Best Financial Strength Rating of A- or better. The foregoing requirements as to the types and limits of insurance coverage to be maintained by a Party and any approval or waiver of said insurance by the other Party are not intended to and will not in any manner limit or qualify the liabilities and obligations otherwise assumed by the first Party pursuant to this Agreement, including the provisions concerning the indemnification obligations of the first Party. The general liability policy will be primary and noncontributory to any insurance or self-insurance maintained by the other Party (required for commercial general liability only).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20.4</w:t>
      </w:r>
      <w:r>
        <w:rPr>
          <w:rFonts w:ascii="Times New Roman;sans-serif" w:hAnsi="Times New Roman;sans-serif"/>
          <w:b/>
          <w:color w:val="000000"/>
          <w:sz w:val="20"/>
        </w:rPr>
        <w:t>Certificates of Insurance</w:t>
      </w:r>
      <w:r>
        <w:rPr>
          <w:rFonts w:ascii="Times New Roman;sans-serif" w:hAnsi="Times New Roman;sans-serif"/>
          <w:b w:val="false"/>
          <w:color w:val="000000"/>
          <w:sz w:val="20"/>
        </w:rPr>
        <w:t>. Upon the request of a Party, the other Party will deliver certificates of insurance for the applicable policies to the first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20.5</w:t>
      </w:r>
      <w:r>
        <w:rPr>
          <w:rFonts w:ascii="Times New Roman;sans-serif" w:hAnsi="Times New Roman;sans-serif"/>
          <w:b/>
          <w:color w:val="000000"/>
          <w:sz w:val="20"/>
        </w:rPr>
        <w:t>Cancellation or Lapse of Insurance</w:t>
      </w:r>
      <w:r>
        <w:rPr>
          <w:rFonts w:ascii="Times New Roman;sans-serif" w:hAnsi="Times New Roman;sans-serif"/>
          <w:b w:val="false"/>
          <w:color w:val="000000"/>
          <w:sz w:val="20"/>
        </w:rPr>
        <w:t>. Each Party will give the other Party [***] days’ prior written notice of cancellation of any insurance coverage listed in this Agreement, including in any Territory Program Agreement except that each Party will give the other Party [***] days’ prior written notice for cancellation for nonpayment of premium, or non-renewal; provided, however, that changes in insurance carriers or providers, so long as the new policy complies with this Agreement, will not require notice to the other Party pursuant to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20.6</w:t>
      </w:r>
      <w:r>
        <w:rPr>
          <w:rFonts w:ascii="Times New Roman;sans-serif" w:hAnsi="Times New Roman;sans-serif"/>
          <w:b/>
          <w:color w:val="000000"/>
          <w:sz w:val="20"/>
        </w:rPr>
        <w:t>Claims Made Coverage</w:t>
      </w:r>
      <w:r>
        <w:rPr>
          <w:rFonts w:ascii="Times New Roman;sans-serif" w:hAnsi="Times New Roman;sans-serif"/>
          <w:b w:val="false"/>
          <w:color w:val="000000"/>
          <w:sz w:val="20"/>
        </w:rPr>
        <w:t>. To the extent that any insurance coverage required under this Section is purchased on a “claims-made” basis, such insurance will be continuously maintained until at least [***] beyond the expiration or termination of this Agreement, or the applicable Party will purchase “tail” coverage, effective upon termination of any such policy or such termination or expiration of this Agreement, to provide coverage for at least [***] from the occurrence of either such event.</w:t>
      </w:r>
    </w:p>
    <w:p>
      <w:pPr>
        <w:pStyle w:val="TextBody"/>
        <w:bidi w:val="0"/>
        <w:spacing w:lineRule="auto" w:line="288" w:before="0" w:after="240"/>
        <w:jc w:val="both"/>
        <w:rPr/>
      </w:pPr>
      <w:r>
        <w:rPr>
          <w:rFonts w:ascii="Times New Roman;sans-serif" w:hAnsi="Times New Roman;sans-serif"/>
          <w:b/>
          <w:color w:val="000000"/>
          <w:sz w:val="20"/>
        </w:rPr>
        <w:t>21.</w:t>
      </w:r>
      <w:r>
        <w:rPr>
          <w:rFonts w:ascii="Times New Roman;sans-serif" w:hAnsi="Times New Roman;sans-serif"/>
          <w:b/>
          <w:color w:val="000000"/>
          <w:sz w:val="20"/>
          <w:u w:val="single"/>
        </w:rPr>
        <w:t>Records and Reporting</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21.1</w:t>
      </w:r>
      <w:r>
        <w:rPr>
          <w:rFonts w:ascii="Times New Roman;sans-serif" w:hAnsi="Times New Roman;sans-serif"/>
          <w:b/>
          <w:color w:val="000000"/>
          <w:sz w:val="20"/>
        </w:rPr>
        <w:t>Records</w:t>
      </w:r>
      <w:r>
        <w:rPr>
          <w:rFonts w:ascii="Times New Roman;sans-serif" w:hAnsi="Times New Roman;sans-serif"/>
          <w:b w:val="false"/>
          <w:color w:val="000000"/>
          <w:sz w:val="20"/>
        </w:rPr>
        <w:t>. Each Party shall retain or cause to be retained, and shall require that all Personnel engaged by such Party to retain or cause to be retained, full and accurate records (in a form capable of satisfying an audit) relating to the Program, including, without limitation, the performance of its obligations under the Agreement and the security of the Party’s information and systems as well as any other records a Regulatory Authority may require from time to time or that the Party is required to maintain under Applicable Law (“</w:t>
      </w:r>
      <w:r>
        <w:rPr>
          <w:rFonts w:ascii="Times New Roman;sans-serif" w:hAnsi="Times New Roman;sans-serif"/>
          <w:b/>
          <w:color w:val="000000"/>
          <w:sz w:val="20"/>
        </w:rPr>
        <w:t>Records</w:t>
      </w:r>
      <w:r>
        <w:rPr>
          <w:color w:val="000000"/>
        </w:rPr>
        <w:t>”</w:t>
      </w:r>
      <w:r>
        <w:rPr>
          <w:rFonts w:ascii="Times New Roman;sans-serif" w:hAnsi="Times New Roman;sans-serif"/>
          <w:b w:val="false"/>
          <w:color w:val="000000"/>
          <w:sz w:val="20"/>
        </w:rPr>
        <w:t xml:space="preserve">). Each Party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shall retain copies of the Records the longer of [***] after the termination or expiration of the Agreement or as otherwise required by Applicable Law. Affirm shall provide to Shopify any Records (that can be reasonably obtained or compiled by Affirm) relating to specific Program metrics or performance data, including but not limited to data or other information in its possession or in the possession of its subcontractors, affiliates or partners, which may be reasonably requested by Shopify. For the avoidance of doubt, Affirm shall not be obligated to provide to Shopify (i) any Records containing Affirm Confidential Information; or (ii) Records that might compromise Affirm Intellectual Property Rights.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21.2</w:t>
      </w:r>
      <w:r>
        <w:rPr>
          <w:rFonts w:ascii="Times New Roman;sans-serif" w:hAnsi="Times New Roman;sans-serif"/>
          <w:b/>
          <w:color w:val="000000"/>
          <w:sz w:val="20"/>
        </w:rPr>
        <w:t>Reporting</w:t>
      </w:r>
      <w:r>
        <w:rPr>
          <w:rFonts w:ascii="Times New Roman;sans-serif" w:hAnsi="Times New Roman;sans-serif"/>
          <w:b w:val="false"/>
          <w:color w:val="000000"/>
          <w:sz w:val="20"/>
        </w:rPr>
        <w:t xml:space="preserve">. Each Party shall deliver to the other Party certain agreed-upon reports, as set forth in the Program Outline. The Parties shall work in good faith to provide additional reports reasonably requested by the other Party for use solely in support of the Program. To the extent either Party reasonably determines that the sharing of any such information does not comply with Applicable Law, then the Parties agree to negotiate in good faith to share such other information that is legally permitted to achieve the anticipated practical benefits intended by the information sharing. </w:t>
      </w:r>
    </w:p>
    <w:p>
      <w:pPr>
        <w:pStyle w:val="TextBody"/>
        <w:bidi w:val="0"/>
        <w:spacing w:lineRule="auto" w:line="288" w:before="0" w:after="240"/>
        <w:jc w:val="both"/>
        <w:rPr/>
      </w:pPr>
      <w:r>
        <w:rPr>
          <w:rFonts w:ascii="Times New Roman;sans-serif" w:hAnsi="Times New Roman;sans-serif"/>
          <w:b/>
          <w:color w:val="000000"/>
          <w:sz w:val="20"/>
        </w:rPr>
        <w:t>22.</w:t>
      </w:r>
      <w:r>
        <w:rPr>
          <w:rFonts w:ascii="Times New Roman;sans-serif" w:hAnsi="Times New Roman;sans-serif"/>
          <w:b/>
          <w:color w:val="000000"/>
          <w:sz w:val="20"/>
          <w:u w:val="single"/>
        </w:rPr>
        <w:t>Right to Audit</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22.1</w:t>
      </w:r>
      <w:r>
        <w:rPr>
          <w:rFonts w:ascii="Times New Roman;sans-serif" w:hAnsi="Times New Roman;sans-serif"/>
          <w:b w:val="false"/>
          <w:color w:val="000000"/>
          <w:sz w:val="20"/>
        </w:rPr>
        <w:t>During the Term and no more than [***] unless agreed upon by the Parties or required by or any Regulatory Authority, each Party (the “</w:t>
      </w:r>
      <w:r>
        <w:rPr>
          <w:rFonts w:ascii="Times New Roman;sans-serif" w:hAnsi="Times New Roman;sans-serif"/>
          <w:b/>
          <w:color w:val="000000"/>
          <w:sz w:val="20"/>
        </w:rPr>
        <w:t>Audited Party</w:t>
      </w:r>
      <w:r>
        <w:rPr>
          <w:color w:val="000000"/>
        </w:rPr>
        <w:t>”</w:t>
      </w:r>
      <w:r>
        <w:rPr>
          <w:rFonts w:ascii="Times New Roman;sans-serif" w:hAnsi="Times New Roman;sans-serif"/>
          <w:b w:val="false"/>
          <w:color w:val="000000"/>
          <w:sz w:val="20"/>
        </w:rPr>
        <w:t>) agrees that the other Party and/or its authorized representatives and agents (collectively the “</w:t>
      </w:r>
      <w:r>
        <w:rPr>
          <w:rFonts w:ascii="Times New Roman;sans-serif" w:hAnsi="Times New Roman;sans-serif"/>
          <w:b/>
          <w:color w:val="000000"/>
          <w:sz w:val="20"/>
        </w:rPr>
        <w:t>Auditing Party</w:t>
      </w:r>
      <w:r>
        <w:rPr>
          <w:color w:val="000000"/>
        </w:rPr>
        <w:t>”</w:t>
      </w:r>
      <w:r>
        <w:rPr>
          <w:rFonts w:ascii="Times New Roman;sans-serif" w:hAnsi="Times New Roman;sans-serif"/>
          <w:b w:val="false"/>
          <w:color w:val="000000"/>
          <w:sz w:val="20"/>
        </w:rPr>
        <w:t xml:space="preserve">) shall have the right, at any time during normal business hours and upon reasonable prior notice, to inspect, audit and examine all of Audited Party’s Records, personnel, books, accounts, data, reports, papers and computer records relating to the activities contemplated by this Agreement; provided that such audit is conducted utilizing a certified public accountant or other reputable auditing firm selected by the Audited Party (that is reasonably acceptable to the Auditing Party).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22.2</w:t>
      </w:r>
      <w:r>
        <w:rPr>
          <w:rFonts w:ascii="Times New Roman;sans-serif" w:hAnsi="Times New Roman;sans-serif"/>
          <w:b w:val="false"/>
          <w:color w:val="000000"/>
          <w:sz w:val="20"/>
        </w:rPr>
        <w:t>In addition to the obligations set forth under Section 22.1, each Party agrees to cooperate with any examination, inquiry, audit, information request, site visit or the like, which may be required by any Regulatory Authority with audit examination or supervisory authority over any Party under this Agreement, to the fullest extent requested by such Regulatory Authority. Each Party shall also provide to the other Party any information that may be required by any Regulatory Authority in connection with their audit or review of such Party or the Program and shall cooperate with such Regulatory Authority in connection with any audit or review of such Party or the Program. All rights under this Section 22.2 are subject to the Party seeking to exercise rights hereunder providing the other Party reasonable prior notice and complying with reasonable requests by and conditions of such other Party related to access to facilities and records (including on-site security requirements) and to audit scope and timing.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22.3</w:t>
      </w:r>
      <w:r>
        <w:rPr>
          <w:rFonts w:ascii="Times New Roman;sans-serif" w:hAnsi="Times New Roman;sans-serif"/>
          <w:b w:val="false"/>
          <w:color w:val="000000"/>
          <w:sz w:val="20"/>
        </w:rPr>
        <w:t>Affirm shall prepare a written response to Shopify (a “</w:t>
      </w:r>
      <w:r>
        <w:rPr>
          <w:rFonts w:ascii="Times New Roman;sans-serif" w:hAnsi="Times New Roman;sans-serif"/>
          <w:b/>
          <w:color w:val="000000"/>
          <w:sz w:val="20"/>
        </w:rPr>
        <w:t>Response to Audit Letter</w:t>
      </w:r>
      <w:r>
        <w:rPr>
          <w:color w:val="000000"/>
        </w:rPr>
        <w:t>”</w:t>
      </w:r>
      <w:r>
        <w:rPr>
          <w:rFonts w:ascii="Times New Roman;sans-serif" w:hAnsi="Times New Roman;sans-serif"/>
          <w:b w:val="false"/>
          <w:color w:val="000000"/>
          <w:sz w:val="20"/>
        </w:rPr>
        <w:t>) to all criticisms, recommendations, deficiencies and violations of Applicable Law identified in reviews conducted by Shopify or any Regulatory Authority (“</w:t>
      </w:r>
      <w:r>
        <w:rPr>
          <w:rFonts w:ascii="Times New Roman;sans-serif" w:hAnsi="Times New Roman;sans-serif"/>
          <w:b/>
          <w:color w:val="000000"/>
          <w:sz w:val="20"/>
        </w:rPr>
        <w:t>Audit Findings</w:t>
      </w:r>
      <w:r>
        <w:rPr>
          <w:color w:val="000000"/>
        </w:rPr>
        <w:t>”</w:t>
      </w:r>
      <w:r>
        <w:rPr>
          <w:rFonts w:ascii="Times New Roman;sans-serif" w:hAnsi="Times New Roman;sans-serif"/>
          <w:b w:val="false"/>
          <w:color w:val="000000"/>
          <w:sz w:val="20"/>
        </w:rPr>
        <w:t>). The Response to Audit Letter shall be delivered to Shopify within [***] of Affirm’s receipt of such Audit Findings, unless directed otherwise by a Regulatory Authority. The Response to Audit Letter shall include, at a minimum, a detailed discussion of the following: the planned corrective action to address the Audit Findings (“</w:t>
      </w:r>
      <w:r>
        <w:rPr>
          <w:rFonts w:ascii="Times New Roman;sans-serif" w:hAnsi="Times New Roman;sans-serif"/>
          <w:b/>
          <w:color w:val="000000"/>
          <w:sz w:val="20"/>
        </w:rPr>
        <w:t>Audit Corrective Action Plan</w:t>
      </w:r>
      <w:r>
        <w:rPr>
          <w:color w:val="000000"/>
        </w:rPr>
        <w:t>”</w:t>
      </w:r>
      <w:r>
        <w:rPr>
          <w:rFonts w:ascii="Times New Roman;sans-serif" w:hAnsi="Times New Roman;sans-serif"/>
          <w:b w:val="false"/>
          <w:color w:val="000000"/>
          <w:sz w:val="20"/>
        </w:rPr>
        <w:t>); employee(s) of Affirm tasked to remedy the Audit Findings; remedial actions proposed to be directed to current or past Customers negatively impacted by the Audit Findings (provided no such action shall be taken without express written approval from Shopify); steps to be taken to prevent any recurrence of the Audit Findings; a specific timeframe, not to exceed [***], unless otherwise approved by Shopify in advance, to implement the Audit Corrective Action Plan (“</w:t>
      </w:r>
      <w:r>
        <w:rPr>
          <w:rFonts w:ascii="Times New Roman;sans-serif" w:hAnsi="Times New Roman;sans-serif"/>
          <w:b/>
          <w:color w:val="000000"/>
          <w:sz w:val="20"/>
        </w:rPr>
        <w:t>Corrective Action Plan Deadline</w:t>
      </w:r>
      <w:r>
        <w:rPr>
          <w:color w:val="000000"/>
        </w:rPr>
        <w:t>”</w:t>
      </w:r>
      <w:r>
        <w:rPr>
          <w:rFonts w:ascii="Times New Roman;sans-serif" w:hAnsi="Times New Roman;sans-serif"/>
          <w:b w:val="false"/>
          <w:color w:val="000000"/>
          <w:sz w:val="20"/>
        </w:rPr>
        <w:t>); documentation evidencing that the Audit Corrective Action Plan has been implemented; if additional time is needed to implement the Audit Corrective Action Plan or deviations from the Audit Corrective Action Plan are necessary, a written request shall be submitted to Shopify detailing the extenuating circumstances that necessitate an extension of the Corrective Action Plan Deadline and such extension request shall be subject to the reasonable approval of Shopify; and identification of any Audit Findings disputed by Affirm or where corrective action is not possible or necessary, supported by a detailed explanation of Affirm’s position.</w:t>
      </w:r>
    </w:p>
    <w:p>
      <w:pPr>
        <w:pStyle w:val="TextBody"/>
        <w:bidi w:val="0"/>
        <w:spacing w:lineRule="auto" w:line="288" w:before="0" w:after="240"/>
        <w:jc w:val="both"/>
        <w:rPr/>
      </w:pPr>
      <w:r>
        <w:rPr>
          <w:rFonts w:ascii="Times New Roman;sans-serif" w:hAnsi="Times New Roman;sans-serif"/>
          <w:b/>
          <w:color w:val="000000"/>
          <w:sz w:val="20"/>
        </w:rPr>
        <w:t>23.</w:t>
      </w:r>
      <w:r>
        <w:rPr>
          <w:rFonts w:ascii="Times New Roman;sans-serif" w:hAnsi="Times New Roman;sans-serif"/>
          <w:b/>
          <w:color w:val="000000"/>
          <w:sz w:val="20"/>
          <w:u w:val="single"/>
        </w:rPr>
        <w:t>Notices</w:t>
      </w:r>
      <w:r>
        <w:rPr>
          <w:rFonts w:ascii="Times New Roman;sans-serif" w:hAnsi="Times New Roman;sans-serif"/>
          <w:b w:val="false"/>
          <w:color w:val="000000"/>
          <w:sz w:val="20"/>
        </w:rPr>
        <w:t xml:space="preserve">. Unless otherwise noted in the Agreement, all written notices required pursuant to this Agreement will be deemed sufficiently given when personally delivered or 3 business days after being mailed via certified or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first-class U.S. mail or a nationally recognized courier to a Party at its address set forth on the cover signature page of this Agreement or applicable Program Outline, or at such other address as a Party may from time to time specify by written notice to the other Party.</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0"/>
        </w:rPr>
        <w:t>24.</w:t>
      </w:r>
      <w:r>
        <w:rPr>
          <w:rFonts w:ascii="Times New Roman;sans-serif" w:hAnsi="Times New Roman;sans-serif"/>
          <w:b/>
          <w:color w:val="000000"/>
          <w:sz w:val="20"/>
          <w:u w:val="single"/>
        </w:rPr>
        <w:t>Assignment</w:t>
      </w:r>
      <w:r>
        <w:rPr>
          <w:rFonts w:ascii="Times New Roman;sans-serif" w:hAnsi="Times New Roman;sans-serif"/>
          <w:b w:val="false"/>
          <w:color w:val="000000"/>
          <w:sz w:val="20"/>
        </w:rPr>
        <w:t>. Except for an assignment or delegation to an Affiliate of either Party, neither Party will transfer or assign this Agreement without the other Party’s prior written consent, which may not be unreasonably withheld, delayed or conditioned.</w:t>
      </w:r>
    </w:p>
    <w:p>
      <w:pPr>
        <w:pStyle w:val="TextBody"/>
        <w:bidi w:val="0"/>
        <w:spacing w:lineRule="auto" w:line="288" w:before="0" w:after="240"/>
        <w:jc w:val="both"/>
        <w:rPr/>
      </w:pPr>
      <w:r>
        <w:rPr>
          <w:rFonts w:ascii="Times New Roman;sans-serif" w:hAnsi="Times New Roman;sans-serif"/>
          <w:b/>
          <w:color w:val="000000"/>
          <w:sz w:val="20"/>
        </w:rPr>
        <w:t>25.</w:t>
      </w:r>
      <w:r>
        <w:rPr>
          <w:rFonts w:ascii="Times New Roman;sans-serif" w:hAnsi="Times New Roman;sans-serif"/>
          <w:b/>
          <w:color w:val="000000"/>
          <w:sz w:val="20"/>
          <w:u w:val="single"/>
        </w:rPr>
        <w:t>Use of Content, Branding and Publicity</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25.1</w:t>
      </w:r>
      <w:r>
        <w:rPr>
          <w:rFonts w:ascii="Times New Roman;sans-serif" w:hAnsi="Times New Roman;sans-serif"/>
          <w:b w:val="false"/>
          <w:color w:val="000000"/>
          <w:sz w:val="20"/>
        </w:rPr>
        <w:t>Neither Party will use the other Party’s or its Affiliates’ names, trademarks, trade names, service marks, logos or other brand marks (including those of its partners and collaborators, collectively, the “</w:t>
      </w:r>
      <w:r>
        <w:rPr>
          <w:rFonts w:ascii="Times New Roman;sans-serif" w:hAnsi="Times New Roman;sans-serif"/>
          <w:b/>
          <w:color w:val="000000"/>
          <w:sz w:val="20"/>
        </w:rPr>
        <w:t>Marks</w:t>
      </w:r>
      <w:r>
        <w:rPr>
          <w:color w:val="000000"/>
        </w:rPr>
        <w:t>”</w:t>
      </w:r>
      <w:r>
        <w:rPr>
          <w:rFonts w:ascii="Times New Roman;sans-serif" w:hAnsi="Times New Roman;sans-serif"/>
          <w:b w:val="false"/>
          <w:color w:val="000000"/>
          <w:sz w:val="20"/>
        </w:rPr>
        <w:t xml:space="preserve">) without prior written approval by an authorized representative of the other Party. Any usage of the Marks of either Party shall be in accordance with the usage guidelines and policies that may be provided by the applicable Party in writing to the other Party from time to time. In addition to any other usage guidelines and policies provided by Shopify in connection with its Marks, Affirm shall also comply with the guidelines available at </w:t>
      </w:r>
      <w:r>
        <w:rPr>
          <w:rFonts w:ascii="Times New Roman;sans-serif" w:hAnsi="Times New Roman;sans-serif"/>
          <w:b w:val="false"/>
          <w:color w:val="0000FF"/>
          <w:sz w:val="20"/>
          <w:u w:val="single"/>
        </w:rPr>
        <w:t>www.shopify.com/brand-assets</w:t>
      </w:r>
      <w:r>
        <w:rPr>
          <w:color w:val="000000"/>
        </w:rPr>
        <w:t xml:space="preserve"> </w:t>
      </w:r>
      <w:r>
        <w:rPr>
          <w:rFonts w:ascii="Times New Roman;sans-serif" w:hAnsi="Times New Roman;sans-serif"/>
          <w:b w:val="false"/>
          <w:color w:val="000000"/>
          <w:sz w:val="20"/>
        </w:rPr>
        <w:t>(or any replacement or successor URL).</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25.2</w:t>
      </w:r>
      <w:r>
        <w:rPr>
          <w:rFonts w:ascii="Times New Roman;sans-serif" w:hAnsi="Times New Roman;sans-serif"/>
          <w:b w:val="false"/>
          <w:color w:val="000000"/>
          <w:sz w:val="20"/>
        </w:rPr>
        <w:t>Each Party will not include the other Party on any client list or make any “case study,” testimonial, press release or other public announcement regarding this Agreement or any activities performed hereunder without the prior written consent of an authorized representative of the other Party. Notwithstanding the foregoing, Shopify will in good faith consider developing with Affirm a case study, sales and marketing content, testimonials, and quotations that could be used by the Parties for marketing purposes.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25.3</w:t>
      </w:r>
      <w:r>
        <w:rPr>
          <w:rFonts w:ascii="Times New Roman;sans-serif" w:hAnsi="Times New Roman;sans-serif"/>
          <w:b w:val="false"/>
          <w:color w:val="000000"/>
          <w:sz w:val="20"/>
        </w:rPr>
        <w:t>If either Party requires the use of the other Party’s Marks in order to fulfill its obligations under this Agreement, the Marks-using Party shall first obtain the Marks-owning Party prior written approval. If the Marks-owning Party provides such approval, then the Marks-owning Party hereby grants to the Marks-using Party a limited, revocable, non-sublicensable, non-transferable, non-exclusive license to use the Marks-owning Party Marks solely for the purposes of fulfilling its obligations under this Agreement and for the term of this Agreement, unless such term is earlier terminated in accordance with the terms of the Agreement. The Marks-using Party acknowledges that the Marks-owning Party Marks and all rights therein belong, as between the Parties, exclusively to the Marks-owning Party and that this Agreement does not confer upon the Marks-using Party any rights, goodwill or other interest in the Marks-owning Party Marks. Any goodwill that derives from the Marks-using Party’s use of the Marks-owning Party Marks will inure to the benefit of the Marks-owning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25.4</w:t>
      </w:r>
      <w:r>
        <w:rPr>
          <w:rFonts w:ascii="Times New Roman;sans-serif" w:hAnsi="Times New Roman;sans-serif"/>
          <w:b/>
          <w:color w:val="000000"/>
          <w:sz w:val="20"/>
        </w:rPr>
        <w:t>Branding</w:t>
      </w:r>
      <w:r>
        <w:rPr>
          <w:rFonts w:ascii="Times New Roman;sans-serif" w:hAnsi="Times New Roman;sans-serif"/>
          <w:b w:val="false"/>
          <w:color w:val="000000"/>
          <w:sz w:val="20"/>
        </w:rPr>
        <w:t>. The Program shall be branded in accordance with the branding standards set forth in Exhibit B.</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25.5</w:t>
      </w:r>
      <w:r>
        <w:rPr>
          <w:rFonts w:ascii="Times New Roman;sans-serif" w:hAnsi="Times New Roman;sans-serif"/>
          <w:b/>
          <w:color w:val="000000"/>
          <w:sz w:val="20"/>
        </w:rPr>
        <w:t>Public Releases</w:t>
      </w:r>
      <w:r>
        <w:rPr>
          <w:rFonts w:ascii="Times New Roman;sans-serif" w:hAnsi="Times New Roman;sans-serif"/>
          <w:b w:val="false"/>
          <w:color w:val="000000"/>
          <w:sz w:val="20"/>
        </w:rPr>
        <w:t>. All media releases, public announcements and public disclosures by Shopify or Affirm or their representatives, employees, partners or agents, relating to this Agreement, the Program or the name or Marks of Shopify or Affirm, including, without limitation, promotional or marketing material, but not including any disclosure required by legal, accounting or regulatory requirements beyond the reasonable control of the releasing Party, shall be coordinated with and approved by both Parties in writing prior to the release thereof. Notwithstanding the foregoing, the Parties commit to publicly announcing the Program in a mutually agreed upon fashion.</w:t>
      </w:r>
    </w:p>
    <w:p>
      <w:pPr>
        <w:pStyle w:val="TextBody"/>
        <w:bidi w:val="0"/>
        <w:spacing w:lineRule="auto" w:line="288" w:before="0" w:after="240"/>
        <w:jc w:val="both"/>
        <w:rPr/>
      </w:pPr>
      <w:r>
        <w:rPr>
          <w:rFonts w:ascii="Times New Roman;sans-serif" w:hAnsi="Times New Roman;sans-serif"/>
          <w:b/>
          <w:color w:val="000000"/>
          <w:sz w:val="20"/>
        </w:rPr>
        <w:t>26.</w:t>
      </w:r>
      <w:r>
        <w:rPr>
          <w:rFonts w:ascii="Times New Roman;sans-serif" w:hAnsi="Times New Roman;sans-serif"/>
          <w:b/>
          <w:color w:val="000000"/>
          <w:sz w:val="20"/>
          <w:u w:val="single"/>
        </w:rPr>
        <w:t>Force Majeur</w:t>
      </w:r>
      <w:r>
        <w:rPr>
          <w:rFonts w:ascii="Times New Roman;sans-serif" w:hAnsi="Times New Roman;sans-serif"/>
          <w:b/>
          <w:color w:val="000000"/>
          <w:sz w:val="20"/>
        </w:rPr>
        <w:t>e</w:t>
      </w:r>
      <w:r>
        <w:rPr>
          <w:rFonts w:ascii="Times New Roman;sans-serif" w:hAnsi="Times New Roman;sans-serif"/>
          <w:b w:val="false"/>
          <w:color w:val="000000"/>
          <w:sz w:val="20"/>
        </w:rPr>
        <w:t xml:space="preserve">. If any Party will be unable to carry out the whole or any part of its obligations under this Agreement by reason of a Force Majeure Event, then the performance of the obligations under this Agreement of such Party as they are affected by such cause will be excused during the continuance of the inability so caused, except that should such inability not be remedied within [***] after the date of such cause, the Party not so affected may at any time after the expiration of such [***] period, during the continuance of such inability, terminate this Agreement on giving written notice to the other Party. No Party will be relieved of its obligations hereunder if its failure of performance is due to removable or remediable causes that such Party fails to remove or remedy using commercially reasonable efforts within a reasonable time period. Either Party rendered unable to fulfill any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under this Agreement by reason of a Force Majeure Event will give prompt notice of such fact to the other Party, followed by written confirmation of notice, and will exercise due diligence to remove such inability with all reasonable dispatch.</w:t>
      </w:r>
    </w:p>
    <w:p>
      <w:pPr>
        <w:pStyle w:val="TextBody"/>
        <w:bidi w:val="0"/>
        <w:spacing w:lineRule="auto" w:line="288" w:before="0" w:after="240"/>
        <w:jc w:val="both"/>
        <w:rPr/>
      </w:pPr>
      <w:r>
        <w:rPr>
          <w:rFonts w:ascii="Times New Roman;sans-serif" w:hAnsi="Times New Roman;sans-serif"/>
          <w:b/>
          <w:color w:val="000000"/>
          <w:sz w:val="20"/>
        </w:rPr>
        <w:t>27.</w:t>
      </w:r>
      <w:r>
        <w:rPr>
          <w:rFonts w:ascii="Times New Roman;sans-serif" w:hAnsi="Times New Roman;sans-serif"/>
          <w:b/>
          <w:color w:val="000000"/>
          <w:sz w:val="20"/>
          <w:u w:val="single"/>
        </w:rPr>
        <w:t>Severability</w:t>
      </w:r>
      <w:r>
        <w:rPr>
          <w:rFonts w:ascii="Times New Roman;sans-serif" w:hAnsi="Times New Roman;sans-serif"/>
          <w:b w:val="false"/>
          <w:color w:val="000000"/>
          <w:sz w:val="20"/>
        </w:rPr>
        <w:t xml:space="preserve">. The provisions of this Agreement are severable. If any provision of this Agreement is held to be invalid, illegal, or unenforceable, the validity, legality or enforceability of the remaining provisions will in no way be affected or impaired thereby. </w:t>
      </w:r>
    </w:p>
    <w:p>
      <w:pPr>
        <w:pStyle w:val="TextBody"/>
        <w:bidi w:val="0"/>
        <w:spacing w:lineRule="auto" w:line="288" w:before="0" w:after="240"/>
        <w:jc w:val="both"/>
        <w:rPr/>
      </w:pPr>
      <w:r>
        <w:rPr>
          <w:rFonts w:ascii="Times New Roman;sans-serif" w:hAnsi="Times New Roman;sans-serif"/>
          <w:b/>
          <w:color w:val="000000"/>
          <w:sz w:val="20"/>
        </w:rPr>
        <w:t>28.</w:t>
      </w:r>
      <w:r>
        <w:rPr>
          <w:rFonts w:ascii="Times New Roman;sans-serif" w:hAnsi="Times New Roman;sans-serif"/>
          <w:b/>
          <w:color w:val="000000"/>
          <w:sz w:val="20"/>
          <w:u w:val="single"/>
        </w:rPr>
        <w:t>Governing Law</w:t>
      </w:r>
      <w:r>
        <w:rPr>
          <w:rFonts w:ascii="Times New Roman;sans-serif" w:hAnsi="Times New Roman;sans-serif"/>
          <w:b w:val="false"/>
          <w:color w:val="000000"/>
          <w:sz w:val="20"/>
        </w:rPr>
        <w:t>. Governing law will be set forth in the applicable Territory Program Agreement.</w:t>
      </w:r>
    </w:p>
    <w:p>
      <w:pPr>
        <w:pStyle w:val="TextBody"/>
        <w:bidi w:val="0"/>
        <w:spacing w:lineRule="auto" w:line="288" w:before="0" w:after="240"/>
        <w:jc w:val="both"/>
        <w:rPr/>
      </w:pPr>
      <w:r>
        <w:rPr>
          <w:rFonts w:ascii="Times New Roman;sans-serif" w:hAnsi="Times New Roman;sans-serif"/>
          <w:b/>
          <w:color w:val="000000"/>
          <w:sz w:val="20"/>
        </w:rPr>
        <w:t>29.</w:t>
      </w:r>
      <w:r>
        <w:rPr>
          <w:rFonts w:ascii="Times New Roman;sans-serif" w:hAnsi="Times New Roman;sans-serif"/>
          <w:b/>
          <w:color w:val="000000"/>
          <w:sz w:val="20"/>
          <w:u w:val="single"/>
        </w:rPr>
        <w:t>Interpretation</w:t>
      </w:r>
      <w:r>
        <w:rPr>
          <w:rFonts w:ascii="Times New Roman;sans-serif" w:hAnsi="Times New Roman;sans-serif"/>
          <w:b w:val="false"/>
          <w:color w:val="000000"/>
          <w:sz w:val="20"/>
        </w:rPr>
        <w:t>. The headings of Sections of this Agreement are for convenience of reference only and will not affect the meaning or interpretation of this Agreement in any way. This Agreement will not be presumptively construed for or against either Party. Section titles are for convenience only. As used in this Agreement, “will” means the same thing as “shall,” and the words “include,” “includes” and “including,” shall always be construed as if followed by the words “without limitation.”</w:t>
      </w:r>
    </w:p>
    <w:p>
      <w:pPr>
        <w:pStyle w:val="TextBody"/>
        <w:bidi w:val="0"/>
        <w:spacing w:lineRule="auto" w:line="288" w:before="0" w:after="240"/>
        <w:jc w:val="both"/>
        <w:rPr/>
      </w:pPr>
      <w:r>
        <w:rPr>
          <w:rFonts w:ascii="Times New Roman;sans-serif" w:hAnsi="Times New Roman;sans-serif"/>
          <w:b/>
          <w:color w:val="000000"/>
          <w:sz w:val="20"/>
        </w:rPr>
        <w:t>30.</w:t>
      </w:r>
      <w:r>
        <w:rPr>
          <w:rFonts w:ascii="Times New Roman;sans-serif" w:hAnsi="Times New Roman;sans-serif"/>
          <w:b/>
          <w:color w:val="000000"/>
          <w:sz w:val="20"/>
          <w:u w:val="single"/>
        </w:rPr>
        <w:t>Modification and Waiver</w:t>
      </w:r>
      <w:r>
        <w:rPr>
          <w:rFonts w:ascii="Times New Roman;sans-serif" w:hAnsi="Times New Roman;sans-serif"/>
          <w:b w:val="false"/>
          <w:color w:val="000000"/>
          <w:sz w:val="20"/>
        </w:rPr>
        <w:t>. No modification of this Agreement and no waiver of any breach of this Agreement will be effective unless in writing and signed by an authorized representative of the Party against whom enforcement is sought. No waiver of any breach of this Agreement and no course of dealing between the Parties will be construed as a waiver of any subsequent breach of this Agreement.</w:t>
      </w:r>
    </w:p>
    <w:p>
      <w:pPr>
        <w:pStyle w:val="TextBody"/>
        <w:bidi w:val="0"/>
        <w:spacing w:lineRule="auto" w:line="288" w:before="0" w:after="240"/>
        <w:jc w:val="both"/>
        <w:rPr/>
      </w:pPr>
      <w:r>
        <w:rPr>
          <w:rFonts w:ascii="Times New Roman;sans-serif" w:hAnsi="Times New Roman;sans-serif"/>
          <w:b/>
          <w:color w:val="000000"/>
          <w:sz w:val="20"/>
        </w:rPr>
        <w:t>31.</w:t>
      </w:r>
      <w:r>
        <w:rPr>
          <w:rFonts w:ascii="Times New Roman;sans-serif" w:hAnsi="Times New Roman;sans-serif"/>
          <w:b/>
          <w:color w:val="000000"/>
          <w:sz w:val="20"/>
          <w:u w:val="single"/>
        </w:rPr>
        <w:t>Waiver; Consent</w:t>
      </w:r>
      <w:r>
        <w:rPr>
          <w:rFonts w:ascii="Times New Roman;sans-serif" w:hAnsi="Times New Roman;sans-serif"/>
          <w:b w:val="false"/>
          <w:color w:val="000000"/>
          <w:sz w:val="20"/>
        </w:rPr>
        <w:t>. Failure by either Party to exercise or enforce any right under this Agreement, no matter how long the same may continue, shall not be deemed a waiver of such right by such Party. No waiver of any provision of, or consent to any breach of, this Agreement shall be deemed a waiver of any other provision of, or consent to any subsequent breach of, this Agreement. A Party’s consent to or approval of an act or omission on any one occasion shall not be deemed a consent to or approval of said act or omission on any subsequent occasion, or a consent to or approval of any other act or omission on the same or any subsequent occasion. To be effective, a Party’s waiver of any right or remedy will be documented in a writing signed by the waiving Party.</w:t>
      </w:r>
    </w:p>
    <w:p>
      <w:pPr>
        <w:pStyle w:val="TextBody"/>
        <w:bidi w:val="0"/>
        <w:spacing w:lineRule="auto" w:line="288" w:before="0" w:after="240"/>
        <w:jc w:val="both"/>
        <w:rPr/>
      </w:pPr>
      <w:r>
        <w:rPr>
          <w:rFonts w:ascii="Times New Roman;sans-serif" w:hAnsi="Times New Roman;sans-serif"/>
          <w:b/>
          <w:color w:val="000000"/>
          <w:sz w:val="20"/>
        </w:rPr>
        <w:t>32.</w:t>
      </w:r>
      <w:r>
        <w:rPr>
          <w:rFonts w:ascii="Times New Roman;sans-serif" w:hAnsi="Times New Roman;sans-serif"/>
          <w:b/>
          <w:color w:val="000000"/>
          <w:sz w:val="20"/>
          <w:u w:val="single"/>
        </w:rPr>
        <w:t>No Third-Party Beneficiaries</w:t>
      </w:r>
      <w:r>
        <w:rPr>
          <w:rFonts w:ascii="Times New Roman;sans-serif" w:hAnsi="Times New Roman;sans-serif"/>
          <w:b w:val="false"/>
          <w:color w:val="000000"/>
          <w:sz w:val="20"/>
        </w:rPr>
        <w:t>. Nothing in this Agreement will confer any right, remedy or obligation upon anyone other than each Shopify Party and each Affirm Party.</w:t>
      </w:r>
    </w:p>
    <w:p>
      <w:pPr>
        <w:pStyle w:val="TextBody"/>
        <w:bidi w:val="0"/>
        <w:spacing w:lineRule="auto" w:line="288" w:before="0" w:after="240"/>
        <w:jc w:val="both"/>
        <w:rPr/>
      </w:pPr>
      <w:r>
        <w:rPr>
          <w:rFonts w:ascii="Times New Roman;sans-serif" w:hAnsi="Times New Roman;sans-serif"/>
          <w:b/>
          <w:color w:val="000000"/>
          <w:sz w:val="20"/>
        </w:rPr>
        <w:t>33.</w:t>
      </w:r>
      <w:r>
        <w:rPr>
          <w:rFonts w:ascii="Times New Roman;sans-serif" w:hAnsi="Times New Roman;sans-serif"/>
          <w:b/>
          <w:color w:val="000000"/>
          <w:sz w:val="20"/>
          <w:u w:val="single"/>
        </w:rPr>
        <w:t>Counterparts; Electronic Signature</w:t>
      </w:r>
      <w:r>
        <w:rPr>
          <w:rFonts w:ascii="Times New Roman;sans-serif" w:hAnsi="Times New Roman;sans-serif"/>
          <w:b w:val="false"/>
          <w:color w:val="000000"/>
          <w:sz w:val="20"/>
        </w:rPr>
        <w:t>. This Agreement may be executed in duplicate counterparts, each of which is deemed an original, and all of which taken together constitute one and the same instrument. For purposes of execution and delivery, each Party may rely upon the electronic (e.g., via e-mail/PDF) signature of the other Party.</w:t>
      </w:r>
    </w:p>
    <w:p>
      <w:pPr>
        <w:pStyle w:val="TextBody"/>
        <w:bidi w:val="0"/>
        <w:spacing w:lineRule="auto" w:line="288" w:before="0" w:after="240"/>
        <w:jc w:val="both"/>
        <w:rPr/>
      </w:pPr>
      <w:r>
        <w:rPr>
          <w:rFonts w:ascii="Times New Roman;sans-serif" w:hAnsi="Times New Roman;sans-serif"/>
          <w:b/>
          <w:color w:val="000000"/>
          <w:sz w:val="20"/>
        </w:rPr>
        <w:t>34.</w:t>
      </w:r>
      <w:r>
        <w:rPr>
          <w:rFonts w:ascii="Times New Roman;sans-serif" w:hAnsi="Times New Roman;sans-serif"/>
          <w:b/>
          <w:color w:val="000000"/>
          <w:sz w:val="20"/>
          <w:u w:val="single"/>
        </w:rPr>
        <w:t>Order of Precedence</w:t>
      </w:r>
      <w:r>
        <w:rPr>
          <w:rFonts w:ascii="Times New Roman;sans-serif" w:hAnsi="Times New Roman;sans-serif"/>
          <w:b w:val="false"/>
          <w:color w:val="000000"/>
          <w:sz w:val="20"/>
        </w:rPr>
        <w:t>. Unless otherwise specifically mutually agreed to in writing by the Parties, if there is any conflict or inconsistency between these Terms and Conditions or the Program Outline, such conflict or inconsistency will be resolved by giving precedence: (a) first, the Program Outline, and (b) second, to the Terms and Conditions, including its Exhibits.</w:t>
      </w:r>
    </w:p>
    <w:p>
      <w:pPr>
        <w:pStyle w:val="TextBody"/>
        <w:bidi w:val="0"/>
        <w:spacing w:lineRule="auto" w:line="288" w:before="0" w:after="240"/>
        <w:jc w:val="both"/>
        <w:rPr/>
      </w:pPr>
      <w:r>
        <w:rPr>
          <w:rFonts w:ascii="Times New Roman;sans-serif" w:hAnsi="Times New Roman;sans-serif"/>
          <w:b/>
          <w:color w:val="000000"/>
          <w:sz w:val="20"/>
        </w:rPr>
        <w:t>35.</w:t>
      </w:r>
      <w:r>
        <w:rPr>
          <w:rFonts w:ascii="Times New Roman;sans-serif" w:hAnsi="Times New Roman;sans-serif"/>
          <w:b/>
          <w:color w:val="000000"/>
          <w:sz w:val="20"/>
          <w:u w:val="single"/>
        </w:rPr>
        <w:t>Targeted Communications</w:t>
      </w:r>
      <w:r>
        <w:rPr>
          <w:rFonts w:ascii="Times New Roman;sans-serif" w:hAnsi="Times New Roman;sans-serif"/>
          <w:b w:val="false"/>
          <w:color w:val="000000"/>
          <w:sz w:val="20"/>
        </w:rPr>
        <w:t xml:space="preserve">. Unless otherwise expressly permitted under Section 14, during the term of this Agreement and for 12 months following termination or expiration of the Agreement, Affirm will not directly solicit any Merchant or Customer for any Affirm financial products or services using Merchant Information or Customer Information; provided that such prohibition shall not apply to: (a) general Affirm advertising in the ordinary course of business; (b) Affirm solicitation of Merchants for its “Affiliates” referral program as mutually agreed to by the Parties; and (c) Affirm solicitation of Merchants for its interest-bearing and/or High AOV installments products, but only until such time as such product(s) are part of the Program based on negotiation of a mutually acceptable agreement by the Parties for such product(s). Notwithstanding the foregoing, and in addition to the above, the Parties commit to support, and will work in good faith to enable growth initiatives designed to enhance the consumer brand and consumer experience of each of Shopify and Affirm, respectively. Each Party also agrees that, during the term of the Agreement and for one year following its termination or expiration, it will not seek out or induce any person who is an employee of the other Party to terminate their employment; provided that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prohibition shall not apply to general employment advertising made in the ordinary course of business that is not targeted at a specific individual.</w:t>
      </w:r>
    </w:p>
    <w:p>
      <w:pPr>
        <w:pStyle w:val="TextBody"/>
        <w:bidi w:val="0"/>
        <w:spacing w:lineRule="auto" w:line="288" w:before="0" w:after="240"/>
        <w:jc w:val="both"/>
        <w:rPr/>
      </w:pPr>
      <w:r>
        <w:rPr>
          <w:rFonts w:ascii="Times New Roman;sans-serif" w:hAnsi="Times New Roman;sans-serif"/>
          <w:b/>
          <w:color w:val="000000"/>
          <w:sz w:val="20"/>
        </w:rPr>
        <w:t>36.</w:t>
      </w:r>
      <w:r>
        <w:rPr>
          <w:rFonts w:ascii="Times New Roman;sans-serif" w:hAnsi="Times New Roman;sans-serif"/>
          <w:b/>
          <w:color w:val="000000"/>
          <w:sz w:val="20"/>
          <w:u w:val="single"/>
        </w:rPr>
        <w:t>Exclusivity; Additional Products, Services, Geographies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36.1</w:t>
      </w:r>
      <w:r>
        <w:rPr>
          <w:rFonts w:ascii="Times New Roman;sans-serif" w:hAnsi="Times New Roman;sans-serif"/>
          <w:b/>
          <w:color w:val="000000"/>
          <w:sz w:val="20"/>
        </w:rPr>
        <w:t>Exclusivity Commitment</w:t>
      </w:r>
      <w:r>
        <w:rPr>
          <w:rFonts w:ascii="Times New Roman;sans-serif" w:hAnsi="Times New Roman;sans-serif"/>
          <w:b w:val="false"/>
          <w:color w:val="000000"/>
          <w:sz w:val="20"/>
        </w:rPr>
        <w:t>. During the Term, Affirm will be the exclusive provider of the Financial Product (or any substantially similar financial product) and the Program (or any substantially similar program) in all Territories where the Parties have entered into a Territory Program Agreement (the “</w:t>
      </w:r>
      <w:r>
        <w:rPr>
          <w:rFonts w:ascii="Times New Roman;sans-serif" w:hAnsi="Times New Roman;sans-serif"/>
          <w:b/>
          <w:color w:val="000000"/>
          <w:sz w:val="20"/>
        </w:rPr>
        <w:t>Exclusivity Commitment</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36.2</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36.3</w:t>
      </w:r>
      <w:r>
        <w:rPr>
          <w:rFonts w:ascii="Times New Roman;sans-serif" w:hAnsi="Times New Roman;sans-serif"/>
          <w:b/>
          <w:color w:val="000000"/>
          <w:sz w:val="20"/>
        </w:rPr>
        <w:t>Additional Products</w:t>
      </w:r>
      <w:r>
        <w:rPr>
          <w:rFonts w:ascii="Times New Roman;sans-serif" w:hAnsi="Times New Roman;sans-serif"/>
          <w:b w:val="false"/>
          <w:color w:val="000000"/>
          <w:sz w:val="20"/>
        </w:rPr>
        <w:t>. The Parties agree that any exclusivity as to any products or service beyond the Financial Product (or any substantially similar financial product) under the Program and Agreement are contingent on the negotiation of a mutually acceptable agreement by the Parties.</w:t>
      </w:r>
    </w:p>
    <w:p>
      <w:pPr>
        <w:pStyle w:val="TextBody"/>
        <w:bidi w:val="0"/>
        <w:spacing w:lineRule="auto" w:line="288" w:before="0" w:after="240"/>
        <w:jc w:val="both"/>
        <w:rPr/>
      </w:pPr>
      <w:r>
        <w:rPr>
          <w:rFonts w:ascii="Times New Roman;sans-serif" w:hAnsi="Times New Roman;sans-serif"/>
          <w:b/>
          <w:color w:val="000000"/>
          <w:sz w:val="20"/>
        </w:rPr>
        <w:t>37.</w:t>
      </w:r>
      <w:r>
        <w:rPr>
          <w:rFonts w:ascii="Times New Roman;sans-serif" w:hAnsi="Times New Roman;sans-serif"/>
          <w:b/>
          <w:color w:val="000000"/>
          <w:sz w:val="20"/>
          <w:u w:val="single"/>
        </w:rPr>
        <w:t>Cross Border Transaction (“CBT”) Commitment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37.1</w:t>
      </w:r>
      <w:r>
        <w:rPr>
          <w:rFonts w:ascii="Times New Roman;sans-serif" w:hAnsi="Times New Roman;sans-serif"/>
          <w:b w:val="false"/>
          <w:color w:val="000000"/>
          <w:sz w:val="20"/>
        </w:rPr>
        <w:t>By or before March 31, 2026, or such other date the Parties mutually agree (the “</w:t>
      </w:r>
      <w:r>
        <w:rPr>
          <w:rFonts w:ascii="Times New Roman;sans-serif" w:hAnsi="Times New Roman;sans-serif"/>
          <w:b/>
          <w:color w:val="000000"/>
          <w:sz w:val="20"/>
        </w:rPr>
        <w:t>CBT Commitment Date</w:t>
      </w:r>
      <w:r>
        <w:rPr>
          <w:color w:val="000000"/>
        </w:rPr>
        <w:t>”</w:t>
      </w:r>
      <w:r>
        <w:rPr>
          <w:rFonts w:ascii="Times New Roman;sans-serif" w:hAnsi="Times New Roman;sans-serif"/>
          <w:b w:val="false"/>
          <w:color w:val="000000"/>
          <w:sz w:val="20"/>
        </w:rPr>
        <w:t>), Affirm will be ready to enable a cross-border transactions feature in any Territories where the Parties have entered into a Territory Program Agreement as of the CBT Requirements Date or such other Territories the Parties mutually agree (such requirement, the “</w:t>
      </w:r>
      <w:r>
        <w:rPr>
          <w:rFonts w:ascii="Times New Roman;sans-serif" w:hAnsi="Times New Roman;sans-serif"/>
          <w:b/>
          <w:color w:val="000000"/>
          <w:sz w:val="20"/>
        </w:rPr>
        <w:t>CBT Commitment</w:t>
      </w:r>
      <w:r>
        <w:rPr>
          <w:color w:val="000000"/>
        </w:rPr>
        <w:t xml:space="preserve">” </w:t>
      </w:r>
      <w:r>
        <w:rPr>
          <w:rFonts w:ascii="Times New Roman;sans-serif" w:hAnsi="Times New Roman;sans-serif"/>
          <w:b w:val="false"/>
          <w:color w:val="000000"/>
          <w:sz w:val="20"/>
        </w:rPr>
        <w:t>and such countries, the “</w:t>
      </w:r>
      <w:r>
        <w:rPr>
          <w:rFonts w:ascii="Times New Roman;sans-serif" w:hAnsi="Times New Roman;sans-serif"/>
          <w:b/>
          <w:color w:val="000000"/>
          <w:sz w:val="20"/>
        </w:rPr>
        <w:t>CBT Target Countries</w:t>
      </w:r>
      <w:r>
        <w:rPr>
          <w:color w:val="000000"/>
        </w:rPr>
        <w:t>”</w:t>
      </w:r>
      <w:r>
        <w:rPr>
          <w:rFonts w:ascii="Times New Roman;sans-serif" w:hAnsi="Times New Roman;sans-serif"/>
          <w:b w:val="false"/>
          <w:color w:val="000000"/>
          <w:sz w:val="20"/>
        </w:rPr>
        <w:t>), subject to the Parties’ mutual agreement on the CBT Requirements by or before nine (9) months prior to the CBT Commitment Date (the “</w:t>
      </w:r>
      <w:r>
        <w:rPr>
          <w:rFonts w:ascii="Times New Roman;sans-serif" w:hAnsi="Times New Roman;sans-serif"/>
          <w:b/>
          <w:color w:val="000000"/>
          <w:sz w:val="20"/>
        </w:rPr>
        <w:t>CBT Requirements Date</w:t>
      </w:r>
      <w:r>
        <w:rPr>
          <w:color w:val="000000"/>
        </w:rPr>
        <w:t>”</w:t>
      </w:r>
      <w:r>
        <w:rPr>
          <w:rFonts w:ascii="Times New Roman;sans-serif" w:hAnsi="Times New Roman;sans-serif"/>
          <w:b w:val="false"/>
          <w:color w:val="000000"/>
          <w:sz w:val="20"/>
        </w:rPr>
        <w:t>). “</w:t>
      </w:r>
      <w:r>
        <w:rPr>
          <w:rFonts w:ascii="Times New Roman;sans-serif" w:hAnsi="Times New Roman;sans-serif"/>
          <w:b/>
          <w:color w:val="000000"/>
          <w:sz w:val="20"/>
        </w:rPr>
        <w:t>CBT Requirements</w:t>
      </w:r>
      <w:r>
        <w:rPr>
          <w:color w:val="000000"/>
        </w:rPr>
        <w:t xml:space="preserve">” </w:t>
      </w:r>
      <w:r>
        <w:rPr>
          <w:rFonts w:ascii="Times New Roman;sans-serif" w:hAnsi="Times New Roman;sans-serif"/>
          <w:b w:val="false"/>
          <w:color w:val="000000"/>
          <w:sz w:val="20"/>
        </w:rPr>
        <w:t>means, unless Parties otherwise agree, with respect to the cross border feature for each CBT Target Country, (i) product requirements, (ii) fees or other financial commitments, (iii) service level agreements, and (iv) product build timelines. [***]. The “</w:t>
      </w:r>
      <w:r>
        <w:rPr>
          <w:rFonts w:ascii="Times New Roman;sans-serif" w:hAnsi="Times New Roman;sans-serif"/>
          <w:b/>
          <w:color w:val="000000"/>
          <w:sz w:val="20"/>
        </w:rPr>
        <w:t>CBT Delay Fee</w:t>
      </w:r>
      <w:r>
        <w:rPr>
          <w:color w:val="000000"/>
        </w:rPr>
        <w:t xml:space="preserve">” </w:t>
      </w:r>
      <w:r>
        <w:rPr>
          <w:rFonts w:ascii="Times New Roman;sans-serif" w:hAnsi="Times New Roman;sans-serif"/>
          <w:b w:val="false"/>
          <w:color w:val="000000"/>
          <w:sz w:val="20"/>
        </w:rPr>
        <w:t>means [***]. To the extent Affirm fulfills the CBT Commitment on a date other than the end of a thirty day period, the CBT Delay Fee will be a pro rata amount.</w:t>
      </w:r>
    </w:p>
    <w:p>
      <w:pPr>
        <w:pStyle w:val="TextBody"/>
        <w:bidi w:val="0"/>
        <w:spacing w:lineRule="auto" w:line="288" w:before="0" w:after="240"/>
        <w:jc w:val="both"/>
        <w:rPr/>
      </w:pPr>
      <w:r>
        <w:rPr>
          <w:rFonts w:ascii="Times New Roman;sans-serif" w:hAnsi="Times New Roman;sans-serif"/>
          <w:b/>
          <w:color w:val="000000"/>
          <w:sz w:val="20"/>
        </w:rPr>
        <w:t>38.</w:t>
      </w:r>
      <w:r>
        <w:rPr>
          <w:rFonts w:ascii="Times New Roman;sans-serif" w:hAnsi="Times New Roman;sans-serif"/>
          <w:b/>
          <w:color w:val="000000"/>
          <w:sz w:val="20"/>
          <w:u w:val="single"/>
        </w:rPr>
        <w:t>Non-Exclusive</w:t>
      </w:r>
      <w:r>
        <w:rPr>
          <w:rFonts w:ascii="Times New Roman;sans-serif" w:hAnsi="Times New Roman;sans-serif"/>
          <w:b w:val="false"/>
          <w:color w:val="000000"/>
          <w:sz w:val="20"/>
        </w:rPr>
        <w:t>. Except as specifically set forth in Section 36 (Exclusivity; Additional Products, Services, Geographies), above, each Party acknowledges and agrees that the rights granted to and obligations due to the other Party in this Agreement are intended to be non-exclusive, and therefore that nothing in this Agreement will be deemed or construed to prohibit either Party from engaging in or participating itself or with one or more third parties in business arrangements similar to or competitive with those described herein.</w:t>
      </w:r>
    </w:p>
    <w:p>
      <w:pPr>
        <w:pStyle w:val="TextBody"/>
        <w:bidi w:val="0"/>
        <w:spacing w:lineRule="auto" w:line="288" w:before="0" w:after="240"/>
        <w:jc w:val="both"/>
        <w:rPr/>
      </w:pPr>
      <w:r>
        <w:rPr>
          <w:rFonts w:ascii="Times New Roman;sans-serif" w:hAnsi="Times New Roman;sans-serif"/>
          <w:b/>
          <w:color w:val="000000"/>
          <w:sz w:val="20"/>
        </w:rPr>
        <w:t>39.</w:t>
      </w:r>
      <w:r>
        <w:rPr>
          <w:rFonts w:ascii="Times New Roman;sans-serif" w:hAnsi="Times New Roman;sans-serif"/>
          <w:b/>
          <w:color w:val="000000"/>
          <w:sz w:val="20"/>
          <w:u w:val="single"/>
        </w:rPr>
        <w:t>Subcontractors</w:t>
      </w:r>
      <w:r>
        <w:rPr>
          <w:rFonts w:ascii="Times New Roman;sans-serif" w:hAnsi="Times New Roman;sans-serif"/>
          <w:b w:val="false"/>
          <w:color w:val="000000"/>
          <w:sz w:val="20"/>
        </w:rPr>
        <w:t xml:space="preserve">. Each Party may use subcontractors in the performance of its obligations under the Program, provided that each Party shall be fully responsible for the acts and omissions of its subcontractors, including its subcontractors’ compliance with the terms of the Agreement and all applicable laws. Upon reasonable request, each Party will provide the other Party with a list of critical subcontractors used by such Party in support of the Program. </w:t>
      </w:r>
    </w:p>
    <w:p>
      <w:pPr>
        <w:pStyle w:val="TextBody"/>
        <w:bidi w:val="0"/>
        <w:spacing w:lineRule="auto" w:line="288" w:before="0" w:after="240"/>
        <w:jc w:val="both"/>
        <w:rPr/>
      </w:pPr>
      <w:r>
        <w:rPr>
          <w:rFonts w:ascii="Times New Roman;sans-serif" w:hAnsi="Times New Roman;sans-serif"/>
          <w:b/>
          <w:color w:val="000000"/>
          <w:sz w:val="20"/>
        </w:rPr>
        <w:t>40.</w:t>
      </w:r>
      <w:r>
        <w:rPr>
          <w:rFonts w:ascii="Times New Roman;sans-serif" w:hAnsi="Times New Roman;sans-serif"/>
          <w:b/>
          <w:color w:val="000000"/>
          <w:sz w:val="20"/>
          <w:u w:val="single"/>
        </w:rPr>
        <w:t>Entire Agreement</w:t>
      </w:r>
      <w:r>
        <w:rPr>
          <w:rFonts w:ascii="Times New Roman;sans-serif" w:hAnsi="Times New Roman;sans-serif"/>
          <w:b w:val="false"/>
          <w:color w:val="000000"/>
          <w:sz w:val="20"/>
        </w:rPr>
        <w:t>. This Agreement, including any attached exhibits, schedules, appendices, and addenda, constitutes the entire agreement between the Parties and supersedes all prior agreements, understandings, and arrangements, oral or written, between the Parties with respect to the subject matter hereof including, without limitation, the A&amp;R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00000"/>
          <w:sz w:val="20"/>
          <w:u w:val="single"/>
        </w:rPr>
        <w:t>EXHIBIT C</w:t>
      </w:r>
      <w:r>
        <w:rPr>
          <w:color w:val="000000"/>
        </w:rPr>
        <w:t xml:space="preserve"> </w:t>
      </w:r>
      <w:r>
        <w:rPr>
          <w:rFonts w:ascii="Times New Roman;sans-serif" w:hAnsi="Times New Roman;sans-serif"/>
          <w:b/>
          <w:color w:val="000000"/>
          <w:sz w:val="20"/>
        </w:rPr>
        <w:br/>
        <w:t>PROGRAM OUTLINES</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agree that upon the execution and delivery of a Territory Program Agreement by an Affirm Party and a Shopify Party in connection with expanding the Program to a new territory or country, such (i) Affirm Affiliate and all references to “Affirm” in the applicable Program Outlines attached hereto will be deemed to reference such Affirm Affiliate as the context requires, in each case solely with respect to its participation in the Program specified in the Territory Program Agreement and its actions, inactions and omissions on its own behalf conducted under this Program Outline and (ii) Shopify Affiliate will become a party to such Program Outline and all references to “Shopify” in such Program Outline will be deemed to reference such Shopify Affiliate as the context requires, in each case solely with respect to its participation in the Program specified in the applicable Territory Program Agreement and its actions, inactions and omissions on its own behalf conducted under such Program Outline. Termination by a Shopify Affiliate or Affirm Affiliate of its participation in a Program Outline will not automatically result in termination of a Program Outline with any other Shopify Party or Affirm Party, respectively.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to (i) “Shopify” or a particular “Shopify Party” in this Program Outline will refer to and only apply to that certain Shopify Party’s participation in the Program, or exercising rights, performing obligations or making representations and warranties under this Program Outline or (ii) “Affirm” or a particular “Affirm Party” in this Program Outline will refer to and only apply to that certain Affirm Party’s participation in the Program, or exercising rights, performing obligations or making representations and warranties under this Program Outline. No Shopify Party is liable for the performance or obligations of any other Shopify Party under a Program Outline and no Affirm Party is liable for the performance or obligations of any other Affirm Party under a Program Outline. For the avoidance of doubt, each Program Outline shall constitute a separate agreement between the applicable Affirm Party and Shopify Party, and no expiration, termination or breach of any Program Outline shall constitute an expiration, termination or breach, or otherwise affect in any manner, any other Program Outline. The parties executing the applicable Program Outline shall be solely responsible for all of the liabilities and obligations under this Program Outline as they relate to such Program Outline.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Program Outline describes the Program to be incorporated into the Agreement as applicable to the corresponding Affirm Party and Shopify Party that execute the governing Territory Program Agreement in the applicable Territory set forth in the Territory Program.</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C -1 </w:t>
        <w:br/>
        <w:t>PROGRAM OUTLINE 1</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Low AOV</w:t>
      </w:r>
    </w:p>
    <w:p>
      <w:pPr>
        <w:pStyle w:val="TextBody"/>
        <w:bidi w:val="0"/>
        <w:spacing w:lineRule="auto" w:line="288" w:before="0" w:after="24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Program Description</w:t>
      </w:r>
      <w:r>
        <w:rPr>
          <w:rFonts w:ascii="Times New Roman;sans-serif" w:hAnsi="Times New Roman;sans-serif"/>
          <w:b w:val="false"/>
          <w:color w:val="000000"/>
          <w:sz w:val="20"/>
        </w:rPr>
        <w:t>. The Program will be offered only in the [***]. The Financial Product associated with the Program (“</w:t>
      </w:r>
      <w:r>
        <w:rPr>
          <w:rFonts w:ascii="Times New Roman;sans-serif" w:hAnsi="Times New Roman;sans-serif"/>
          <w:b/>
          <w:color w:val="000000"/>
          <w:sz w:val="20"/>
        </w:rPr>
        <w:t>Low AOV Product</w:t>
      </w:r>
      <w:r>
        <w:rPr>
          <w:color w:val="000000"/>
        </w:rPr>
        <w:t>”</w:t>
      </w:r>
      <w:r>
        <w:rPr>
          <w:rFonts w:ascii="Times New Roman;sans-serif" w:hAnsi="Times New Roman;sans-serif"/>
          <w:b w:val="false"/>
          <w:color w:val="000000"/>
          <w:sz w:val="20"/>
        </w:rPr>
        <w:t xml:space="preserve">) shall be a closed-end installment loan product that will bear an interest rate of [***], will have no Customer fees of any kind (including late fees), and will have a repayment term and cart sizes as set forth in the applicable Territory Program Agreement. Notwithstanding Section 5.1 of the Terms, for purposes of this Program Outline, Affirm, its affiliates or its bank partner(s) (as applicable) is responsible for determining and modifying underwriting criteria in its sole discretion in compliance with Applicable Laws. </w:t>
      </w:r>
    </w:p>
    <w:p>
      <w:pPr>
        <w:pStyle w:val="TextBody"/>
        <w:bidi w:val="0"/>
        <w:spacing w:lineRule="auto" w:line="288" w:before="0" w:after="240"/>
        <w:jc w:val="both"/>
        <w:rPr/>
      </w:pPr>
      <w:r>
        <w:rPr>
          <w:rFonts w:ascii="Times New Roman;sans-serif" w:hAnsi="Times New Roman;sans-serif"/>
          <w:b/>
          <w:color w:val="000000"/>
          <w:sz w:val="20"/>
        </w:rPr>
        <w:t>2.</w:t>
      </w:r>
      <w:r>
        <w:rPr>
          <w:rFonts w:ascii="Times New Roman;sans-serif" w:hAnsi="Times New Roman;sans-serif"/>
          <w:b/>
          <w:color w:val="000000"/>
          <w:sz w:val="20"/>
          <w:u w:val="single"/>
        </w:rPr>
        <w:t>Fraud Tools</w:t>
      </w:r>
      <w:r>
        <w:rPr>
          <w:rFonts w:ascii="Times New Roman;sans-serif" w:hAnsi="Times New Roman;sans-serif"/>
          <w:b w:val="false"/>
          <w:color w:val="000000"/>
          <w:sz w:val="20"/>
        </w:rPr>
        <w:t>. As a condition to launching the Alpha Phase and for the General Phase, at a minimum, Shopify will (a) ensure that the following Fraud Tools as set forth in more detail in Exhibit A to the Terms are implemented and continue to remain available during the Term: To the extent [***]. that any of the Fraud Tools set forth herein are not necessary in a Territory as directed by Affirm and mutually agreed to by the Parties, then that Fraud Tool will not apply. If there is a Fraud Tool that is required by Affirm’s fraud risk process in a specific Territory, then Affirm will communicate the necessary tool to Shopify and Shopify will use commercially reasonable efforts to enable it.</w:t>
      </w:r>
    </w:p>
    <w:p>
      <w:pPr>
        <w:pStyle w:val="TextBody"/>
        <w:bidi w:val="0"/>
        <w:spacing w:lineRule="auto" w:line="288" w:before="0" w:after="24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Product Construct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Notwithstanding any provisions to the contrary in the Agreement, the Parties have agreed to the following “</w:t>
      </w:r>
      <w:r>
        <w:rPr>
          <w:rFonts w:ascii="Times New Roman;sans-serif" w:hAnsi="Times New Roman;sans-serif"/>
          <w:b/>
          <w:color w:val="000000"/>
          <w:sz w:val="20"/>
        </w:rPr>
        <w:t>Product Construct</w:t>
      </w:r>
      <w:r>
        <w:rPr>
          <w:color w:val="000000"/>
        </w:rPr>
        <w:t xml:space="preserve">” </w:t>
      </w:r>
      <w:r>
        <w:rPr>
          <w:rFonts w:ascii="Times New Roman;sans-serif" w:hAnsi="Times New Roman;sans-serif"/>
          <w:b w:val="false"/>
          <w:color w:val="000000"/>
          <w:sz w:val="20"/>
        </w:rPr>
        <w:t xml:space="preserve">for the Low AOV Product: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Once Affirm has finalized Customer Agreements, Shopify shall [***] and render as a payment option for Customers within Shop Pay [***] to be called a mutually agreed upon Program name. In the event a Customer selects the Program option to pay for goods or services, it shall be directed [***] for the [***]. Shopify is responsible to [***] and to [***]. Failure by Shopify to meet its obligation as to the Customer Agreements will subject it to penalties as agreed by the Parties. In addition, Affirm shall have the right to [***].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Customer electronic mail (“</w:t>
      </w:r>
      <w:r>
        <w:rPr>
          <w:rFonts w:ascii="Times New Roman;sans-serif" w:hAnsi="Times New Roman;sans-serif"/>
          <w:b/>
          <w:color w:val="000000"/>
          <w:sz w:val="20"/>
        </w:rPr>
        <w:t>email</w:t>
      </w:r>
      <w:r>
        <w:rPr>
          <w:color w:val="000000"/>
        </w:rPr>
        <w:t>”</w:t>
      </w:r>
      <w:r>
        <w:rPr>
          <w:rFonts w:ascii="Times New Roman;sans-serif" w:hAnsi="Times New Roman;sans-serif"/>
          <w:b w:val="false"/>
          <w:color w:val="000000"/>
          <w:sz w:val="20"/>
        </w:rPr>
        <w:t xml:space="preserve">) and SMS text communications regarding the terms or repayments of the Financial Product shall be sent [***] with mutually agreed upon Shop Pay branding with a link out to the Shop mobile app and from the “[***]” email address (or such other email address mutually agreed to by the Parties) with “Shop Pay” as the sender; provided, however, that correspondence relating to individual Customer inquiries or issues will not be subject to [***].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As to all other communications to Customers, including but not limited to,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With respect to the post-purchase user/Customer portal the Parties agree to [***]. Shopify is responsible [***]. The Parties agree [***] to optimize the Customer’s user experience for the Financial Product as set forth in Section 14.4 of the Agreement. </w:t>
      </w:r>
    </w:p>
    <w:p>
      <w:pPr>
        <w:pStyle w:val="TextBody"/>
        <w:bidi w:val="0"/>
        <w:spacing w:lineRule="auto" w:line="288" w:before="0" w:after="240"/>
        <w:jc w:val="both"/>
        <w:rPr/>
      </w:pPr>
      <w:r>
        <w:rPr>
          <w:rFonts w:ascii="Times New Roman;sans-serif" w:hAnsi="Times New Roman;sans-serif"/>
          <w:b/>
          <w:color w:val="000000"/>
          <w:sz w:val="20"/>
        </w:rPr>
        <w:t>4.</w:t>
      </w:r>
      <w:r>
        <w:rPr>
          <w:rFonts w:ascii="Times New Roman;sans-serif" w:hAnsi="Times New Roman;sans-serif"/>
          <w:b/>
          <w:color w:val="000000"/>
          <w:sz w:val="20"/>
          <w:u w:val="single"/>
        </w:rPr>
        <w:t>Launch</w:t>
      </w:r>
      <w:r>
        <w:rPr>
          <w:rFonts w:ascii="Times New Roman;sans-serif" w:hAnsi="Times New Roman;sans-serif"/>
          <w:b w:val="false"/>
          <w:color w:val="000000"/>
          <w:sz w:val="20"/>
        </w:rPr>
        <w:t>. Unless a TPA specifies otherwise, the Parties will launch the Low AOV Product on the Platform in the Territory in three (3) phases: (i) with [***] Eligible Merchants (or such other mutually agreed to amount) (“</w:t>
      </w:r>
      <w:r>
        <w:rPr>
          <w:rFonts w:ascii="Times New Roman;sans-serif" w:hAnsi="Times New Roman;sans-serif"/>
          <w:b/>
          <w:color w:val="000000"/>
          <w:sz w:val="20"/>
        </w:rPr>
        <w:t>Alpha Phase</w:t>
      </w:r>
      <w:r>
        <w:rPr>
          <w:color w:val="000000"/>
        </w:rPr>
        <w:t>”</w:t>
      </w:r>
      <w:r>
        <w:rPr>
          <w:rFonts w:ascii="Times New Roman;sans-serif" w:hAnsi="Times New Roman;sans-serif"/>
          <w:b w:val="false"/>
          <w:color w:val="000000"/>
          <w:sz w:val="20"/>
        </w:rPr>
        <w:t>) and launched by the Launch Date, or such other mutually agreed to date; (ii) promptly following the Alpha Phase, with [***] (or such other mutually agreed to amount) on its Platform (the “</w:t>
      </w:r>
      <w:r>
        <w:rPr>
          <w:rFonts w:ascii="Times New Roman;sans-serif" w:hAnsi="Times New Roman;sans-serif"/>
          <w:b/>
          <w:color w:val="000000"/>
          <w:sz w:val="20"/>
        </w:rPr>
        <w:t>Limited Release Phase</w:t>
      </w:r>
      <w:r>
        <w:rPr>
          <w:color w:val="000000"/>
        </w:rPr>
        <w:t>”</w:t>
      </w:r>
      <w:r>
        <w:rPr>
          <w:rFonts w:ascii="Times New Roman;sans-serif" w:hAnsi="Times New Roman;sans-serif"/>
          <w:b w:val="false"/>
          <w:color w:val="000000"/>
          <w:sz w:val="20"/>
        </w:rPr>
        <w:t>); and (iii) all Eligible Merchants on its Platform on a mutually agreed to date (“</w:t>
      </w:r>
      <w:r>
        <w:rPr>
          <w:rFonts w:ascii="Times New Roman;sans-serif" w:hAnsi="Times New Roman;sans-serif"/>
          <w:b/>
          <w:color w:val="000000"/>
          <w:sz w:val="20"/>
        </w:rPr>
        <w:t>GA Phas</w:t>
      </w:r>
      <w:r>
        <w:rPr>
          <w:rFonts w:ascii="Times New Roman;sans-serif" w:hAnsi="Times New Roman;sans-serif"/>
          <w:b w:val="false"/>
          <w:color w:val="000000"/>
          <w:sz w:val="20"/>
        </w:rPr>
        <w:t xml:space="preserve">e”). Prior to the launch of the Low AOV Product with each potential Eligible Merchant, Shopify shall cause such Merchant to enter into a Merchant Agreement for the applicable Territory which Merchant Agreement shall be substantially in the form set forth in the Territory Program Agreement, between Affirm and such Merchant. </w:t>
      </w:r>
    </w:p>
    <w:p>
      <w:pPr>
        <w:pStyle w:val="TextBody"/>
        <w:bidi w:val="0"/>
        <w:spacing w:lineRule="auto" w:line="288" w:before="0" w:after="240"/>
        <w:jc w:val="both"/>
        <w:rPr/>
      </w:pPr>
      <w:r>
        <w:rPr>
          <w:rFonts w:ascii="Times New Roman;sans-serif" w:hAnsi="Times New Roman;sans-serif"/>
          <w:b/>
          <w:color w:val="000000"/>
          <w:sz w:val="20"/>
        </w:rPr>
        <w:t>5.</w:t>
      </w:r>
      <w:r>
        <w:rPr>
          <w:rFonts w:ascii="Times New Roman;sans-serif" w:hAnsi="Times New Roman;sans-serif"/>
          <w:b/>
          <w:color w:val="000000"/>
          <w:sz w:val="20"/>
          <w:u w:val="single"/>
        </w:rPr>
        <w:t>Merchant Engagement and Marketing</w:t>
      </w:r>
      <w:r>
        <w:rPr>
          <w:rFonts w:ascii="Times New Roman;sans-serif" w:hAnsi="Times New Roman;sans-serif"/>
          <w:b w:val="false"/>
          <w:color w:val="000000"/>
          <w:sz w:val="20"/>
        </w:rPr>
        <w:t xml:space="preserve">. With respect to Merchant engagement and marketing, Shopify agrees to: (i) [***]; (ii) to use [***]; (iii) to use [***]; (iv) work with Affirm in good faith to develop a marketing plan for the Program; and (v) work with Affirm in good faith to drive repeat purchases for the program.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0"/>
        </w:rPr>
        <w:t>6.</w:t>
      </w:r>
      <w:r>
        <w:rPr>
          <w:rFonts w:ascii="Times New Roman;sans-serif" w:hAnsi="Times New Roman;sans-serif"/>
          <w:b/>
          <w:color w:val="000000"/>
          <w:sz w:val="20"/>
          <w:u w:val="single"/>
        </w:rPr>
        <w:t>Low AOV Product Placement</w:t>
      </w:r>
      <w:r>
        <w:rPr>
          <w:rFonts w:ascii="Times New Roman;sans-serif" w:hAnsi="Times New Roman;sans-serif"/>
          <w:b w:val="false"/>
          <w:color w:val="000000"/>
          <w:sz w:val="20"/>
        </w:rPr>
        <w:t>. Shopify agrees to consult with Affirm on best practices for product placement of the Low AOV Product and to suggest, if applicable, product placement to Eligible Merchants on home page, product page, cart page, and checkout. Notwithstanding the preceding sentence, product placement shall ultimately be determined in Shopify’s and its Merchants’ discretion.</w:t>
      </w:r>
    </w:p>
    <w:p>
      <w:pPr>
        <w:pStyle w:val="TextBody"/>
        <w:bidi w:val="0"/>
        <w:spacing w:lineRule="auto" w:line="288" w:before="0" w:after="240"/>
        <w:jc w:val="both"/>
        <w:rPr/>
      </w:pPr>
      <w:r>
        <w:rPr>
          <w:rFonts w:ascii="Times New Roman;sans-serif" w:hAnsi="Times New Roman;sans-serif"/>
          <w:b/>
          <w:color w:val="000000"/>
          <w:sz w:val="20"/>
        </w:rPr>
        <w:t>7.</w:t>
      </w:r>
      <w:r>
        <w:rPr>
          <w:rFonts w:ascii="Times New Roman;sans-serif" w:hAnsi="Times New Roman;sans-serif"/>
          <w:b/>
          <w:color w:val="000000"/>
          <w:sz w:val="20"/>
          <w:u w:val="single"/>
        </w:rPr>
        <w:t>Merchant Fees and Payout</w:t>
      </w:r>
      <w:r>
        <w:rPr>
          <w:rFonts w:ascii="Times New Roman;sans-serif" w:hAnsi="Times New Roman;sans-serif"/>
          <w:b/>
          <w:color w:val="000000"/>
          <w:sz w:val="20"/>
        </w:rPr>
        <w:t>.</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Merchant Fees</w:t>
      </w:r>
      <w:r>
        <w:rPr>
          <w:rFonts w:ascii="Times New Roman;sans-serif" w:hAnsi="Times New Roman;sans-serif"/>
          <w:b w:val="false"/>
          <w:color w:val="000000"/>
          <w:sz w:val="20"/>
        </w:rPr>
        <w:t>. Each [***] shall pay fees to Affirm as set forth in the applicable Merchant Agreement and as determined by Shopify. Generally, fees to be paid by an Eligible Merchant to Affirm (“</w:t>
      </w:r>
      <w:r>
        <w:rPr>
          <w:rFonts w:ascii="Times New Roman;sans-serif" w:hAnsi="Times New Roman;sans-serif"/>
          <w:b/>
          <w:color w:val="000000"/>
          <w:sz w:val="20"/>
        </w:rPr>
        <w:t>Merchant Fees</w:t>
      </w:r>
      <w:r>
        <w:rPr>
          <w:color w:val="000000"/>
        </w:rPr>
        <w:t>”</w:t>
      </w:r>
      <w:r>
        <w:rPr>
          <w:rFonts w:ascii="Times New Roman;sans-serif" w:hAnsi="Times New Roman;sans-serif"/>
          <w:b w:val="false"/>
          <w:color w:val="000000"/>
          <w:sz w:val="20"/>
        </w:rPr>
        <w:t>) shall equal the sum of (i) a percentage of the [***] amount (including [***] made by a Customer at the time of purchase) of each sale approved by Affirm and captured by an Eligible Merchant (each, a “</w:t>
      </w:r>
      <w:r>
        <w:rPr>
          <w:rFonts w:ascii="Times New Roman;sans-serif" w:hAnsi="Times New Roman;sans-serif"/>
          <w:b/>
          <w:color w:val="000000"/>
          <w:sz w:val="20"/>
        </w:rPr>
        <w:t>Successful Transaction</w:t>
      </w:r>
      <w:r>
        <w:rPr>
          <w:color w:val="000000"/>
        </w:rPr>
        <w:t>”</w:t>
      </w:r>
      <w:r>
        <w:rPr>
          <w:rFonts w:ascii="Times New Roman;sans-serif" w:hAnsi="Times New Roman;sans-serif"/>
          <w:b w:val="false"/>
          <w:color w:val="000000"/>
          <w:sz w:val="20"/>
        </w:rPr>
        <w:t>), plus (ii) a transaction fee per Successful Transaction as set forth in the applicable Territory Program Agreement, in each case, in accordance with the applicable Merchant Agreement. The [***] Merchant Fees that may be offered to a Merchant are set forth in the applicable Territory Program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Payouts to Eligible Merchants</w:t>
      </w:r>
      <w:r>
        <w:rPr>
          <w:rFonts w:ascii="Times New Roman;sans-serif" w:hAnsi="Times New Roman;sans-serif"/>
          <w:b w:val="false"/>
          <w:color w:val="000000"/>
          <w:sz w:val="20"/>
        </w:rPr>
        <w:t>. Payouts will be as set forth in each applicable Territory Program Agreement.</w:t>
      </w:r>
    </w:p>
    <w:p>
      <w:pPr>
        <w:pStyle w:val="TextBody"/>
        <w:bidi w:val="0"/>
        <w:spacing w:lineRule="auto" w:line="288" w:before="0" w:after="240"/>
        <w:jc w:val="both"/>
        <w:rPr/>
      </w:pPr>
      <w:r>
        <w:rPr>
          <w:rFonts w:ascii="Times New Roman;sans-serif" w:hAnsi="Times New Roman;sans-serif"/>
          <w:b/>
          <w:color w:val="000000"/>
          <w:sz w:val="20"/>
        </w:rPr>
        <w:t>8.</w:t>
      </w:r>
      <w:r>
        <w:rPr>
          <w:rFonts w:ascii="Times New Roman;sans-serif" w:hAnsi="Times New Roman;sans-serif"/>
          <w:b/>
          <w:color w:val="000000"/>
          <w:sz w:val="20"/>
          <w:u w:val="single"/>
        </w:rPr>
        <w:t>Shopify Fees and Payout</w:t>
      </w:r>
      <w:r>
        <w:rPr>
          <w:rFonts w:ascii="Times New Roman;sans-serif" w:hAnsi="Times New Roman;sans-serif"/>
          <w:b/>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Shopify Fees</w:t>
      </w:r>
      <w:r>
        <w:rPr>
          <w:rFonts w:ascii="Times New Roman;sans-serif" w:hAnsi="Times New Roman;sans-serif"/>
          <w:b w:val="false"/>
          <w:color w:val="000000"/>
          <w:sz w:val="20"/>
        </w:rPr>
        <w:t>. With respect to each Successful Transaction, Affirm shall pay to Shopify a fee (“</w:t>
      </w:r>
      <w:r>
        <w:rPr>
          <w:rFonts w:ascii="Times New Roman;sans-serif" w:hAnsi="Times New Roman;sans-serif"/>
          <w:b/>
          <w:color w:val="000000"/>
          <w:sz w:val="20"/>
        </w:rPr>
        <w:t>Shopify Fee</w:t>
      </w:r>
      <w:r>
        <w:rPr>
          <w:color w:val="000000"/>
        </w:rPr>
        <w:t>”</w:t>
      </w:r>
      <w:r>
        <w:rPr>
          <w:rFonts w:ascii="Times New Roman;sans-serif" w:hAnsi="Times New Roman;sans-serif"/>
          <w:b w:val="false"/>
          <w:color w:val="000000"/>
          <w:sz w:val="20"/>
        </w:rPr>
        <w:t>) equal to (i) the [***] amount of such Successful Transaction multiplied by (ii) the applicable [***] (based on the tier of Merchant Fee paid by the Merchant in connection with such Successful Transaction) set forth in the Territory Program Agreement. With respect to each Merchant, the Shopify Fee shall not be duplicative of any commissions, revenue sharing or other fees due from Affirm to Shopify under any other agreements.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Payouts to Shopify</w:t>
      </w:r>
      <w:r>
        <w:rPr>
          <w:rFonts w:ascii="Times New Roman;sans-serif" w:hAnsi="Times New Roman;sans-serif"/>
          <w:b w:val="false"/>
          <w:color w:val="000000"/>
          <w:sz w:val="20"/>
        </w:rPr>
        <w:t>. No later than [***] following the end of [***], Affirm shall transfer, in the Territory’s local currency or currency as mutually agreed to by the Parties via wire transfer or other agreed to method, to Shopify’s local Territory bank account (the “</w:t>
      </w:r>
      <w:r>
        <w:rPr>
          <w:rFonts w:ascii="Times New Roman;sans-serif" w:hAnsi="Times New Roman;sans-serif"/>
          <w:b/>
          <w:color w:val="000000"/>
          <w:sz w:val="20"/>
        </w:rPr>
        <w:t>Shopify Account</w:t>
      </w:r>
      <w:r>
        <w:rPr>
          <w:color w:val="000000"/>
        </w:rPr>
        <w:t>”</w:t>
      </w:r>
      <w:r>
        <w:rPr>
          <w:rFonts w:ascii="Times New Roman;sans-serif" w:hAnsi="Times New Roman;sans-serif"/>
          <w:b w:val="false"/>
          <w:color w:val="000000"/>
          <w:sz w:val="20"/>
        </w:rPr>
        <w:t>) the aggregate amount of Shopify Fees due for such calendar month. [***]. [***]. Affirm shall also provide Shopify with a statement accompanying each payment, detailing the amount of the Shopify Fees due to Shopify for the applicable month, [***] as to be mutually agreed by Parties, in sufficient detail to permit Shopify to validate the amount of such payment. To validate revenue earned by Shopify on a monthly basis, payouts to Shopify shall be accompanied by a report that contains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color w:val="000000"/>
          <w:sz w:val="20"/>
        </w:rPr>
        <w:t>Payment Processing</w:t>
      </w:r>
      <w:r>
        <w:rPr>
          <w:rFonts w:ascii="Times New Roman;sans-serif" w:hAnsi="Times New Roman;sans-serif"/>
          <w:b w:val="false"/>
          <w:color w:val="000000"/>
          <w:sz w:val="20"/>
        </w:rPr>
        <w:t>. Shopify shall pay for Program payments processing for the Low AOV Product as set forth in the Territory Program Agreement.</w:t>
      </w:r>
    </w:p>
    <w:p>
      <w:pPr>
        <w:pStyle w:val="TextBody"/>
        <w:bidi w:val="0"/>
        <w:spacing w:lineRule="auto" w:line="288" w:before="0" w:after="240"/>
        <w:jc w:val="both"/>
        <w:rPr/>
      </w:pPr>
      <w:r>
        <w:rPr>
          <w:rFonts w:ascii="Times New Roman;sans-serif" w:hAnsi="Times New Roman;sans-serif"/>
          <w:b/>
          <w:color w:val="000000"/>
          <w:sz w:val="20"/>
        </w:rPr>
        <w:t>9.</w:t>
      </w:r>
      <w:r>
        <w:rPr>
          <w:rFonts w:ascii="Times New Roman;sans-serif" w:hAnsi="Times New Roman;sans-serif"/>
          <w:b/>
          <w:color w:val="000000"/>
          <w:sz w:val="20"/>
          <w:u w:val="single"/>
        </w:rPr>
        <w:t>Customer Installment Program Delay</w:t>
      </w:r>
      <w:r>
        <w:rPr>
          <w:rFonts w:ascii="Times New Roman;sans-serif" w:hAnsi="Times New Roman;sans-serif"/>
          <w:b w:val="false"/>
          <w:color w:val="000000"/>
          <w:sz w:val="20"/>
        </w:rPr>
        <w:t>. The Parties will use reasonable efforts to launch the Alpha Phase of the Low AOV Product no later than a date to be mutually agreed to by the Parties (the “</w:t>
      </w:r>
      <w:r>
        <w:rPr>
          <w:rFonts w:ascii="Times New Roman;sans-serif" w:hAnsi="Times New Roman;sans-serif"/>
          <w:b/>
          <w:color w:val="000000"/>
          <w:sz w:val="20"/>
        </w:rPr>
        <w:t>Launch Date</w:t>
      </w:r>
      <w:r>
        <w:rPr>
          <w:color w:val="000000"/>
        </w:rPr>
        <w:t>”</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color w:val="000000"/>
          <w:sz w:val="20"/>
        </w:rPr>
        <w:t>10.</w:t>
      </w:r>
      <w:r>
        <w:rPr>
          <w:rFonts w:ascii="Times New Roman;sans-serif" w:hAnsi="Times New Roman;sans-serif"/>
          <w:b/>
          <w:color w:val="000000"/>
          <w:sz w:val="20"/>
          <w:u w:val="single"/>
        </w:rPr>
        <w:t>[***]</w:t>
      </w:r>
      <w:r>
        <w:rPr>
          <w:rFonts w:ascii="Times New Roman;sans-serif" w:hAnsi="Times New Roman;sans-serif"/>
          <w:b w:val="false"/>
          <w:color w:val="000000"/>
          <w:sz w:val="20"/>
        </w:rPr>
        <w:t>. Upon the Alpha Phase launch date, [***]. Additionally, while each Party retains [***], upon the Alpha Phase launch, [***] (the “[***]”). [***]. Affirm shall provide Shopify with guidance around existing workflows, processes and requirements; and Shopify [***]. As applicable, [***]. Shopify agrees in good faith to notify Affirm in advance of any material changes to [***] that [***], and to consult with Affirm about such changes. Eligible Merchants are [***]. [***] set forth in Affirm’s Risk Approval Process. If Affirm [***], Shopify will promptly (but no later than [***] following [***]) [***]. In addition, Affirm shall have the right to [***].</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0"/>
        </w:rPr>
        <w:t>11.</w:t>
      </w:r>
      <w:r>
        <w:rPr>
          <w:rFonts w:ascii="Times New Roman;sans-serif" w:hAnsi="Times New Roman;sans-serif"/>
          <w:b/>
          <w:color w:val="000000"/>
          <w:sz w:val="20"/>
          <w:u w:val="single"/>
        </w:rPr>
        <w:t>Affirm Application Programming Interface (“Affirm API”)</w:t>
      </w:r>
      <w:r>
        <w:rPr>
          <w:rFonts w:ascii="Times New Roman;sans-serif" w:hAnsi="Times New Roman;sans-serif"/>
          <w:b w:val="false"/>
          <w:color w:val="000000"/>
          <w:sz w:val="20"/>
        </w:rPr>
        <w:t>. Affirm shall develop software that allows the Platform to communicate automatically via the Affirm APIs with the Platform for the purpose of initiating Applications and otherwise supporting the Low AOV Product, and Affirm will disclose the portion of the Affirm APIs to Shopify necessary for Shopify to allow its Platform to integrate with the Affirm API. The Affirm API and all modifications, enhancements and derivative works thereof, and all documentation and specifications related thereto, shall be deemed Affirm Pre-Existing IP.</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0"/>
        </w:rPr>
        <w:t>12.</w:t>
      </w:r>
      <w:r>
        <w:rPr>
          <w:rFonts w:ascii="Times New Roman;sans-serif" w:hAnsi="Times New Roman;sans-serif"/>
          <w:b/>
          <w:color w:val="000000"/>
          <w:sz w:val="20"/>
          <w:u w:val="single"/>
        </w:rPr>
        <w:t>Reports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Affirm shall deliver to Shopify on a [***] basis, or on such basis as mutually agreed upon by the Parties, a [***]. Shopify shall deliver to Affirm on a [***] basis, or on such basis as mutually agreed upon by the Parties, a [***]. The form of [***] shall be [***].</w:t>
      </w:r>
      <w:r>
        <w:rPr>
          <w:color w:val="000000"/>
        </w:rPr>
        <w:t xml:space="preserve"> </w:t>
      </w:r>
      <w:r>
        <w:rPr>
          <w:rFonts w:ascii="Times New Roman;sans-serif" w:hAnsi="Times New Roman;sans-serif"/>
          <w:b w:val="false"/>
          <w:color w:val="000000"/>
          <w:sz w:val="20"/>
        </w:rPr>
        <w:t xml:space="preserve">On at least a [***] basis, Shopify shall [***]. Shopify further agrees in good faith [***]. Any [***] failures [***] will be discussed by the Strategic Operating Committee. </w:t>
      </w:r>
    </w:p>
    <w:p>
      <w:pPr>
        <w:pStyle w:val="TextBody"/>
        <w:bidi w:val="0"/>
        <w:spacing w:lineRule="auto" w:line="288" w:before="0" w:after="240"/>
        <w:jc w:val="both"/>
        <w:rPr/>
      </w:pPr>
      <w:r>
        <w:rPr>
          <w:rFonts w:ascii="Times New Roman;sans-serif" w:hAnsi="Times New Roman;sans-serif"/>
          <w:b/>
          <w:color w:val="000000"/>
          <w:sz w:val="20"/>
        </w:rPr>
        <w:t>13.</w:t>
      </w:r>
      <w:r>
        <w:rPr>
          <w:rFonts w:ascii="Times New Roman;sans-serif" w:hAnsi="Times New Roman;sans-serif"/>
          <w:b/>
          <w:color w:val="000000"/>
          <w:sz w:val="20"/>
          <w:u w:val="single"/>
        </w:rPr>
        <w:t>Program Modifications</w:t>
      </w:r>
      <w:r>
        <w:rPr>
          <w:rFonts w:ascii="Times New Roman;sans-serif" w:hAnsi="Times New Roman;sans-serif"/>
          <w:b w:val="false"/>
          <w:color w:val="000000"/>
          <w:sz w:val="20"/>
        </w:rPr>
        <w:t>. To the extent Shopify requests a modification of the Low AOV Product that requires development beyond that 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pStyle w:val="TextBody"/>
        <w:bidi w:val="0"/>
        <w:spacing w:lineRule="auto" w:line="288" w:before="0" w:after="240"/>
        <w:jc w:val="both"/>
        <w:rPr/>
      </w:pPr>
      <w:r>
        <w:rPr>
          <w:rFonts w:ascii="Times New Roman;sans-serif" w:hAnsi="Times New Roman;sans-serif"/>
          <w:b/>
          <w:color w:val="000000"/>
          <w:sz w:val="20"/>
        </w:rPr>
        <w:t>14.</w:t>
      </w:r>
      <w:r>
        <w:rPr>
          <w:rFonts w:ascii="Times New Roman;sans-serif" w:hAnsi="Times New Roman;sans-serif"/>
          <w:b/>
          <w:color w:val="000000"/>
          <w:sz w:val="20"/>
          <w:u w:val="single"/>
        </w:rPr>
        <w:t>Tests</w:t>
      </w:r>
      <w:r>
        <w:rPr>
          <w:rFonts w:ascii="Times New Roman;sans-serif" w:hAnsi="Times New Roman;sans-serif"/>
          <w:b w:val="false"/>
          <w:color w:val="000000"/>
          <w:sz w:val="20"/>
        </w:rPr>
        <w:t>. To the extent the Parties agree to [***]. 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 Following the conclusion of a Test, if the Parties desire to more widely deploy the construct from the Test, Parties may agree to amend this Agreement or add an additional Program Outline to reflect the terms of (or substantially similar to those of) the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C-2</w:t>
      </w:r>
    </w:p>
    <w:p>
      <w:pPr>
        <w:pStyle w:val="TextBody"/>
        <w:bidi w:val="0"/>
        <w:spacing w:lineRule="auto" w:line="288" w:before="0" w:after="0"/>
        <w:jc w:val="center"/>
        <w:rPr/>
      </w:pPr>
      <w:r>
        <w:rPr>
          <w:rFonts w:ascii="Times New Roman;sans-serif" w:hAnsi="Times New Roman;sans-serif"/>
          <w:b/>
          <w:color w:val="000000"/>
          <w:sz w:val="20"/>
        </w:rPr>
        <w:t>PROGRAM OUTLINE</w:t>
      </w:r>
      <w:r>
        <w:rPr>
          <w:color w:val="000000"/>
        </w:rPr>
        <w:t xml:space="preserve"> </w:t>
      </w:r>
      <w:r>
        <w:rPr>
          <w:rFonts w:ascii="Times New Roman;sans-serif" w:hAnsi="Times New Roman;sans-serif"/>
          <w:b/>
          <w:color w:val="000000"/>
          <w:sz w:val="20"/>
        </w:rPr>
        <w:t>2</w:t>
      </w:r>
      <w:r>
        <w:rPr>
          <w:color w:val="000000"/>
        </w:rPr>
        <w:t xml:space="preserve">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High AOV </w:t>
      </w:r>
    </w:p>
    <w:p>
      <w:pPr>
        <w:pStyle w:val="TextBody"/>
        <w:bidi w:val="0"/>
        <w:spacing w:lineRule="auto" w:line="288" w:before="0" w:after="20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Program Description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Program will be offered only in the Territory in the applicable Territory Program Agreement. The Financial Product associated with the Program (“</w:t>
      </w:r>
      <w:r>
        <w:rPr>
          <w:rFonts w:ascii="Times New Roman;sans-serif" w:hAnsi="Times New Roman;sans-serif"/>
          <w:b/>
          <w:color w:val="000000"/>
          <w:sz w:val="20"/>
        </w:rPr>
        <w:t>High-AOV</w:t>
      </w:r>
      <w:r>
        <w:rPr>
          <w:color w:val="000000"/>
        </w:rPr>
        <w:t xml:space="preserve"> </w:t>
      </w:r>
      <w:r>
        <w:rPr>
          <w:rFonts w:ascii="Times New Roman;sans-serif" w:hAnsi="Times New Roman;sans-serif"/>
          <w:b/>
          <w:color w:val="000000"/>
          <w:sz w:val="20"/>
        </w:rPr>
        <w:t>Product</w:t>
      </w:r>
      <w:r>
        <w:rPr>
          <w:color w:val="000000"/>
        </w:rPr>
        <w:t>”</w:t>
      </w:r>
      <w:r>
        <w:rPr>
          <w:rFonts w:ascii="Times New Roman;sans-serif" w:hAnsi="Times New Roman;sans-serif"/>
          <w:b w:val="false"/>
          <w:color w:val="000000"/>
          <w:sz w:val="20"/>
        </w:rPr>
        <w:t>) shall be a closed-end installment loan product that will bear a [***] or an interest bearing rate, will have no late fees, and will have a repayment term and cart sizes as set forth in the applicable Territory Program Agreement. Notwithstanding Section 5.1 of the Agreement, for purposes of this Second Program Outline, Affirm, its affiliates or its bank partner(s) (as applicable) is responsible for determining and modifying underwriting criteria in its sole discretion in compliance with Applicable Laws.</w:t>
      </w:r>
    </w:p>
    <w:p>
      <w:pPr>
        <w:pStyle w:val="TextBody"/>
        <w:bidi w:val="0"/>
        <w:spacing w:lineRule="auto" w:line="288" w:before="0" w:after="20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Fraud Tools</w:t>
      </w:r>
      <w:r>
        <w:rPr>
          <w:rFonts w:ascii="Times New Roman;sans-serif" w:hAnsi="Times New Roman;sans-serif"/>
          <w:b w:val="false"/>
          <w:color w:val="000000"/>
          <w:sz w:val="20"/>
        </w:rPr>
        <w:t>. As a condition to launching the Alpha Phase and for the General Phase, Shopify will (a) ensure that the following Fraud Tools as set forth in more detail in Exhibit A to the Terms are implemented and continue to remain available during the Term: [***]. To the extent that any of the Fraud Tools set forth herein are not necessary in a Territory as directed by Affirm and mutually agreed to between the Parties, then that Fraud Tool will not apply. If there is a Fraud Tool that is required by Affirm’s fraud risk process in a specific Territory, then Affirm will communicate the necessary tool to Shopify and Shopify will use commercially reasonable efforts to enable it.</w:t>
      </w:r>
    </w:p>
    <w:p>
      <w:pPr>
        <w:pStyle w:val="TextBody"/>
        <w:bidi w:val="0"/>
        <w:spacing w:lineRule="auto" w:line="288" w:before="0" w:after="20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Product Construct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Notwithstanding any provisions to the contrary in the Agreement, the Parties have agreed to the following “Product Construct” for the High AOV Product: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Once Affirm has finalized Customer Agreements in consultation with Shopify in accordance with Section 5.1 of the Terms (provided, that Affirm will have sole control and discretion related to any Customer Agreements), Shopify shall generate a final digital product of such Customer Agreements and render as a payment option for Customers within Shop Pay at checkout on the Platform. In the event a Customer selects the Program option to pay for goods or services, it shall be directed to payment details and underwriting, as agreed upon by both parties. Shopify is responsible to render the Customer Agreements as directed by Affirm and to provide Affirm [***] reports to validate that each Customer viewed the required Customer Agreements. Failure by Shopify to meet its obligation as to the Customer Agreements will subject it to penalties as agreed by the Parties. In addition, Affirm shall have the right to refuse to provide the Program to Customers in the event Shopify does not render the Customer Agreements as directed by Affirm.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Customer electronic mail (“</w:t>
      </w:r>
      <w:r>
        <w:rPr>
          <w:rFonts w:ascii="Times New Roman;sans-serif" w:hAnsi="Times New Roman;sans-serif"/>
          <w:b/>
          <w:color w:val="000000"/>
          <w:sz w:val="20"/>
        </w:rPr>
        <w:t>email</w:t>
      </w:r>
      <w:r>
        <w:rPr>
          <w:color w:val="000000"/>
        </w:rPr>
        <w:t>”</w:t>
      </w:r>
      <w:r>
        <w:rPr>
          <w:rFonts w:ascii="Times New Roman;sans-serif" w:hAnsi="Times New Roman;sans-serif"/>
          <w:b w:val="false"/>
          <w:color w:val="000000"/>
          <w:sz w:val="20"/>
        </w:rPr>
        <w:t>) and SMS text communications regarding the terms or repayments of the Financial Product shall be sent by Affirm with mutually agreed upon Shop Pay branding with a link out to the Shop mobile app and from the “[***]” email address (or such other email address mutually agreed to by the Parties) with “[***]” as the sender; provided however, that correspondence relating to individual Customer inquiries or issues will not be subject to the foregoing branding requirements under the following circumstances: (i) any channel of communication that is unaffiliated with the Program where customers have engaged Affirm directly; and (ii) any instance where it is unclear that the customer inquiry is regarding the Program.</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As to all other communications to Customers, including but not limited to, (i) welcome messages, (ii) general Program information, (iii) general account creation, (iv) general Shop Pay information (check account, update information, etc.), Shopify is permitted to send such communications itself in consultation with Affirm. For purposes of clarity, SMS messaging will be used by Affirm solely for the purposes of recovery efforts and upcoming payment reminders, unless mutually agreed to by the Parties.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With respect to the post-purchase user/Customer portal, the Parties agree to have (i) an Affirm embedded link within the SHOP App directing a user to the Affirm user portal and (ii) for users that do not have the SHOP APP, an Affirm hosted webview that shall have the look and feel of the SHOP App user portal or such other post-purchase experience that has been mutually agreed upon by the Parties; provided, that the Parties will work together to ensure that it is clear that Affirm is the servicer of the Financial Product and Shopify is providing the technology platform for Affirm to render its servicing. Shopify is responsible for ensuring Affirm’s ability to display the Affirm embedded link within the SHOP App and the Affirm hosted webview on Shopify’s Platform. The Parties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agree to work in good faith to move to a fully-hosted API experience (as instructed by Affirm for servicing purposes) to enable the Parties to optimize the Customer’s user experience for the Financial Product as set forth in Section 14.4 of the Agreement.</w:t>
      </w:r>
    </w:p>
    <w:p>
      <w:pPr>
        <w:pStyle w:val="TextBody"/>
        <w:bidi w:val="0"/>
        <w:spacing w:lineRule="auto" w:line="288" w:before="0" w:after="20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Launch</w:t>
      </w:r>
      <w:r>
        <w:rPr>
          <w:rFonts w:ascii="Times New Roman;sans-serif" w:hAnsi="Times New Roman;sans-serif"/>
          <w:b w:val="false"/>
          <w:color w:val="000000"/>
          <w:sz w:val="20"/>
        </w:rPr>
        <w:t>. Unless a TPA specifies otherwise, the Parties will launch the High AOV Product on the Platform in the Territory in three (3) phases: (i) [***] (“</w:t>
      </w:r>
      <w:r>
        <w:rPr>
          <w:rFonts w:ascii="Times New Roman;sans-serif" w:hAnsi="Times New Roman;sans-serif"/>
          <w:b/>
          <w:color w:val="000000"/>
          <w:sz w:val="20"/>
        </w:rPr>
        <w:t>Alpha Phase</w:t>
      </w:r>
      <w:r>
        <w:rPr>
          <w:color w:val="000000"/>
        </w:rPr>
        <w:t>”</w:t>
      </w:r>
      <w:r>
        <w:rPr>
          <w:rFonts w:ascii="Times New Roman;sans-serif" w:hAnsi="Times New Roman;sans-serif"/>
          <w:b w:val="false"/>
          <w:color w:val="000000"/>
          <w:sz w:val="20"/>
        </w:rPr>
        <w:t>) [***]; (ii) promptly following the Alpha Phase, [***] (or such other mutually agreed to amount) on its Platform (the “</w:t>
      </w:r>
      <w:r>
        <w:rPr>
          <w:rFonts w:ascii="Times New Roman;sans-serif" w:hAnsi="Times New Roman;sans-serif"/>
          <w:b/>
          <w:color w:val="000000"/>
          <w:sz w:val="20"/>
        </w:rPr>
        <w:t>Limited Release Phase</w:t>
      </w:r>
      <w:r>
        <w:rPr>
          <w:color w:val="000000"/>
        </w:rPr>
        <w:t>”</w:t>
      </w:r>
      <w:r>
        <w:rPr>
          <w:rFonts w:ascii="Times New Roman;sans-serif" w:hAnsi="Times New Roman;sans-serif"/>
          <w:b w:val="false"/>
          <w:color w:val="000000"/>
          <w:sz w:val="20"/>
        </w:rPr>
        <w:t>); and (iii) all Eligible Merchants on its Platform on a mutually agreed to date (“</w:t>
      </w:r>
      <w:r>
        <w:rPr>
          <w:rFonts w:ascii="Times New Roman;sans-serif" w:hAnsi="Times New Roman;sans-serif"/>
          <w:b/>
          <w:color w:val="000000"/>
          <w:sz w:val="20"/>
        </w:rPr>
        <w:t>GA Phase</w:t>
      </w:r>
      <w:r>
        <w:rPr>
          <w:color w:val="000000"/>
        </w:rPr>
        <w:t>”</w:t>
      </w:r>
      <w:r>
        <w:rPr>
          <w:rFonts w:ascii="Times New Roman;sans-serif" w:hAnsi="Times New Roman;sans-serif"/>
          <w:b w:val="false"/>
          <w:color w:val="000000"/>
          <w:sz w:val="20"/>
        </w:rPr>
        <w:t xml:space="preserve">). Prior to the launch of the High AOV Product with each potential Eligible Merchant, Shopify shall cause such Merchant to enter into a Merchant Agreement, for the applicable Territory, such Merchant Agreement shall be substantially in the form set forth in the Territory Program Agreement, between Affirm and such Merchant. </w:t>
      </w:r>
    </w:p>
    <w:p>
      <w:pPr>
        <w:pStyle w:val="TextBody"/>
        <w:bidi w:val="0"/>
        <w:spacing w:lineRule="auto" w:line="288" w:before="0" w:after="200"/>
        <w:jc w:val="both"/>
        <w:rPr/>
      </w:pPr>
      <w:r>
        <w:rPr>
          <w:rFonts w:ascii="Times New Roman;sans-serif" w:hAnsi="Times New Roman;sans-serif"/>
          <w:b w:val="false"/>
          <w:color w:val="000000"/>
          <w:sz w:val="20"/>
        </w:rPr>
        <w:t>5.</w:t>
      </w:r>
      <w:r>
        <w:rPr>
          <w:rFonts w:ascii="Times New Roman;sans-serif" w:hAnsi="Times New Roman;sans-serif"/>
          <w:b/>
          <w:color w:val="000000"/>
          <w:sz w:val="20"/>
          <w:u w:val="single"/>
        </w:rPr>
        <w:t>Merchant Engagement, Marketing</w:t>
      </w:r>
      <w:r>
        <w:rPr>
          <w:rFonts w:ascii="Times New Roman;sans-serif" w:hAnsi="Times New Roman;sans-serif"/>
          <w:b w:val="false"/>
          <w:color w:val="000000"/>
          <w:sz w:val="20"/>
        </w:rPr>
        <w:t>. With respect to Merchant engagement and marketing, Shopify agrees to: (i) consult with Affirm on its plan for engagement with potential Eligible Merchants; (ii) to use commercially reasonable efforts to launch the High-AOV Product with all potential Eligible Merchants on the Platform during the GA Phase; (iii) to use commercially reasonable efforts to configure the Platform such that all Eligible Merchants will have the option, by default, to offer the Financial Product to Customers; (iv) work with Affirm in good faith to develop a marketing plan for the Program; and (v) work with Affirm in good faith to drive repeat purchases for the program.</w:t>
      </w:r>
    </w:p>
    <w:p>
      <w:pPr>
        <w:pStyle w:val="TextBody"/>
        <w:bidi w:val="0"/>
        <w:spacing w:lineRule="auto" w:line="288" w:before="0" w:after="200"/>
        <w:jc w:val="both"/>
        <w:rPr/>
      </w:pPr>
      <w:r>
        <w:rPr>
          <w:rFonts w:ascii="Times New Roman;sans-serif" w:hAnsi="Times New Roman;sans-serif"/>
          <w:b w:val="false"/>
          <w:color w:val="000000"/>
          <w:sz w:val="20"/>
        </w:rPr>
        <w:t>6.</w:t>
      </w:r>
      <w:r>
        <w:rPr>
          <w:rFonts w:ascii="Times New Roman;sans-serif" w:hAnsi="Times New Roman;sans-serif"/>
          <w:b/>
          <w:color w:val="000000"/>
          <w:sz w:val="20"/>
          <w:u w:val="single"/>
        </w:rPr>
        <w:t>High-AOV</w:t>
      </w:r>
      <w:r>
        <w:rPr>
          <w:color w:val="000000"/>
          <w:u w:val="single"/>
        </w:rPr>
        <w:t xml:space="preserve"> </w:t>
      </w:r>
      <w:r>
        <w:rPr>
          <w:rFonts w:ascii="Times New Roman;sans-serif" w:hAnsi="Times New Roman;sans-serif"/>
          <w:b/>
          <w:color w:val="000000"/>
          <w:sz w:val="20"/>
          <w:u w:val="single"/>
        </w:rPr>
        <w:t>Product Placement</w:t>
      </w:r>
      <w:r>
        <w:rPr>
          <w:rFonts w:ascii="Times New Roman;sans-serif" w:hAnsi="Times New Roman;sans-serif"/>
          <w:b w:val="false"/>
          <w:color w:val="000000"/>
          <w:sz w:val="20"/>
        </w:rPr>
        <w:t>. Shopify agrees to consult with Affirm on best practices for product placement of the High-AOV Product and to suggest, if applicable, product placement to Eligible Merchants on home page, product page, cart page, and checkout. Notwithstanding the preceding sentence, product placement shall ultimately be determined in Shopify’s and its Merchants’ discretion.</w:t>
      </w:r>
    </w:p>
    <w:p>
      <w:pPr>
        <w:pStyle w:val="TextBody"/>
        <w:bidi w:val="0"/>
        <w:spacing w:lineRule="auto" w:line="288" w:before="0" w:after="200"/>
        <w:jc w:val="both"/>
        <w:rPr/>
      </w:pPr>
      <w:r>
        <w:rPr>
          <w:rFonts w:ascii="Times New Roman;sans-serif" w:hAnsi="Times New Roman;sans-serif"/>
          <w:b w:val="false"/>
          <w:color w:val="000000"/>
          <w:sz w:val="20"/>
        </w:rPr>
        <w:t>7.</w:t>
      </w:r>
      <w:r>
        <w:rPr>
          <w:rFonts w:ascii="Times New Roman;sans-serif" w:hAnsi="Times New Roman;sans-serif"/>
          <w:b/>
          <w:color w:val="000000"/>
          <w:sz w:val="20"/>
          <w:u w:val="single"/>
        </w:rPr>
        <w:t>Merchant Fees and Payout</w:t>
      </w:r>
      <w:r>
        <w:rPr>
          <w:rFonts w:ascii="Times New Roman;sans-serif" w:hAnsi="Times New Roman;sans-serif"/>
          <w:b/>
          <w:color w:val="000000"/>
          <w:sz w:val="20"/>
        </w:rPr>
        <w:t>.</w:t>
      </w:r>
      <w:r>
        <w:rPr>
          <w:color w:val="000000"/>
        </w:rPr>
        <w:t xml:space="preserve">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Merchant Fees</w:t>
      </w:r>
      <w:r>
        <w:rPr>
          <w:rFonts w:ascii="Times New Roman;sans-serif" w:hAnsi="Times New Roman;sans-serif"/>
          <w:b w:val="false"/>
          <w:color w:val="000000"/>
          <w:sz w:val="20"/>
        </w:rPr>
        <w:t>. Each Eligible Merchant that makes the High-AOV Product available to its customers shall pay fees to Affirm as set forth in the applicable Merchant Agreement and as determined by Shopify. Generally, fees to be paid by an Eligible Merchant to Affirm (“</w:t>
      </w:r>
      <w:r>
        <w:rPr>
          <w:rFonts w:ascii="Times New Roman;sans-serif" w:hAnsi="Times New Roman;sans-serif"/>
          <w:b/>
          <w:color w:val="000000"/>
          <w:sz w:val="20"/>
        </w:rPr>
        <w:t>Merchant Fees</w:t>
      </w:r>
      <w:r>
        <w:rPr>
          <w:color w:val="000000"/>
        </w:rPr>
        <w:t>”</w:t>
      </w:r>
      <w:r>
        <w:rPr>
          <w:rFonts w:ascii="Times New Roman;sans-serif" w:hAnsi="Times New Roman;sans-serif"/>
          <w:b w:val="false"/>
          <w:color w:val="000000"/>
          <w:sz w:val="20"/>
        </w:rPr>
        <w:t>) shall equal the sum of a percentage of the [***] amount (including any [***] made by a Customer at the time of purchase) of each sale approved by Affirm and captured by an Eligible Merchant (each, a “</w:t>
      </w:r>
      <w:r>
        <w:rPr>
          <w:rFonts w:ascii="Times New Roman;sans-serif" w:hAnsi="Times New Roman;sans-serif"/>
          <w:b/>
          <w:color w:val="000000"/>
          <w:sz w:val="20"/>
        </w:rPr>
        <w:t>Successful Transaction</w:t>
      </w:r>
      <w:r>
        <w:rPr>
          <w:color w:val="000000"/>
        </w:rPr>
        <w:t>”</w:t>
      </w:r>
      <w:r>
        <w:rPr>
          <w:rFonts w:ascii="Times New Roman;sans-serif" w:hAnsi="Times New Roman;sans-serif"/>
          <w:b w:val="false"/>
          <w:color w:val="000000"/>
          <w:sz w:val="20"/>
        </w:rPr>
        <w:t xml:space="preserve">), plus (ii) a transaction fee per Successful Transaction as set forth in the applicable Territory Program Agreement, in each case, in accordance with the applicable Merchant Agreement. The tiers of Merchant Fees that may be offered to a Merchant are set forth in the applicable Territory Program Agreement.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Payouts to Eligible Merchants</w:t>
      </w:r>
      <w:r>
        <w:rPr>
          <w:rFonts w:ascii="Times New Roman;sans-serif" w:hAnsi="Times New Roman;sans-serif"/>
          <w:b w:val="false"/>
          <w:color w:val="000000"/>
          <w:sz w:val="20"/>
        </w:rPr>
        <w:t>. Payouts will be as set forth in each applicable Territory Program Agreement.</w:t>
      </w:r>
    </w:p>
    <w:p>
      <w:pPr>
        <w:pStyle w:val="TextBody"/>
        <w:bidi w:val="0"/>
        <w:spacing w:lineRule="auto" w:line="288" w:before="0" w:after="200"/>
        <w:jc w:val="both"/>
        <w:rPr/>
      </w:pPr>
      <w:r>
        <w:rPr>
          <w:rFonts w:ascii="Times New Roman;sans-serif" w:hAnsi="Times New Roman;sans-serif"/>
          <w:b w:val="false"/>
          <w:color w:val="000000"/>
          <w:sz w:val="20"/>
        </w:rPr>
        <w:t>8.</w:t>
      </w:r>
      <w:r>
        <w:rPr>
          <w:rFonts w:ascii="Times New Roman;sans-serif" w:hAnsi="Times New Roman;sans-serif"/>
          <w:b/>
          <w:color w:val="000000"/>
          <w:sz w:val="20"/>
          <w:u w:val="single"/>
        </w:rPr>
        <w:t>Shopify Fees and Payout</w:t>
      </w:r>
      <w:r>
        <w:rPr>
          <w:rFonts w:ascii="Times New Roman;sans-serif" w:hAnsi="Times New Roman;sans-serif"/>
          <w:b/>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Shopify Fees</w:t>
      </w:r>
      <w:r>
        <w:rPr>
          <w:rFonts w:ascii="Times New Roman;sans-serif" w:hAnsi="Times New Roman;sans-serif"/>
          <w:b w:val="false"/>
          <w:color w:val="000000"/>
          <w:sz w:val="20"/>
        </w:rPr>
        <w:t>. With respect to each Successful Transaction, Affirm shall pay to Shopify a fee (“</w:t>
      </w:r>
      <w:r>
        <w:rPr>
          <w:rFonts w:ascii="Times New Roman;sans-serif" w:hAnsi="Times New Roman;sans-serif"/>
          <w:b/>
          <w:color w:val="000000"/>
          <w:sz w:val="20"/>
        </w:rPr>
        <w:t>Shopify Fee</w:t>
      </w:r>
      <w:r>
        <w:rPr>
          <w:color w:val="000000"/>
        </w:rPr>
        <w:t>”</w:t>
      </w:r>
      <w:r>
        <w:rPr>
          <w:rFonts w:ascii="Times New Roman;sans-serif" w:hAnsi="Times New Roman;sans-serif"/>
          <w:b w:val="false"/>
          <w:color w:val="000000"/>
          <w:sz w:val="20"/>
        </w:rPr>
        <w:t>) equal to (i) the [***] amount of such Successful Transaction multiplied by (ii) the applicable [***] (based on the tier of Merchant Fee paid by the Merchant in connection with such Successful Transaction) set forth in the applicable Territory Program Agreement. With respect to each Merchant, the Shopify Fee shall not be duplicative of any commissions, revenue sharing or other fees due from Affirm to Shopify under any other agreements.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Payouts to Shopify</w:t>
      </w:r>
      <w:r>
        <w:rPr>
          <w:rFonts w:ascii="Times New Roman;sans-serif" w:hAnsi="Times New Roman;sans-serif"/>
          <w:b w:val="false"/>
          <w:color w:val="000000"/>
          <w:sz w:val="20"/>
        </w:rPr>
        <w:t>. No later than [***] business days following the end of each [***], Affirm shall transfer, in the Territory’s local currency or currency as mutually agreed to by the Parties via wire transfer or other agreed to method, to Shopify’s local Territory bank account (the “</w:t>
      </w:r>
      <w:r>
        <w:rPr>
          <w:rFonts w:ascii="Times New Roman;sans-serif" w:hAnsi="Times New Roman;sans-serif"/>
          <w:b/>
          <w:color w:val="000000"/>
          <w:sz w:val="20"/>
        </w:rPr>
        <w:t>Shopify Account</w:t>
      </w:r>
      <w:r>
        <w:rPr>
          <w:color w:val="000000"/>
        </w:rPr>
        <w:t>”</w:t>
      </w:r>
      <w:r>
        <w:rPr>
          <w:rFonts w:ascii="Times New Roman;sans-serif" w:hAnsi="Times New Roman;sans-serif"/>
          <w:b w:val="false"/>
          <w:color w:val="000000"/>
          <w:sz w:val="20"/>
        </w:rPr>
        <w:t xml:space="preserve">) the aggregate amount of Shopify Fees due for such calendar month. [***]. Affirm shall also provide Shopify with a statement accompanying each payment, detailing the amount of the Shopify Fees due to Shopify for the applicable month, [***] as to be mutually agreed by Parties, in sufficient detail to permit Shopify to validate the amount of such payment. To validate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revenue earned by Shopify on a monthly basis, payouts to Shopify shall be accompanied by a report that contains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Payment Processing</w:t>
      </w:r>
      <w:r>
        <w:rPr>
          <w:rFonts w:ascii="Times New Roman;sans-serif" w:hAnsi="Times New Roman;sans-serif"/>
          <w:b w:val="false"/>
          <w:color w:val="000000"/>
          <w:sz w:val="20"/>
        </w:rPr>
        <w:t xml:space="preserve">: Shopify shall pay for Program payments processing for the High AOV Product as set forth in the Territory Program Agreement. Shopify and Affirm to work in good faith and partner to optimize repayment methods (debit </w:t>
      </w:r>
      <w:r>
        <w:rPr>
          <w:rFonts w:ascii="Times New Roman;sans-serif" w:hAnsi="Times New Roman;sans-serif"/>
          <w:b w:val="false"/>
          <w:i/>
          <w:color w:val="000000"/>
          <w:sz w:val="20"/>
        </w:rPr>
        <w:t>versus</w:t>
      </w:r>
      <w:r>
        <w:rPr>
          <w:color w:val="000000"/>
        </w:rPr>
        <w:t xml:space="preserve"> </w:t>
      </w:r>
      <w:r>
        <w:rPr>
          <w:rFonts w:ascii="Times New Roman;sans-serif" w:hAnsi="Times New Roman;sans-serif"/>
          <w:b w:val="false"/>
          <w:color w:val="000000"/>
          <w:sz w:val="20"/>
        </w:rPr>
        <w:t>credit and the introduction of ACH (or the equivalent in the applicable Territory)).</w:t>
      </w:r>
    </w:p>
    <w:p>
      <w:pPr>
        <w:pStyle w:val="TextBody"/>
        <w:bidi w:val="0"/>
        <w:spacing w:lineRule="auto" w:line="288" w:before="0" w:after="200"/>
        <w:jc w:val="both"/>
        <w:rPr/>
      </w:pPr>
      <w:r>
        <w:rPr>
          <w:rFonts w:ascii="Times New Roman;sans-serif" w:hAnsi="Times New Roman;sans-serif"/>
          <w:b w:val="false"/>
          <w:color w:val="000000"/>
          <w:sz w:val="20"/>
        </w:rPr>
        <w:t>9.</w:t>
      </w:r>
      <w:r>
        <w:rPr>
          <w:rFonts w:ascii="Times New Roman;sans-serif" w:hAnsi="Times New Roman;sans-serif"/>
          <w:b/>
          <w:color w:val="000000"/>
          <w:sz w:val="20"/>
          <w:u w:val="single"/>
        </w:rPr>
        <w:t>Customer Installment Program Delay</w:t>
      </w:r>
      <w:r>
        <w:rPr>
          <w:rFonts w:ascii="Times New Roman;sans-serif" w:hAnsi="Times New Roman;sans-serif"/>
          <w:b w:val="false"/>
          <w:color w:val="000000"/>
          <w:sz w:val="20"/>
        </w:rPr>
        <w:t>. The Parties will use reasonable efforts to launch the Alpha Phase of the High-AOV Product no later than a date mutually agreed to by the Parties (the “</w:t>
      </w:r>
      <w:r>
        <w:rPr>
          <w:rFonts w:ascii="Times New Roman;sans-serif" w:hAnsi="Times New Roman;sans-serif"/>
          <w:b/>
          <w:color w:val="000000"/>
          <w:sz w:val="20"/>
        </w:rPr>
        <w:t>Launch Date</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200"/>
        <w:jc w:val="both"/>
        <w:rPr/>
      </w:pPr>
      <w:r>
        <w:rPr>
          <w:rFonts w:ascii="Times New Roman;sans-serif" w:hAnsi="Times New Roman;sans-serif"/>
          <w:b w:val="false"/>
          <w:color w:val="000000"/>
          <w:sz w:val="20"/>
        </w:rPr>
        <w:t>10.</w:t>
      </w:r>
      <w:r>
        <w:rPr>
          <w:rFonts w:ascii="Times New Roman;sans-serif" w:hAnsi="Times New Roman;sans-serif"/>
          <w:b/>
          <w:color w:val="000000"/>
          <w:sz w:val="20"/>
          <w:u w:val="single"/>
        </w:rPr>
        <w:t>Merchant Underwriting and AML/CFT and Sanctions Screening</w:t>
      </w:r>
      <w:r>
        <w:rPr>
          <w:rFonts w:ascii="Times New Roman;sans-serif" w:hAnsi="Times New Roman;sans-serif"/>
          <w:b w:val="false"/>
          <w:color w:val="000000"/>
          <w:sz w:val="20"/>
        </w:rPr>
        <w:t>. Upon the Alpha Phase launch date, Affirm shall be responsible, with Shopify support, for underwriting Merchants. Additionally, while each Party retains independent Sanctions Screening compliance obligations, upon the Alpha Phase launch, Affirm shall be responsible for administering and maintaining an AML/CFT and Sanctions Screening compliance program to screen Merchants (“</w:t>
      </w:r>
      <w:r>
        <w:rPr>
          <w:rFonts w:ascii="Times New Roman;sans-serif" w:hAnsi="Times New Roman;sans-serif"/>
          <w:b/>
          <w:color w:val="000000"/>
          <w:sz w:val="20"/>
        </w:rPr>
        <w:t>Affirm’s AML/CFT and Sanctions Screen</w:t>
      </w:r>
      <w:r>
        <w:rPr>
          <w:color w:val="000000"/>
        </w:rPr>
        <w:t>”</w:t>
      </w:r>
      <w:r>
        <w:rPr>
          <w:rFonts w:ascii="Times New Roman;sans-serif" w:hAnsi="Times New Roman;sans-serif"/>
          <w:b w:val="false"/>
          <w:color w:val="000000"/>
          <w:sz w:val="20"/>
        </w:rPr>
        <w:t>). Affirm’s AML/CFT and Sanctions Screen may be performed by a third party on behalf of Affirm, and Affirm will be responsible for such third party’s performance. On a date to be mutually agreed upon by the Parties, Shopify will develop, implement and be responsible for its own Merchant underwriting processes and AML/CFT and Sanctions Screen compliance, which shall include, without limitation, Sanctions Requirements screening, to determine a Merchant’s eligibility to participate in the Program (“</w:t>
      </w:r>
      <w:r>
        <w:rPr>
          <w:rFonts w:ascii="Times New Roman;sans-serif" w:hAnsi="Times New Roman;sans-serif"/>
          <w:b/>
          <w:color w:val="000000"/>
          <w:sz w:val="20"/>
        </w:rPr>
        <w:t>Shopify AML/CFT and Sanctions Screen</w:t>
      </w:r>
      <w:r>
        <w:rPr>
          <w:color w:val="000000"/>
        </w:rPr>
        <w:t>”</w:t>
      </w:r>
      <w:r>
        <w:rPr>
          <w:rFonts w:ascii="Times New Roman;sans-serif" w:hAnsi="Times New Roman;sans-serif"/>
          <w:b w:val="false"/>
          <w:color w:val="000000"/>
          <w:sz w:val="20"/>
        </w:rPr>
        <w:t>), in addition to any other Affirm screening as required by Applicable Law, or mutually agreed to by the Parties. Shopify AML/CFT and Sanctions Screen may be performed by a third party on behalf of Shopify, and Shopify will be responsible for such third party’s performance. Affirm shall provide Shopify with guidance around existing workflows, processes and requirements; and Shopify shall perform the Shopify AML/CFT and Sanctions Screen for the Financial Product in accordance with the requirements communicated by Affirm and in accordance with Applicable Law. As applicable, each Party’s AML/CFT and Sanctions Screen for the Financial Product shall at all times comply with Applicable Law, including, Sanctions Requirements and regulations and guidance. Shopify agrees in good faith to notify Affirm in advance of any material changes to the Shopify AML/CFT and Sanctions Screen that could have an adverse impact to Customers or AML/CFT and Sanctions compliance, and to consult with Affirm about such changes. Eligible Merchants are subject to Affirm’s Risk Approval Process and Affirm’s AML/CFT and Sanctions Screen until such time that Parties mutually agree otherwise and Shopify will provide any applicable information (to be mutually agreed to) for each Eligible Merchant in order for Affirm to complete Affirm’s Risk Approval Process and Affirm AML/CFT and Sanctions Screen. Eligible Merchants are subject to Affirm’s AML/CFT and Sanctions Screen and will remain subject to Affirm’s Risk Approval Process as described in the Program Outline. As long as the Parties agree that Affirm is responsible for AML/CFT and Sanctions Requirements screening, or if certain screening by Affirm is required by Applicable Law, and, in addition to any other rights or remedies that Affirm may have, Affirm shall have the right to immediately suspend its services and/or terminate any agreement between Affirm and an Eligible Merchant in accordance with the terms of that agreement if such Eligible Merchant does not meet Affirm’s eligibility criteria set forth in Affirm’s Risk Approval Process. If Affirm elects to terminate an agreement with an Eligible Merchant in accordance with the terms and conditions of such agreement and notifies Shopify of such intent to terminate, Shopify will promptly (but no later than 24 hours following Affirm’s notification to terminate) notify the Eligible Merchant of such termination in writing (electronic notification acceptable). In addition, Affirm shall have the right to request reporting and a reasonable review of Shopify’s performance of the Shopify AML/CFT and Sanctions Screen. Upon identifying a material deficiency in the Shopify AML/CFT and Sanctions Screen, Affirm shall have the right (but not the obligation), to immediately (i) suspend the Program with respect to any Merchants not yet onboarded to the Program as of the date of suspension; and/or (ii) assume responsibility for Merchant underwriting or any AML/CFT and Sanctions Requirements screening (with costs to be paid by Shopify) if Affirm determines, in good faith and based on the advice of counsel, that Shopify’s actions or failure to act has resulted in (a) a violation of Applicable Law; or (b) material adverse impact to Customers. Shopify shall promptly remedy any material deficiency in the Shopify AML/CFT and Sanctions Screen. Shopify will in good faith provide Affirm with reasonable advance notice of any significant change in merchant onboarding volume compared with the forecasts provided by Shopify to Affirm in accordance with Section 11 of the Program Outline.</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88" w:before="0" w:after="200"/>
        <w:jc w:val="both"/>
        <w:rPr/>
      </w:pPr>
      <w:r>
        <w:rPr>
          <w:rFonts w:ascii="Times New Roman;sans-serif" w:hAnsi="Times New Roman;sans-serif"/>
          <w:b w:val="false"/>
          <w:color w:val="000000"/>
          <w:sz w:val="20"/>
        </w:rPr>
        <w:t>11.</w:t>
      </w:r>
      <w:r>
        <w:rPr>
          <w:rFonts w:ascii="Times New Roman;sans-serif" w:hAnsi="Times New Roman;sans-serif"/>
          <w:b/>
          <w:color w:val="000000"/>
          <w:sz w:val="20"/>
          <w:u w:val="single"/>
        </w:rPr>
        <w:t>Affirm Application Programming Interface (“Affirm API”)</w:t>
      </w:r>
      <w:r>
        <w:rPr>
          <w:rFonts w:ascii="Times New Roman;sans-serif" w:hAnsi="Times New Roman;sans-serif"/>
          <w:b w:val="false"/>
          <w:color w:val="000000"/>
          <w:sz w:val="20"/>
        </w:rPr>
        <w:t>. Affirm shall develop software that allows the Platform to communicate automatically via the Affirm APIs with the Platform for the purpose of initiating Applications and otherwise supporting the High-AOV Product, and Affirm will disclose the portion of the Affirm APIs to Shopify necessary for Shopify to allow its Platform to integrate with the Affirm API. The Affirm API and all modifications, enhancements and derivative works thereof, and all documentation and specifications related thereto, shall be deemed Affirm Pre-Existing IP.</w:t>
      </w:r>
    </w:p>
    <w:p>
      <w:pPr>
        <w:pStyle w:val="TextBody"/>
        <w:bidi w:val="0"/>
        <w:spacing w:lineRule="auto" w:line="288" w:before="0" w:after="200"/>
        <w:jc w:val="both"/>
        <w:rPr/>
      </w:pPr>
      <w:r>
        <w:rPr>
          <w:rFonts w:ascii="Times New Roman;sans-serif" w:hAnsi="Times New Roman;sans-serif"/>
          <w:b w:val="false"/>
          <w:color w:val="000000"/>
          <w:sz w:val="20"/>
        </w:rPr>
        <w:t>12.</w:t>
      </w:r>
      <w:r>
        <w:rPr>
          <w:rFonts w:ascii="Times New Roman;sans-serif" w:hAnsi="Times New Roman;sans-serif"/>
          <w:b/>
          <w:color w:val="000000"/>
          <w:sz w:val="20"/>
          <w:u w:val="single"/>
        </w:rPr>
        <w:t>Reports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Affirm shall deliver to Shopify on a [***] basis, or on such basis as mutually agreed upon by the Parties, a [***]. [***]. Shopify shall deliver to Affirm on a [***] basis, or on such basis as mutually agreed upon by the Parties, a [***]. The form of [***] shall be [***].</w:t>
      </w:r>
      <w:r>
        <w:rPr>
          <w:color w:val="000000"/>
        </w:rPr>
        <w:t xml:space="preserve"> </w:t>
      </w:r>
      <w:r>
        <w:rPr>
          <w:rFonts w:ascii="Times New Roman;sans-serif" w:hAnsi="Times New Roman;sans-serif"/>
          <w:b w:val="false"/>
          <w:color w:val="000000"/>
          <w:sz w:val="20"/>
        </w:rPr>
        <w:t>On at least a [***] basis, Shopify shall [***]. Shopify further agrees in good faith to [***]. Any [***] failures [***] will be discussed by the Strategic Operating Committee.</w:t>
      </w:r>
    </w:p>
    <w:p>
      <w:pPr>
        <w:pStyle w:val="TextBody"/>
        <w:bidi w:val="0"/>
        <w:spacing w:lineRule="auto" w:line="288" w:before="0" w:after="200"/>
        <w:jc w:val="both"/>
        <w:rPr/>
      </w:pPr>
      <w:r>
        <w:rPr>
          <w:rFonts w:ascii="Times New Roman;sans-serif" w:hAnsi="Times New Roman;sans-serif"/>
          <w:b w:val="false"/>
          <w:color w:val="000000"/>
          <w:sz w:val="20"/>
        </w:rPr>
        <w:t>13.</w:t>
      </w:r>
      <w:r>
        <w:rPr>
          <w:rFonts w:ascii="Times New Roman;sans-serif" w:hAnsi="Times New Roman;sans-serif"/>
          <w:b/>
          <w:color w:val="000000"/>
          <w:sz w:val="20"/>
          <w:u w:val="single"/>
        </w:rPr>
        <w:t>Program Modifications</w:t>
      </w:r>
      <w:r>
        <w:rPr>
          <w:rFonts w:ascii="Times New Roman;sans-serif" w:hAnsi="Times New Roman;sans-serif"/>
          <w:b w:val="false"/>
          <w:color w:val="000000"/>
          <w:sz w:val="20"/>
        </w:rPr>
        <w:t>. To the extent Shopify requests a modification of the High-AOV Product that requires development beyond that 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pStyle w:val="TextBody"/>
        <w:bidi w:val="0"/>
        <w:spacing w:lineRule="auto" w:line="288" w:before="0" w:after="200"/>
        <w:jc w:val="both"/>
        <w:rPr/>
      </w:pPr>
      <w:r>
        <w:rPr>
          <w:rFonts w:ascii="Times New Roman;sans-serif" w:hAnsi="Times New Roman;sans-serif"/>
          <w:b w:val="false"/>
          <w:color w:val="000000"/>
          <w:sz w:val="20"/>
        </w:rPr>
        <w:t>14.</w:t>
      </w:r>
      <w:r>
        <w:rPr>
          <w:rFonts w:ascii="Times New Roman;sans-serif" w:hAnsi="Times New Roman;sans-serif"/>
          <w:b/>
          <w:color w:val="000000"/>
          <w:sz w:val="20"/>
          <w:u w:val="single"/>
        </w:rPr>
        <w:t>Tests</w:t>
      </w:r>
      <w:r>
        <w:rPr>
          <w:rFonts w:ascii="Times New Roman;sans-serif" w:hAnsi="Times New Roman;sans-serif"/>
          <w:b w:val="false"/>
          <w:color w:val="000000"/>
          <w:sz w:val="20"/>
        </w:rPr>
        <w:t xml:space="preserve">. To the extent the Parties agree to run [***]. 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 Following the conclusion of a Test, if the Parties desire to more widely deploy the construct from the Test, Parties may agree to amend this Agreement or add an additional Program Outline to reflect the terms of (or substantially similar to those of) the Test. </w:t>
      </w:r>
    </w:p>
    <w:p>
      <w:pPr>
        <w:pStyle w:val="TextBody"/>
        <w:bidi w:val="0"/>
        <w:spacing w:before="0" w:after="20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C-3</w:t>
      </w:r>
    </w:p>
    <w:p>
      <w:pPr>
        <w:pStyle w:val="TextBody"/>
        <w:bidi w:val="0"/>
        <w:spacing w:lineRule="auto" w:line="288" w:before="0" w:after="0"/>
        <w:jc w:val="center"/>
        <w:rPr/>
      </w:pPr>
      <w:r>
        <w:rPr>
          <w:rFonts w:ascii="Times New Roman;sans-serif" w:hAnsi="Times New Roman;sans-serif"/>
          <w:b/>
          <w:color w:val="000000"/>
          <w:sz w:val="20"/>
        </w:rPr>
        <w:t>PROGRAM OUTLINE</w:t>
      </w:r>
      <w:r>
        <w:rPr>
          <w:color w:val="000000"/>
        </w:rPr>
        <w:t xml:space="preserve"> </w:t>
      </w:r>
      <w:r>
        <w:rPr>
          <w:rFonts w:ascii="Times New Roman;sans-serif" w:hAnsi="Times New Roman;sans-serif"/>
          <w:b/>
          <w:color w:val="000000"/>
          <w:sz w:val="20"/>
        </w:rPr>
        <w:t>3</w:t>
      </w:r>
      <w:r>
        <w:rPr>
          <w:color w:val="000000"/>
        </w:rPr>
        <w:t xml:space="preserve"> </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POS Product</w:t>
      </w:r>
    </w:p>
    <w:p>
      <w:pPr>
        <w:pStyle w:val="TextBody"/>
        <w:bidi w:val="0"/>
        <w:spacing w:lineRule="auto" w:line="288" w:before="0" w:after="20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Program Description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Program will be offered only in each Territory as set forth in the applicable Territory Program Agreement. The Financial Product associated with the Program (the “</w:t>
      </w:r>
      <w:r>
        <w:rPr>
          <w:rFonts w:ascii="Times New Roman;sans-serif" w:hAnsi="Times New Roman;sans-serif"/>
          <w:b/>
          <w:color w:val="000000"/>
          <w:sz w:val="20"/>
        </w:rPr>
        <w:t>POS Product</w:t>
      </w:r>
      <w:r>
        <w:rPr>
          <w:color w:val="000000"/>
        </w:rPr>
        <w:t>”</w:t>
      </w:r>
      <w:r>
        <w:rPr>
          <w:rFonts w:ascii="Times New Roman;sans-serif" w:hAnsi="Times New Roman;sans-serif"/>
          <w:b w:val="false"/>
          <w:color w:val="000000"/>
          <w:sz w:val="20"/>
        </w:rPr>
        <w:t>) shall enable Merchants to offer Buyers a Shopify-native installments solution for in person purchases (the “</w:t>
      </w:r>
      <w:r>
        <w:rPr>
          <w:rFonts w:ascii="Times New Roman;sans-serif" w:hAnsi="Times New Roman;sans-serif"/>
          <w:b/>
          <w:color w:val="000000"/>
          <w:sz w:val="20"/>
        </w:rPr>
        <w:t>POS Product</w:t>
      </w:r>
      <w:r>
        <w:rPr>
          <w:color w:val="000000"/>
        </w:rPr>
        <w:t>”</w:t>
      </w:r>
      <w:r>
        <w:rPr>
          <w:rFonts w:ascii="Times New Roman;sans-serif" w:hAnsi="Times New Roman;sans-serif"/>
          <w:b w:val="false"/>
          <w:color w:val="000000"/>
          <w:sz w:val="20"/>
        </w:rPr>
        <w:t>). The POS Product will allow the Merchant to offer all other Financial Products set forth in any other Program Outline, in store.</w:t>
      </w:r>
    </w:p>
    <w:p>
      <w:pPr>
        <w:pStyle w:val="TextBody"/>
        <w:bidi w:val="0"/>
        <w:spacing w:lineRule="auto" w:line="288" w:before="0" w:after="20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Product Construct</w:t>
      </w:r>
      <w:r>
        <w:rPr>
          <w:rFonts w:ascii="Times New Roman;sans-serif" w:hAnsi="Times New Roman;sans-serif"/>
          <w:b/>
          <w:color w:val="000000"/>
          <w:sz w:val="20"/>
        </w:rPr>
        <w:t xml:space="preserve">. </w:t>
      </w:r>
      <w:r>
        <w:rPr>
          <w:rFonts w:ascii="Times New Roman;sans-serif" w:hAnsi="Times New Roman;sans-serif"/>
          <w:b w:val="false"/>
          <w:color w:val="000000"/>
          <w:sz w:val="20"/>
        </w:rPr>
        <w:t>For purposes of the POS Product only, and in addition to (i) Section 2 of Exhibit C-1 (</w:t>
      </w:r>
      <w:r>
        <w:rPr>
          <w:rFonts w:ascii="Times New Roman;sans-serif" w:hAnsi="Times New Roman;sans-serif"/>
          <w:b w:val="false"/>
          <w:i/>
          <w:color w:val="000000"/>
          <w:sz w:val="20"/>
        </w:rPr>
        <w:t>First Program Outline</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Low AOV Product</w:t>
      </w:r>
      <w:r>
        <w:rPr>
          <w:rFonts w:ascii="Times New Roman;sans-serif" w:hAnsi="Times New Roman;sans-serif"/>
          <w:b w:val="false"/>
          <w:color w:val="000000"/>
          <w:sz w:val="20"/>
        </w:rPr>
        <w:t>) (the “</w:t>
      </w:r>
      <w:r>
        <w:rPr>
          <w:rFonts w:ascii="Times New Roman;sans-serif" w:hAnsi="Times New Roman;sans-serif"/>
          <w:b/>
          <w:color w:val="000000"/>
          <w:sz w:val="20"/>
        </w:rPr>
        <w:t>Low AOV Program Outline</w:t>
      </w:r>
      <w:r>
        <w:rPr>
          <w:color w:val="000000"/>
        </w:rPr>
        <w:t>”</w:t>
      </w:r>
      <w:r>
        <w:rPr>
          <w:rFonts w:ascii="Times New Roman;sans-serif" w:hAnsi="Times New Roman;sans-serif"/>
          <w:b w:val="false"/>
          <w:color w:val="000000"/>
          <w:sz w:val="20"/>
        </w:rPr>
        <w:t>) and (ii) Section 2 of the Exhibit C-2 (</w:t>
      </w:r>
      <w:r>
        <w:rPr>
          <w:rFonts w:ascii="Times New Roman;sans-serif" w:hAnsi="Times New Roman;sans-serif"/>
          <w:b w:val="false"/>
          <w:i/>
          <w:color w:val="000000"/>
          <w:sz w:val="20"/>
        </w:rPr>
        <w:t>Second Program -</w:t>
      </w:r>
      <w:r>
        <w:rPr>
          <w:color w:val="000000"/>
        </w:rPr>
        <w:t xml:space="preserve"> </w:t>
      </w:r>
      <w:r>
        <w:rPr>
          <w:rFonts w:ascii="Times New Roman;sans-serif" w:hAnsi="Times New Roman;sans-serif"/>
          <w:b w:val="false"/>
          <w:i/>
          <w:color w:val="000000"/>
          <w:sz w:val="20"/>
        </w:rPr>
        <w:t>High AOV Product</w:t>
      </w:r>
      <w:r>
        <w:rPr>
          <w:rFonts w:ascii="Times New Roman;sans-serif" w:hAnsi="Times New Roman;sans-serif"/>
          <w:b w:val="false"/>
          <w:color w:val="000000"/>
          <w:sz w:val="20"/>
        </w:rPr>
        <w:t>) (the “</w:t>
      </w:r>
      <w:r>
        <w:rPr>
          <w:rFonts w:ascii="Times New Roman;sans-serif" w:hAnsi="Times New Roman;sans-serif"/>
          <w:b/>
          <w:color w:val="000000"/>
          <w:sz w:val="20"/>
        </w:rPr>
        <w:t>High AOV Program Outline</w:t>
      </w:r>
      <w:r>
        <w:rPr>
          <w:color w:val="000000"/>
        </w:rPr>
        <w:t>”</w:t>
      </w:r>
      <w:r>
        <w:rPr>
          <w:rFonts w:ascii="Times New Roman;sans-serif" w:hAnsi="Times New Roman;sans-serif"/>
          <w:b w:val="false"/>
          <w:color w:val="000000"/>
          <w:sz w:val="20"/>
        </w:rPr>
        <w:t>), the Parties have agreed to the following as the minimum requirements necessary for the “Product Construct” for the POS Product. To the extent that there are any changes to the POS Product the Parties will mutually agree to such changes (email sufficient).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Onboarding and Signup.</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 xml:space="preserve">Merchant Training. </w:t>
      </w:r>
      <w:r>
        <w:rPr>
          <w:rFonts w:ascii="Times New Roman;sans-serif" w:hAnsi="Times New Roman;sans-serif"/>
          <w:b w:val="false"/>
          <w:color w:val="000000"/>
          <w:sz w:val="20"/>
        </w:rPr>
        <w:t>Affirm will create, host, maintain and Shopify will make available to Merchants the minimum training necessary for compliance with all Applicable Laws in connection with the POS Product (“</w:t>
      </w:r>
      <w:r>
        <w:rPr>
          <w:rFonts w:ascii="Times New Roman;sans-serif" w:hAnsi="Times New Roman;sans-serif"/>
          <w:b/>
          <w:color w:val="000000"/>
          <w:sz w:val="20"/>
        </w:rPr>
        <w:t>POS Merchant Training</w:t>
      </w:r>
      <w:r>
        <w:rPr>
          <w:color w:val="000000"/>
        </w:rPr>
        <w:t>”</w:t>
      </w:r>
      <w:r>
        <w:rPr>
          <w:rFonts w:ascii="Times New Roman;sans-serif" w:hAnsi="Times New Roman;sans-serif"/>
          <w:b w:val="false"/>
          <w:color w:val="000000"/>
          <w:sz w:val="20"/>
        </w:rPr>
        <w:t>). The POS Merchant Training will be an online module that is easily accessible for Merchants, including their employees. Shopify shall have the right to review the POS Merchant Training for marketing, branding or other purposes and request updates, which Affirm (i) if related to marketing and branding, shall make, unless doing so would violate Applicable Laws or bank partner requirements and (ii) will consider in good faith all other requests.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color w:val="000000"/>
          <w:sz w:val="20"/>
        </w:rPr>
        <w:t>Identifiers.</w:t>
      </w:r>
      <w:r>
        <w:rPr>
          <w:color w:val="000000"/>
        </w:rPr>
        <w:t xml:space="preserve"> </w:t>
      </w:r>
      <w:r>
        <w:rPr>
          <w:rFonts w:ascii="Times New Roman;sans-serif" w:hAnsi="Times New Roman;sans-serif"/>
          <w:b w:val="false"/>
          <w:color w:val="000000"/>
          <w:sz w:val="20"/>
        </w:rPr>
        <w:t>With respect to Beta Phase and GA Phase, Shopify will collect and send to Affirm identifiers for retail merchants: (i) store location address (“Store Location Data”) and (ii) any other identifiers agreed to by the Parties. With respect to the Alpha Phase, Beta Phase and GA Phase, Shopify will create a designation to easily identify transactions as either e-commerce or in-store transactions (“</w:t>
      </w:r>
      <w:r>
        <w:rPr>
          <w:rFonts w:ascii="Times New Roman;sans-serif" w:hAnsi="Times New Roman;sans-serif"/>
          <w:b/>
          <w:color w:val="000000"/>
          <w:sz w:val="20"/>
        </w:rPr>
        <w:t>Channel Data</w:t>
      </w:r>
      <w:r>
        <w:rPr>
          <w:color w:val="000000"/>
        </w:rPr>
        <w:t>”</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color w:val="000000"/>
          <w:sz w:val="20"/>
        </w:rPr>
        <w:t>Pre-Qualification Support</w:t>
      </w:r>
      <w:r>
        <w:rPr>
          <w:rFonts w:ascii="Times New Roman;sans-serif" w:hAnsi="Times New Roman;sans-serif"/>
          <w:b w:val="false"/>
          <w:color w:val="000000"/>
          <w:sz w:val="20"/>
        </w:rPr>
        <w:t>. Shopify will make commercially reasonable efforts to build prequalification for Customers in the Shopify App (“</w:t>
      </w:r>
      <w:r>
        <w:rPr>
          <w:rFonts w:ascii="Times New Roman;sans-serif" w:hAnsi="Times New Roman;sans-serif"/>
          <w:b/>
          <w:color w:val="000000"/>
          <w:sz w:val="20"/>
        </w:rPr>
        <w:t>Pre-Qualification</w:t>
      </w:r>
      <w:r>
        <w:rPr>
          <w:color w:val="000000"/>
        </w:rPr>
        <w:t>”</w:t>
      </w:r>
      <w:r>
        <w:rPr>
          <w:rFonts w:ascii="Times New Roman;sans-serif" w:hAnsi="Times New Roman;sans-serif"/>
          <w:b w:val="false"/>
          <w:color w:val="000000"/>
          <w:sz w:val="20"/>
        </w:rPr>
        <w:t>), with specific requirements to be mutually agreed to by the Parties at a time to be mutually agreed to by the Parties. The Parties acknowledge that Pre-Qualification for Customers is not a prerequisite for the Beta Phase or the GA Phase.</w:t>
      </w:r>
    </w:p>
    <w:p>
      <w:pPr>
        <w:pStyle w:val="TextBody"/>
        <w:bidi w:val="0"/>
        <w:spacing w:lineRule="auto" w:line="288" w:before="0" w:after="20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Launch</w:t>
      </w:r>
      <w:r>
        <w:rPr>
          <w:rFonts w:ascii="Times New Roman;sans-serif" w:hAnsi="Times New Roman;sans-serif"/>
          <w:b/>
          <w:color w:val="000000"/>
          <w:sz w:val="20"/>
        </w:rPr>
        <w:t xml:space="preserve">. </w:t>
      </w:r>
      <w:r>
        <w:rPr>
          <w:rFonts w:ascii="Times New Roman;sans-serif" w:hAnsi="Times New Roman;sans-serif"/>
          <w:b w:val="false"/>
          <w:color w:val="000000"/>
          <w:sz w:val="20"/>
        </w:rPr>
        <w:t>This Program Outline will only be applicable for the Alpha Phase (as defined below). The Parties will enter into an amendment prior to the Beta Phase that will set forth any additional requirements for the Beta Phase and the GA Phase, which will include any additional minimum requirements for the “Product Construct”. The Parties will launch the POS Product on the Platform in three (3) phases: (i) Alpha Phase: with a certain number of Eligible Merchants to be mutually agreed upon by the Parties not to exceed [***] Eligible Merchants or another number of Eligible Merchants as agreed by the Parties (“</w:t>
      </w:r>
      <w:r>
        <w:rPr>
          <w:rFonts w:ascii="Times New Roman;sans-serif" w:hAnsi="Times New Roman;sans-serif"/>
          <w:b/>
          <w:color w:val="000000"/>
          <w:sz w:val="20"/>
        </w:rPr>
        <w:t>Alpha Phase</w:t>
      </w:r>
      <w:r>
        <w:rPr>
          <w:color w:val="000000"/>
        </w:rPr>
        <w:t>”</w:t>
      </w:r>
      <w:r>
        <w:rPr>
          <w:rFonts w:ascii="Times New Roman;sans-serif" w:hAnsi="Times New Roman;sans-serif"/>
          <w:b w:val="false"/>
          <w:color w:val="000000"/>
          <w:sz w:val="20"/>
        </w:rPr>
        <w:t>), and launched by the Launch Date or date mutually agreed to by the parties prior to the Beta Phase; (ii) Beta Phase, promptly following the Alpha Phase on a mutually agreed upon date by the Parties with a certain number of Eligible Merchants to be mutually agreed upon by the Parties (the “</w:t>
      </w:r>
      <w:r>
        <w:rPr>
          <w:rFonts w:ascii="Times New Roman;sans-serif" w:hAnsi="Times New Roman;sans-serif"/>
          <w:b/>
          <w:color w:val="000000"/>
          <w:sz w:val="20"/>
        </w:rPr>
        <w:t>Beta Phase</w:t>
      </w:r>
      <w:r>
        <w:rPr>
          <w:color w:val="000000"/>
        </w:rPr>
        <w:t>”</w:t>
      </w:r>
      <w:r>
        <w:rPr>
          <w:rFonts w:ascii="Times New Roman;sans-serif" w:hAnsi="Times New Roman;sans-serif"/>
          <w:b w:val="false"/>
          <w:color w:val="000000"/>
          <w:sz w:val="20"/>
        </w:rPr>
        <w:t>); and (iii) GA Phase: promptly following the Beta Phase on a mutually agreed upon date by the Parties (the “</w:t>
      </w:r>
      <w:r>
        <w:rPr>
          <w:rFonts w:ascii="Times New Roman;sans-serif" w:hAnsi="Times New Roman;sans-serif"/>
          <w:b/>
          <w:color w:val="000000"/>
          <w:sz w:val="20"/>
        </w:rPr>
        <w:t>GA Phase</w:t>
      </w:r>
      <w:r>
        <w:rPr>
          <w:color w:val="000000"/>
        </w:rPr>
        <w:t>”</w:t>
      </w:r>
      <w:r>
        <w:rPr>
          <w:rFonts w:ascii="Times New Roman;sans-serif" w:hAnsi="Times New Roman;sans-serif"/>
          <w:b w:val="false"/>
          <w:color w:val="000000"/>
          <w:sz w:val="20"/>
        </w:rPr>
        <w:t>). Prior to the launch of the POS Product with each potential Eligible Merchant, Shopify will notify Merchants that the POS Product is available and provide any updates to the Merchant Agreement to all Merchants as mutually agreed to.</w:t>
      </w:r>
    </w:p>
    <w:p>
      <w:pPr>
        <w:pStyle w:val="TextBody"/>
        <w:bidi w:val="0"/>
        <w:spacing w:lineRule="auto" w:line="288" w:before="0" w:after="20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Fraud</w:t>
      </w:r>
      <w:r>
        <w:rPr>
          <w:rFonts w:ascii="Times New Roman;sans-serif" w:hAnsi="Times New Roman;sans-serif"/>
          <w:b/>
          <w:color w:val="000000"/>
          <w:sz w:val="20"/>
        </w:rPr>
        <w:t xml:space="preserve">.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As a condition to launching the Beta Phase and the GA Phase, at a minimum and in addition to any fraud prevention tools that have been already implemented by Shopify for the Program under all Program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Outlines as of the Third Program Agreement Effective Date, (i) the Parties will mutually agree on the fraud prevention tools and (ii) send Affirm the following data information set forth in more detail in Exhibit A to the Agreement (A) Store Location Data and (B) Channel Data, or such other tools or data as otherwise mutually agreed to by the Parties. To the extent that any of the agreed-upon fraud prevention tools are not necessary as directed by Affirm and mutually agreed to by the Parties, then that fraud prevention tool will not apply. If there is a fraud prevention tool that is required by Affirm’s fraud risk process, then Affirm will communicate the necessary tool to Shopify and Shopify will use commercially reasonable efforts to enable it. For the avoidance of doubt, the Parties will not launch the Beta Phase or GA Phase without implementing the mutually agreed to fraud prevention tools required for the Beta Phase and/or GA Phase.</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Affirm and Shopify will track the amount of fraudulent transactions captured via the POS Product by all Merchants using such POS Product (the “</w:t>
      </w:r>
      <w:r>
        <w:rPr>
          <w:rFonts w:ascii="Times New Roman;sans-serif" w:hAnsi="Times New Roman;sans-serif"/>
          <w:b/>
          <w:color w:val="000000"/>
          <w:sz w:val="20"/>
        </w:rPr>
        <w:t>Fraudulent Amounts</w:t>
      </w:r>
      <w:r>
        <w:rPr>
          <w:color w:val="000000"/>
        </w:rPr>
        <w:t>”</w:t>
      </w:r>
      <w:r>
        <w:rPr>
          <w:rFonts w:ascii="Times New Roman;sans-serif" w:hAnsi="Times New Roman;sans-serif"/>
          <w:b w:val="false"/>
          <w:color w:val="000000"/>
          <w:sz w:val="20"/>
        </w:rPr>
        <w:t>) for each month period during the Term (the “</w:t>
      </w:r>
      <w:r>
        <w:rPr>
          <w:rFonts w:ascii="Times New Roman;sans-serif" w:hAnsi="Times New Roman;sans-serif"/>
          <w:b/>
          <w:color w:val="000000"/>
          <w:sz w:val="20"/>
        </w:rPr>
        <w:t>Monthly Fraud Amount</w:t>
      </w:r>
      <w:r>
        <w:rPr>
          <w:color w:val="000000"/>
        </w:rPr>
        <w:t xml:space="preserve">” </w:t>
      </w:r>
      <w:r>
        <w:rPr>
          <w:rFonts w:ascii="Times New Roman;sans-serif" w:hAnsi="Times New Roman;sans-serif"/>
          <w:b w:val="false"/>
          <w:color w:val="000000"/>
          <w:sz w:val="20"/>
        </w:rPr>
        <w:t>and each such month period during the Term, the “</w:t>
      </w:r>
      <w:r>
        <w:rPr>
          <w:rFonts w:ascii="Times New Roman;sans-serif" w:hAnsi="Times New Roman;sans-serif"/>
          <w:b/>
          <w:color w:val="000000"/>
          <w:sz w:val="20"/>
        </w:rPr>
        <w:t>Fraud Measurement Period</w:t>
      </w:r>
      <w:r>
        <w:rPr>
          <w:color w:val="000000"/>
        </w:rPr>
        <w:t>”</w:t>
      </w:r>
      <w:r>
        <w:rPr>
          <w:rFonts w:ascii="Times New Roman;sans-serif" w:hAnsi="Times New Roman;sans-serif"/>
          <w:b w:val="false"/>
          <w:color w:val="000000"/>
          <w:sz w:val="20"/>
        </w:rPr>
        <w:t>) and the percentage of the Monthly Fraud Amount out of all Affirm Successful Transaction Volume for such applicable Fraud Measurement Period (the “</w:t>
      </w:r>
      <w:r>
        <w:rPr>
          <w:rFonts w:ascii="Times New Roman;sans-serif" w:hAnsi="Times New Roman;sans-serif"/>
          <w:b/>
          <w:color w:val="000000"/>
          <w:sz w:val="20"/>
        </w:rPr>
        <w:t>Monthly Fraud Rate</w:t>
      </w:r>
      <w:r>
        <w:rPr>
          <w:color w:val="000000"/>
        </w:rPr>
        <w:t>”</w:t>
      </w:r>
      <w:r>
        <w:rPr>
          <w:rFonts w:ascii="Times New Roman;sans-serif" w:hAnsi="Times New Roman;sans-serif"/>
          <w:b w:val="false"/>
          <w:color w:val="000000"/>
          <w:sz w:val="20"/>
        </w:rPr>
        <w:t>).</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color w:val="000000"/>
          <w:sz w:val="20"/>
        </w:rPr>
        <w:t xml:space="preserve">Affirm Successful Transaction Volume” </w:t>
      </w:r>
      <w:r>
        <w:rPr>
          <w:rFonts w:ascii="Times New Roman;sans-serif" w:hAnsi="Times New Roman;sans-serif"/>
          <w:b w:val="false"/>
          <w:color w:val="000000"/>
          <w:sz w:val="20"/>
        </w:rPr>
        <w:t>means the aggregate total United States dollar amount of Successful Transactions that have been captured through the POS Product pursuant to the Third Program Outline, less amounts resulting from Customer refunds and chargebacks.</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Solely for example purposes, if (A) the Monthly Fraud Amount for January equals [***] and (B) the Affirm Successful Transaction Volume for January equals [***], then the Monthly Fraud Rate for January will be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To the extent the Monthly Fraud Rate exceeds [***] for any month during the Term, the Parties will discuss and negotiate in good faith what additional fraud prevention tools the Parties can enable to reduce Customer fraud.</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If the Monthly Fraud Rate exceeds [***] for any month during the Term, Affirm or Shopify may elect to suspend the POS Product until mutual agreement to re-launch the POS Product.</w:t>
      </w:r>
    </w:p>
    <w:p>
      <w:pPr>
        <w:pStyle w:val="TextBody"/>
        <w:bidi w:val="0"/>
        <w:spacing w:lineRule="auto" w:line="288" w:before="0" w:after="200"/>
        <w:jc w:val="both"/>
        <w:rPr/>
      </w:pPr>
      <w:r>
        <w:rPr>
          <w:rFonts w:ascii="Times New Roman;sans-serif" w:hAnsi="Times New Roman;sans-serif"/>
          <w:b w:val="false"/>
          <w:color w:val="000000"/>
          <w:sz w:val="20"/>
        </w:rPr>
        <w:t>5.</w:t>
      </w:r>
      <w:r>
        <w:rPr>
          <w:rFonts w:ascii="Times New Roman;sans-serif" w:hAnsi="Times New Roman;sans-serif"/>
          <w:b/>
          <w:color w:val="000000"/>
          <w:sz w:val="20"/>
          <w:u w:val="single"/>
        </w:rPr>
        <w:t>Merchant Engagement, Marketing</w:t>
      </w:r>
      <w:r>
        <w:rPr>
          <w:rFonts w:ascii="Times New Roman;sans-serif" w:hAnsi="Times New Roman;sans-serif"/>
          <w:b/>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With respect to Merchant engagement and marketing, Shopify agrees to: (i) consult with Affirm on its plan for engagement with potential Eligible Merchants; (ii) to use commercially reasonable efforts to launch the POS Product with all potential Eligible Merchants on the Platform during the GA Phase; (iii) to use commercially reasonable efforts to configure the Platform such that all Eligible Merchants will have the option, by default, to offer the Financial Product to Customer; (iv) work with Affirm in good faith to develop a marketing plan for the Program; and (v) work with Affirm in good faith to drive repeat purchases for the program.</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Eligible Merchant will be migrated from a direct integration with Affirm to the POS Product; provided, any Eligible Merchant may choose to enable the POS Product at any time.</w:t>
      </w:r>
    </w:p>
    <w:p>
      <w:pPr>
        <w:pStyle w:val="TextBody"/>
        <w:bidi w:val="0"/>
        <w:spacing w:lineRule="auto" w:line="288" w:before="0" w:after="200"/>
        <w:jc w:val="both"/>
        <w:rPr/>
      </w:pPr>
      <w:r>
        <w:rPr>
          <w:rFonts w:ascii="Times New Roman;sans-serif" w:hAnsi="Times New Roman;sans-serif"/>
          <w:b w:val="false"/>
          <w:color w:val="000000"/>
          <w:sz w:val="20"/>
        </w:rPr>
        <w:t>6.</w:t>
      </w:r>
      <w:r>
        <w:rPr>
          <w:rFonts w:ascii="Times New Roman;sans-serif" w:hAnsi="Times New Roman;sans-serif"/>
          <w:b/>
          <w:color w:val="000000"/>
          <w:sz w:val="20"/>
          <w:u w:val="single"/>
        </w:rPr>
        <w:t>Merchant Fees and Payout</w:t>
      </w:r>
      <w:r>
        <w:rPr>
          <w:rFonts w:ascii="Times New Roman;sans-serif" w:hAnsi="Times New Roman;sans-serif"/>
          <w:b/>
          <w:color w:val="000000"/>
          <w:sz w:val="20"/>
        </w:rPr>
        <w:t xml:space="preserve">. </w:t>
      </w:r>
      <w:r>
        <w:rPr>
          <w:rFonts w:ascii="Times New Roman;sans-serif" w:hAnsi="Times New Roman;sans-serif"/>
          <w:b w:val="false"/>
          <w:color w:val="000000"/>
          <w:sz w:val="20"/>
        </w:rPr>
        <w:t>During the Alpha Phase, the Beta Phase and GA Phase, each Eligible Merchant that makes the POS Product available shall pay the fees (“</w:t>
      </w:r>
      <w:r>
        <w:rPr>
          <w:rFonts w:ascii="Times New Roman;sans-serif" w:hAnsi="Times New Roman;sans-serif"/>
          <w:b/>
          <w:color w:val="000000"/>
          <w:sz w:val="20"/>
        </w:rPr>
        <w:t>Merchant Fees</w:t>
      </w:r>
      <w:r>
        <w:rPr>
          <w:color w:val="000000"/>
        </w:rPr>
        <w:t>”</w:t>
      </w:r>
      <w:r>
        <w:rPr>
          <w:rFonts w:ascii="Times New Roman;sans-serif" w:hAnsi="Times New Roman;sans-serif"/>
          <w:b w:val="false"/>
          <w:color w:val="000000"/>
          <w:sz w:val="20"/>
        </w:rPr>
        <w:t>) and receive funds as set forth in the Low AOV Program Outline and the High AOV Program Outline, as applicable, and in accordance with their applicable Merchant Agreement for each Territory Program Agreement; provided, that if an Eligible Merchant has enabled either Financial Product on its website (an “</w:t>
      </w:r>
      <w:r>
        <w:rPr>
          <w:rFonts w:ascii="Times New Roman;sans-serif" w:hAnsi="Times New Roman;sans-serif"/>
          <w:b/>
          <w:color w:val="000000"/>
          <w:sz w:val="20"/>
        </w:rPr>
        <w:t>Existing Merchant</w:t>
      </w:r>
      <w:r>
        <w:rPr>
          <w:color w:val="000000"/>
        </w:rPr>
        <w:t>”</w:t>
      </w:r>
      <w:r>
        <w:rPr>
          <w:rFonts w:ascii="Times New Roman;sans-serif" w:hAnsi="Times New Roman;sans-serif"/>
          <w:b w:val="false"/>
          <w:color w:val="000000"/>
          <w:sz w:val="20"/>
        </w:rPr>
        <w:t>), the Merchant Fees for the POS Product will be the same Merchant Fees that the Existing Merchant currently pays in connection with the Financial Products offered on its website (the “</w:t>
      </w:r>
      <w:r>
        <w:rPr>
          <w:rFonts w:ascii="Times New Roman;sans-serif" w:hAnsi="Times New Roman;sans-serif"/>
          <w:b/>
          <w:color w:val="000000"/>
          <w:sz w:val="20"/>
        </w:rPr>
        <w:t>Existing Merchant Fees</w:t>
      </w:r>
      <w:r>
        <w:rPr>
          <w:color w:val="000000"/>
        </w:rPr>
        <w:t>”</w:t>
      </w:r>
      <w:r>
        <w:rPr>
          <w:rFonts w:ascii="Times New Roman;sans-serif" w:hAnsi="Times New Roman;sans-serif"/>
          <w:b w:val="false"/>
          <w:color w:val="000000"/>
          <w:sz w:val="20"/>
        </w:rPr>
        <w:t xml:space="preserve">). The tiers of Merchant Fees that may be offered to a Merchant relating to the applicable Financial Product will be set forth in the applicable Territory Program Agreements. For instance, the tiers of the Merchant Fees outlined in a Territory Program Agreement for the High AOV Product will apply to the POS Product where the High AOV Product is offered via the POS Product. </w:t>
      </w:r>
    </w:p>
    <w:p>
      <w:pPr>
        <w:pStyle w:val="TextBody"/>
        <w:bidi w:val="0"/>
        <w:spacing w:lineRule="auto" w:line="288" w:before="0" w:after="200"/>
        <w:jc w:val="both"/>
        <w:rPr/>
      </w:pPr>
      <w:r>
        <w:rPr>
          <w:rFonts w:ascii="Times New Roman;sans-serif" w:hAnsi="Times New Roman;sans-serif"/>
          <w:b w:val="false"/>
          <w:color w:val="000000"/>
          <w:sz w:val="20"/>
        </w:rPr>
        <w:t>7.</w:t>
      </w:r>
      <w:r>
        <w:rPr>
          <w:rFonts w:ascii="Times New Roman;sans-serif" w:hAnsi="Times New Roman;sans-serif"/>
          <w:b/>
          <w:color w:val="000000"/>
          <w:sz w:val="20"/>
          <w:u w:val="single"/>
        </w:rPr>
        <w:t>Shopify Fees and Payout</w:t>
      </w:r>
      <w:r>
        <w:rPr>
          <w:rFonts w:ascii="Times New Roman;sans-serif" w:hAnsi="Times New Roman;sans-serif"/>
          <w:b/>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 xml:space="preserve">Shopify Fees and Payouts to Shopify. </w:t>
      </w:r>
      <w:r>
        <w:rPr>
          <w:rFonts w:ascii="Times New Roman;sans-serif" w:hAnsi="Times New Roman;sans-serif"/>
          <w:b w:val="false"/>
          <w:color w:val="000000"/>
          <w:sz w:val="20"/>
        </w:rPr>
        <w:t>During the Alpha Phase, Beta Phase and the GA Phase, Affirm shall pay to Shopify a fee (“</w:t>
      </w:r>
      <w:r>
        <w:rPr>
          <w:rFonts w:ascii="Times New Roman;sans-serif" w:hAnsi="Times New Roman;sans-serif"/>
          <w:b/>
          <w:color w:val="000000"/>
          <w:sz w:val="20"/>
        </w:rPr>
        <w:t>Shopify Fee</w:t>
      </w:r>
      <w:r>
        <w:rPr>
          <w:color w:val="000000"/>
        </w:rPr>
        <w:t>”</w:t>
      </w:r>
      <w:r>
        <w:rPr>
          <w:rFonts w:ascii="Times New Roman;sans-serif" w:hAnsi="Times New Roman;sans-serif"/>
          <w:b w:val="false"/>
          <w:color w:val="000000"/>
          <w:sz w:val="20"/>
        </w:rPr>
        <w:t>) equal to the fee associated with the Financial Product being offered to the applicable Eligible Merchant and send payouts applicable to each Financial Product to Shopify as set forth in the Low AOV Program Outline and the High AOV Program Outline, as applicable; provided, that the Shopify Fee in connection with an Existing Merchant will be the applicable Shopify Fee to the Existing Merchant Fees as set forth in the Low AOV Program Outline and the High AOV Program Outline, as applicable. The tiers of Merchant Fees and associated Shopify Fee relating to each Financial Product will be set forth in Territory Program Agreements. For instance, the Shopify Fee outlined in a Territory Program Agreement for the High AOV Product will apply to the POS Product where the High AOV Product is offered via the POS Product.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 xml:space="preserve">Payment Processing, </w:t>
      </w:r>
      <w:r>
        <w:rPr>
          <w:rFonts w:ascii="Times New Roman;sans-serif" w:hAnsi="Times New Roman;sans-serif"/>
          <w:b w:val="false"/>
          <w:color w:val="000000"/>
          <w:sz w:val="20"/>
        </w:rPr>
        <w:t>Payment processing shall be as set forth in the applicable Program Outline associated with the Financial Product being offered.</w:t>
      </w:r>
    </w:p>
    <w:p>
      <w:pPr>
        <w:pStyle w:val="TextBody"/>
        <w:bidi w:val="0"/>
        <w:spacing w:lineRule="auto" w:line="288" w:before="0" w:after="200"/>
        <w:jc w:val="both"/>
        <w:rPr/>
      </w:pPr>
      <w:r>
        <w:rPr>
          <w:rFonts w:ascii="Times New Roman;sans-serif" w:hAnsi="Times New Roman;sans-serif"/>
          <w:b w:val="false"/>
          <w:color w:val="000000"/>
          <w:sz w:val="20"/>
        </w:rPr>
        <w:t>8.</w:t>
      </w:r>
      <w:r>
        <w:rPr>
          <w:rFonts w:ascii="Times New Roman;sans-serif" w:hAnsi="Times New Roman;sans-serif"/>
          <w:b/>
          <w:color w:val="000000"/>
          <w:sz w:val="20"/>
          <w:u w:val="single"/>
        </w:rPr>
        <w:t>Customer Installment Program Delay</w:t>
      </w:r>
      <w:r>
        <w:rPr>
          <w:rFonts w:ascii="Times New Roman;sans-serif" w:hAnsi="Times New Roman;sans-serif"/>
          <w:b/>
          <w:color w:val="000000"/>
          <w:sz w:val="20"/>
        </w:rPr>
        <w:t xml:space="preserve">. </w:t>
      </w:r>
      <w:r>
        <w:rPr>
          <w:rFonts w:ascii="Times New Roman;sans-serif" w:hAnsi="Times New Roman;sans-serif"/>
          <w:b w:val="false"/>
          <w:color w:val="000000"/>
          <w:sz w:val="20"/>
        </w:rPr>
        <w:t>The Parties will use reasonable efforts to launch the Alpha Phase of the POS Product no later than a date mutually agreed to by the Parties (the “</w:t>
      </w:r>
      <w:r>
        <w:rPr>
          <w:rFonts w:ascii="Times New Roman;sans-serif" w:hAnsi="Times New Roman;sans-serif"/>
          <w:b/>
          <w:color w:val="000000"/>
          <w:sz w:val="20"/>
        </w:rPr>
        <w:t>Launch Date</w:t>
      </w:r>
      <w:r>
        <w:rPr>
          <w:color w:val="000000"/>
        </w:rPr>
        <w:t>”</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9.</w:t>
      </w:r>
      <w:r>
        <w:rPr>
          <w:rFonts w:ascii="Times New Roman;sans-serif" w:hAnsi="Times New Roman;sans-serif"/>
          <w:b/>
          <w:color w:val="000000"/>
          <w:sz w:val="20"/>
          <w:u w:val="single"/>
        </w:rPr>
        <w:t>Merchant Underwriting and AML/OFAC Screening</w:t>
      </w:r>
      <w:r>
        <w:rPr>
          <w:rFonts w:ascii="Times New Roman;sans-serif" w:hAnsi="Times New Roman;sans-serif"/>
          <w:b/>
          <w:color w:val="000000"/>
          <w:sz w:val="20"/>
        </w:rPr>
        <w:t xml:space="preserve">. </w:t>
      </w:r>
      <w:r>
        <w:rPr>
          <w:rFonts w:ascii="Times New Roman;sans-serif" w:hAnsi="Times New Roman;sans-serif"/>
          <w:b w:val="false"/>
          <w:color w:val="000000"/>
          <w:sz w:val="20"/>
        </w:rPr>
        <w:t>Merchant underwriting and AML/OFAC screening shall be conducted in accordance with the Financial Product being offered as set forth in the Low AOV Program Outline or the High AOV Program Outline, as applicable.</w:t>
      </w:r>
    </w:p>
    <w:p>
      <w:pPr>
        <w:pStyle w:val="TextBody"/>
        <w:bidi w:val="0"/>
        <w:spacing w:lineRule="auto" w:line="288" w:before="0" w:after="200"/>
        <w:jc w:val="both"/>
        <w:rPr/>
      </w:pPr>
      <w:r>
        <w:rPr>
          <w:rFonts w:ascii="Times New Roman;sans-serif" w:hAnsi="Times New Roman;sans-serif"/>
          <w:b w:val="false"/>
          <w:color w:val="000000"/>
          <w:sz w:val="20"/>
        </w:rPr>
        <w:t>10.</w:t>
      </w:r>
      <w:r>
        <w:rPr>
          <w:rFonts w:ascii="Times New Roman;sans-serif" w:hAnsi="Times New Roman;sans-serif"/>
          <w:b/>
          <w:color w:val="000000"/>
          <w:sz w:val="20"/>
          <w:u w:val="single"/>
        </w:rPr>
        <w:t>Reports</w:t>
      </w:r>
      <w:r>
        <w:rPr>
          <w:rFonts w:ascii="Times New Roman;sans-serif" w:hAnsi="Times New Roman;sans-serif"/>
          <w:b/>
          <w:color w:val="000000"/>
          <w:sz w:val="20"/>
        </w:rPr>
        <w:t>. A</w:t>
      </w:r>
      <w:r>
        <w:rPr>
          <w:rFonts w:ascii="Times New Roman;sans-serif" w:hAnsi="Times New Roman;sans-serif"/>
          <w:b w:val="false"/>
          <w:color w:val="000000"/>
          <w:sz w:val="20"/>
        </w:rPr>
        <w:t>ffirm shall include a section related to the POS Product in the Reports it delivers to Shopify in accordance with any other Program Outline; provided, that Shopify will provide Affirm with necessary information in order for Affirm to identify transactions completed through the POS Product. The details necessary for any Reports that are related to the POS Product will be mutually agreed to between the Parties.</w:t>
      </w:r>
    </w:p>
    <w:p>
      <w:pPr>
        <w:pStyle w:val="TextBody"/>
        <w:bidi w:val="0"/>
        <w:spacing w:lineRule="auto" w:line="288" w:before="0" w:after="200"/>
        <w:jc w:val="both"/>
        <w:rPr/>
      </w:pPr>
      <w:r>
        <w:rPr>
          <w:rFonts w:ascii="Times New Roman;sans-serif" w:hAnsi="Times New Roman;sans-serif"/>
          <w:b w:val="false"/>
          <w:color w:val="000000"/>
          <w:sz w:val="20"/>
        </w:rPr>
        <w:t>11.</w:t>
      </w:r>
      <w:r>
        <w:rPr>
          <w:rFonts w:ascii="Times New Roman;sans-serif" w:hAnsi="Times New Roman;sans-serif"/>
          <w:b/>
          <w:color w:val="000000"/>
          <w:sz w:val="20"/>
          <w:u w:val="single"/>
        </w:rPr>
        <w:t>Program Modifications</w:t>
      </w:r>
      <w:r>
        <w:rPr>
          <w:rFonts w:ascii="Times New Roman;sans-serif" w:hAnsi="Times New Roman;sans-serif"/>
          <w:b/>
          <w:color w:val="000000"/>
          <w:sz w:val="20"/>
        </w:rPr>
        <w:t xml:space="preserve">. </w:t>
      </w:r>
      <w:r>
        <w:rPr>
          <w:rFonts w:ascii="Times New Roman;sans-serif" w:hAnsi="Times New Roman;sans-serif"/>
          <w:b w:val="false"/>
          <w:color w:val="000000"/>
          <w:sz w:val="20"/>
        </w:rPr>
        <w:t>To the extent Shopify requests a modification of the POS Product that requires development beyond that 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pStyle w:val="TextBody"/>
        <w:bidi w:val="0"/>
        <w:spacing w:lineRule="auto" w:line="288" w:before="0" w:after="200"/>
        <w:jc w:val="both"/>
        <w:rPr/>
      </w:pPr>
      <w:r>
        <w:rPr>
          <w:rFonts w:ascii="Times New Roman;sans-serif" w:hAnsi="Times New Roman;sans-serif"/>
          <w:b w:val="false"/>
          <w:color w:val="000000"/>
          <w:sz w:val="20"/>
        </w:rPr>
        <w:t>12.</w:t>
      </w:r>
      <w:r>
        <w:rPr>
          <w:rFonts w:ascii="Times New Roman;sans-serif" w:hAnsi="Times New Roman;sans-serif"/>
          <w:b/>
          <w:color w:val="000000"/>
          <w:sz w:val="20"/>
          <w:u w:val="single"/>
        </w:rPr>
        <w:t>Tests</w:t>
      </w:r>
      <w:r>
        <w:rPr>
          <w:rFonts w:ascii="Times New Roman;sans-serif" w:hAnsi="Times New Roman;sans-serif"/>
          <w:b/>
          <w:color w:val="000000"/>
          <w:sz w:val="20"/>
        </w:rPr>
        <w:t xml:space="preserve">. </w:t>
      </w:r>
      <w:r>
        <w:rPr>
          <w:rFonts w:ascii="Times New Roman;sans-serif" w:hAnsi="Times New Roman;sans-serif"/>
          <w:b w:val="false"/>
          <w:color w:val="000000"/>
          <w:sz w:val="20"/>
        </w:rPr>
        <w:t>To the extent the Parties agree to [***]. 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 Following the conclusion of a Test, if the Parties desire to more widely deploy the construct from the Test, Parties may agree to amend this Agreement or add an additional Program Outline to reflect the terms of (or substantially similar to those of) the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C-4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PROGRAM OUTLINE 4</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Shop Pay Components Services - SPC Program</w:t>
      </w:r>
    </w:p>
    <w:p>
      <w:pPr>
        <w:pStyle w:val="TextBody"/>
        <w:bidi w:val="0"/>
        <w:spacing w:lineRule="auto" w:line="288" w:before="0" w:after="20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Program Description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The Program [***] will be offered in the Territory in accordance with the applicable Territory Program Agreement (the “</w:t>
      </w:r>
      <w:r>
        <w:rPr>
          <w:rFonts w:ascii="Times New Roman;sans-serif" w:hAnsi="Times New Roman;sans-serif"/>
          <w:b/>
          <w:color w:val="000000"/>
          <w:sz w:val="20"/>
        </w:rPr>
        <w:t>SPC Product</w:t>
      </w:r>
      <w:r>
        <w:rPr>
          <w:color w:val="000000"/>
        </w:rPr>
        <w:t>”</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Product Construct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addition to (i) Section 3 of Exhibit C-1 (First Program Outline - Low AOV Product) (the “</w:t>
      </w:r>
      <w:r>
        <w:rPr>
          <w:rFonts w:ascii="Times New Roman;sans-serif" w:hAnsi="Times New Roman;sans-serif"/>
          <w:b/>
          <w:color w:val="000000"/>
          <w:sz w:val="20"/>
        </w:rPr>
        <w:t>Low AOV Program Outline</w:t>
      </w:r>
      <w:r>
        <w:rPr>
          <w:color w:val="000000"/>
        </w:rPr>
        <w:t>”</w:t>
      </w:r>
      <w:r>
        <w:rPr>
          <w:rFonts w:ascii="Times New Roman;sans-serif" w:hAnsi="Times New Roman;sans-serif"/>
          <w:b w:val="false"/>
          <w:color w:val="000000"/>
          <w:sz w:val="20"/>
        </w:rPr>
        <w:t>) (ii) Section 3 of Exhibit C-2 (Second Program Outline - High AOV Product) (the “</w:t>
      </w:r>
      <w:r>
        <w:rPr>
          <w:rFonts w:ascii="Times New Roman;sans-serif" w:hAnsi="Times New Roman;sans-serif"/>
          <w:b/>
          <w:color w:val="000000"/>
          <w:sz w:val="20"/>
        </w:rPr>
        <w:t>High AOV Program Outline</w:t>
      </w:r>
      <w:r>
        <w:rPr>
          <w:color w:val="000000"/>
        </w:rPr>
        <w:t>”</w:t>
      </w:r>
      <w:r>
        <w:rPr>
          <w:rFonts w:ascii="Times New Roman;sans-serif" w:hAnsi="Times New Roman;sans-serif"/>
          <w:b w:val="false"/>
          <w:color w:val="000000"/>
          <w:sz w:val="20"/>
        </w:rPr>
        <w:t>) and (iii) Section 2 of Exhibit C-3 (Third Program Outline- POS Product) (the “</w:t>
      </w:r>
      <w:r>
        <w:rPr>
          <w:rFonts w:ascii="Times New Roman;sans-serif" w:hAnsi="Times New Roman;sans-serif"/>
          <w:b/>
          <w:color w:val="000000"/>
          <w:sz w:val="20"/>
        </w:rPr>
        <w:t>POS Program Outline</w:t>
      </w:r>
      <w:r>
        <w:rPr>
          <w:color w:val="000000"/>
        </w:rPr>
        <w:t>”</w:t>
      </w:r>
      <w:r>
        <w:rPr>
          <w:rFonts w:ascii="Times New Roman;sans-serif" w:hAnsi="Times New Roman;sans-serif"/>
          <w:b w:val="false"/>
          <w:color w:val="000000"/>
          <w:sz w:val="20"/>
        </w:rPr>
        <w:t>), the Parties have agreed to the following as the minimum requirements necessary for the “</w:t>
      </w:r>
      <w:r>
        <w:rPr>
          <w:rFonts w:ascii="Times New Roman;sans-serif" w:hAnsi="Times New Roman;sans-serif"/>
          <w:b/>
          <w:color w:val="000000"/>
          <w:sz w:val="20"/>
        </w:rPr>
        <w:t>Product Construct</w:t>
      </w:r>
      <w:r>
        <w:rPr>
          <w:color w:val="000000"/>
        </w:rPr>
        <w:t xml:space="preserve">” </w:t>
      </w:r>
      <w:r>
        <w:rPr>
          <w:rFonts w:ascii="Times New Roman;sans-serif" w:hAnsi="Times New Roman;sans-serif"/>
          <w:b w:val="false"/>
          <w:color w:val="000000"/>
          <w:sz w:val="20"/>
        </w:rPr>
        <w:t>for the SPC Product. To the extent that there are any changes to the SPC Product, the Parties will mutually agree to such changes (email sufficient).</w:t>
      </w:r>
    </w:p>
    <w:p>
      <w:pPr>
        <w:pStyle w:val="TextBody"/>
        <w:bidi w:val="0"/>
        <w:spacing w:lineRule="auto" w:line="288" w:before="0" w:after="200"/>
        <w:jc w:val="both"/>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color w:val="000000"/>
          <w:sz w:val="20"/>
          <w:u w:val="single"/>
        </w:rPr>
        <w:t>Definitions</w:t>
      </w:r>
      <w:r>
        <w:rPr>
          <w:rFonts w:ascii="Times New Roman;sans-serif" w:hAnsi="Times New Roman;sans-serif"/>
          <w:b/>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color w:val="000000"/>
          <w:sz w:val="20"/>
        </w:rPr>
        <w:t>SPC Product Merchant</w:t>
      </w:r>
      <w:r>
        <w:rPr>
          <w:color w:val="000000"/>
        </w:rPr>
        <w:t xml:space="preserve">” </w:t>
      </w:r>
      <w:r>
        <w:rPr>
          <w:rFonts w:ascii="Times New Roman;sans-serif" w:hAnsi="Times New Roman;sans-serif"/>
          <w:b w:val="false"/>
          <w:color w:val="000000"/>
          <w:sz w:val="20"/>
        </w:rPr>
        <w:t>is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color w:val="000000"/>
          <w:sz w:val="20"/>
        </w:rPr>
        <w:t>Shop Pay Component Services Merchant</w:t>
      </w:r>
      <w:r>
        <w:rPr>
          <w:color w:val="000000"/>
        </w:rPr>
        <w:t xml:space="preserve">” </w:t>
      </w:r>
      <w:r>
        <w:rPr>
          <w:rFonts w:ascii="Times New Roman;sans-serif" w:hAnsi="Times New Roman;sans-serif"/>
          <w:b w:val="false"/>
          <w:color w:val="000000"/>
          <w:sz w:val="20"/>
        </w:rPr>
        <w:t>means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color w:val="000000"/>
          <w:sz w:val="20"/>
        </w:rPr>
        <w:t>Affirm Direct Merchant</w:t>
      </w:r>
      <w:r>
        <w:rPr>
          <w:color w:val="000000"/>
        </w:rPr>
        <w:t xml:space="preserve">” </w:t>
      </w:r>
      <w:r>
        <w:rPr>
          <w:rFonts w:ascii="Times New Roman;sans-serif" w:hAnsi="Times New Roman;sans-serif"/>
          <w:b w:val="false"/>
          <w:color w:val="000000"/>
          <w:sz w:val="20"/>
        </w:rPr>
        <w:t>is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Merchant Engagement</w:t>
      </w:r>
      <w:r>
        <w:rPr>
          <w:rFonts w:ascii="Times New Roman;sans-serif" w:hAnsi="Times New Roman;sans-serif"/>
          <w:b/>
          <w:color w:val="000000"/>
          <w:sz w:val="20"/>
        </w:rPr>
        <w:t xml:space="preserve">. </w:t>
      </w:r>
      <w:r>
        <w:rPr>
          <w:rFonts w:ascii="Times New Roman;sans-serif" w:hAnsi="Times New Roman;sans-serif"/>
          <w:b w:val="false"/>
          <w:color w:val="000000"/>
          <w:sz w:val="20"/>
        </w:rPr>
        <w:t>With respect to merchant engagement and marketing in connection with the SPC Product, the Parties agree as follows: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6.</w:t>
      </w:r>
      <w:r>
        <w:rPr>
          <w:rFonts w:ascii="Times New Roman;sans-serif" w:hAnsi="Times New Roman;sans-serif"/>
          <w:b/>
          <w:color w:val="000000"/>
          <w:sz w:val="20"/>
          <w:u w:val="single"/>
        </w:rPr>
        <w:t>Customer Information, Merchant Information and Program Information</w:t>
      </w:r>
      <w:r>
        <w:rPr>
          <w:rFonts w:ascii="Times New Roman;sans-serif" w:hAnsi="Times New Roman;sans-serif"/>
          <w:b/>
          <w:color w:val="000000"/>
          <w:sz w:val="20"/>
        </w:rPr>
        <w:t xml:space="preserve">. </w:t>
      </w:r>
      <w:r>
        <w:rPr>
          <w:rFonts w:ascii="Times New Roman;sans-serif" w:hAnsi="Times New Roman;sans-serif"/>
          <w:b w:val="false"/>
          <w:color w:val="000000"/>
          <w:sz w:val="20"/>
        </w:rPr>
        <w:t>Notwithstanding anything to the contrary in the Agreement, any information or data obtained by Affirm about [***] independent of the SPC Program shall be [***] and shall not constitute [***]; provided that [***] to the extent [***] independently possesses or obtains such [***] from [***].</w:t>
      </w:r>
    </w:p>
    <w:p>
      <w:pPr>
        <w:pStyle w:val="TextBody"/>
        <w:bidi w:val="0"/>
        <w:spacing w:lineRule="auto" w:line="288" w:before="0" w:after="200"/>
        <w:jc w:val="both"/>
        <w:rPr/>
      </w:pPr>
      <w:r>
        <w:rPr>
          <w:rFonts w:ascii="Times New Roman;sans-serif" w:hAnsi="Times New Roman;sans-serif"/>
          <w:b w:val="false"/>
          <w:color w:val="000000"/>
          <w:sz w:val="20"/>
        </w:rPr>
        <w:t>7.</w:t>
      </w:r>
      <w:r>
        <w:rPr>
          <w:rFonts w:ascii="Times New Roman;sans-serif" w:hAnsi="Times New Roman;sans-serif"/>
          <w:b/>
          <w:color w:val="000000"/>
          <w:sz w:val="20"/>
          <w:u w:val="single"/>
        </w:rPr>
        <w:t>Merchant Fees and Payout</w:t>
      </w:r>
      <w:r>
        <w:rPr>
          <w:rFonts w:ascii="Times New Roman;sans-serif" w:hAnsi="Times New Roman;sans-serif"/>
          <w:b/>
          <w:color w:val="000000"/>
          <w:sz w:val="20"/>
        </w:rPr>
        <w:t xml:space="preserve">.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Merchant Fees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0" w:after="200"/>
        <w:ind w:left="0" w:right="0" w:firstLine="180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 </w:t>
      </w:r>
    </w:p>
    <w:p>
      <w:pPr>
        <w:pStyle w:val="TextBody"/>
        <w:bidi w:val="0"/>
        <w:spacing w:lineRule="auto" w:line="288" w:before="0" w:after="200"/>
        <w:ind w:left="0" w:right="0" w:firstLine="180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 xml:space="preserve">Payouts to Eligible Merchants. </w:t>
      </w:r>
      <w:r>
        <w:rPr>
          <w:rFonts w:ascii="Times New Roman;sans-serif" w:hAnsi="Times New Roman;sans-serif"/>
          <w:b w:val="false"/>
          <w:color w:val="000000"/>
          <w:sz w:val="20"/>
        </w:rPr>
        <w:t xml:space="preserve">Funds shall be disbursed in connection with this Program Outline to each Eligible Merchant in accordance with the disbursement terms associated with the Financial Product being offered as set forth in the Low AOV Program Outline or the High AOV Program Outline, each as applicable, and as stated in the applicable Merchant Agreement. For instance, if a Merchant is offering the Low AOV via the SPC Product, then the Payouts to Eligible Merchants will be as set forth in the Low AOV Program Outline. Affirm or, as agreed in writing by the Parties, a third-party payment processing provider, shall disburse funds in connection with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Program to each Eligible Merchant in accordance with this Section and as stated in the applicable Merchant Agreement.</w:t>
      </w:r>
    </w:p>
    <w:p>
      <w:pPr>
        <w:pStyle w:val="TextBody"/>
        <w:bidi w:val="0"/>
        <w:spacing w:lineRule="auto" w:line="288" w:before="0" w:after="200"/>
        <w:jc w:val="both"/>
        <w:rPr/>
      </w:pPr>
      <w:r>
        <w:rPr>
          <w:rFonts w:ascii="Times New Roman;sans-serif" w:hAnsi="Times New Roman;sans-serif"/>
          <w:b/>
          <w:color w:val="000000"/>
          <w:sz w:val="20"/>
        </w:rPr>
        <w:t>8.</w:t>
      </w:r>
      <w:r>
        <w:rPr>
          <w:rFonts w:ascii="Times New Roman;sans-serif" w:hAnsi="Times New Roman;sans-serif"/>
          <w:b/>
          <w:color w:val="000000"/>
          <w:sz w:val="20"/>
          <w:u w:val="single"/>
        </w:rPr>
        <w:t>Shopify Fee and Payouts</w:t>
      </w:r>
      <w:r>
        <w:rPr>
          <w:rFonts w:ascii="Times New Roman;sans-serif" w:hAnsi="Times New Roman;sans-serif"/>
          <w:b/>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rPr>
        <w:t>Shopify Fees</w:t>
      </w:r>
      <w:r>
        <w:rPr>
          <w:rFonts w:ascii="Times New Roman;sans-serif" w:hAnsi="Times New Roman;sans-serif"/>
          <w:b w:val="false"/>
          <w:color w:val="000000"/>
          <w:sz w:val="20"/>
        </w:rPr>
        <w:t>.</w:t>
      </w:r>
    </w:p>
    <w:p>
      <w:pPr>
        <w:pStyle w:val="TextBody"/>
        <w:bidi w:val="0"/>
        <w:spacing w:lineRule="auto" w:line="288" w:before="0" w:after="200"/>
        <w:ind w:left="0" w:right="0" w:firstLine="1800"/>
        <w:jc w:val="both"/>
        <w:rPr/>
      </w:pPr>
      <w:r>
        <w:rPr>
          <w:rFonts w:ascii="Times New Roman;sans-serif" w:hAnsi="Times New Roman;sans-serif"/>
          <w:b/>
          <w:color w:val="000000"/>
          <w:sz w:val="20"/>
        </w:rPr>
        <w:t>(i)</w:t>
      </w:r>
      <w:r>
        <w:rPr>
          <w:rFonts w:ascii="Times New Roman;sans-serif" w:hAnsi="Times New Roman;sans-serif"/>
          <w:b w:val="false"/>
          <w:color w:val="000000"/>
          <w:sz w:val="20"/>
        </w:rPr>
        <w:t xml:space="preserve">[***] </w:t>
      </w:r>
    </w:p>
    <w:p>
      <w:pPr>
        <w:pStyle w:val="TextBody"/>
        <w:bidi w:val="0"/>
        <w:spacing w:lineRule="auto" w:line="288" w:before="0" w:after="200"/>
        <w:ind w:left="0" w:right="0" w:firstLine="180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Payouts to Shopify</w:t>
      </w:r>
      <w:r>
        <w:rPr>
          <w:rFonts w:ascii="Times New Roman;sans-serif" w:hAnsi="Times New Roman;sans-serif"/>
          <w:b w:val="false"/>
          <w:color w:val="000000"/>
          <w:sz w:val="20"/>
        </w:rPr>
        <w:t>. As set forth in the applicable Territory Program Agreement.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color w:val="000000"/>
          <w:sz w:val="20"/>
        </w:rPr>
        <w:t>Payment Processing</w:t>
      </w:r>
      <w:r>
        <w:rPr>
          <w:rFonts w:ascii="Times New Roman;sans-serif" w:hAnsi="Times New Roman;sans-serif"/>
          <w:b w:val="false"/>
          <w:color w:val="000000"/>
          <w:sz w:val="20"/>
        </w:rPr>
        <w:t>. As set forth in the applicable Territory Program Agreement.</w:t>
      </w:r>
    </w:p>
    <w:p>
      <w:pPr>
        <w:pStyle w:val="TextBody"/>
        <w:bidi w:val="0"/>
        <w:spacing w:lineRule="auto" w:line="288" w:before="0" w:after="20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10.</w:t>
      </w:r>
      <w:r>
        <w:rPr>
          <w:rFonts w:ascii="Times New Roman;sans-serif" w:hAnsi="Times New Roman;sans-serif"/>
          <w:b/>
          <w:color w:val="000000"/>
          <w:sz w:val="20"/>
          <w:u w:val="single"/>
        </w:rPr>
        <w:t>Merchant Underwriting and AML/OFAC Screening</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Merchant underwriting and AML/OFAC screening shall be conducted in accordance with the Financial Product being offered as set forth in the Low AOV Program Outline or the High AOV Program Outline, as applicable.</w:t>
      </w:r>
    </w:p>
    <w:p>
      <w:pPr>
        <w:pStyle w:val="TextBody"/>
        <w:bidi w:val="0"/>
        <w:spacing w:lineRule="auto" w:line="288" w:before="0" w:after="200"/>
        <w:jc w:val="both"/>
        <w:rPr/>
      </w:pPr>
      <w:r>
        <w:rPr>
          <w:rFonts w:ascii="Times New Roman;sans-serif" w:hAnsi="Times New Roman;sans-serif"/>
          <w:b w:val="false"/>
          <w:color w:val="000000"/>
          <w:sz w:val="20"/>
        </w:rPr>
        <w:t>11.</w:t>
      </w:r>
      <w:r>
        <w:rPr>
          <w:rFonts w:ascii="Times New Roman;sans-serif" w:hAnsi="Times New Roman;sans-serif"/>
          <w:b/>
          <w:color w:val="000000"/>
          <w:sz w:val="20"/>
          <w:u w:val="single"/>
        </w:rPr>
        <w:t>Reports</w:t>
      </w:r>
      <w:r>
        <w:rPr>
          <w:rFonts w:ascii="Times New Roman;sans-serif" w:hAnsi="Times New Roman;sans-serif"/>
          <w:b/>
          <w:color w:val="000000"/>
          <w:sz w:val="20"/>
        </w:rPr>
        <w:t xml:space="preserve">. </w:t>
      </w:r>
      <w:r>
        <w:rPr>
          <w:rFonts w:ascii="Times New Roman;sans-serif" w:hAnsi="Times New Roman;sans-serif"/>
          <w:b w:val="false"/>
          <w:color w:val="000000"/>
          <w:sz w:val="20"/>
        </w:rPr>
        <w:t>Affirm shall include a section related to the SPC Product in the Reports it delivers to Shopify in accordance with any other Program Outline; provided, that Shopify will provide Affirm with necessary information in order for Affirm to identify transactions completed through the SPC Product. The details necessary for any Reports that are related to the SPC Product will be mutually agreed to between the Parties.</w:t>
      </w:r>
    </w:p>
    <w:p>
      <w:pPr>
        <w:pStyle w:val="TextBody"/>
        <w:bidi w:val="0"/>
        <w:spacing w:lineRule="auto" w:line="288" w:before="0" w:after="200"/>
        <w:jc w:val="both"/>
        <w:rPr/>
      </w:pPr>
      <w:r>
        <w:rPr>
          <w:rFonts w:ascii="Times New Roman;sans-serif" w:hAnsi="Times New Roman;sans-serif"/>
          <w:b w:val="false"/>
          <w:color w:val="000000"/>
          <w:sz w:val="20"/>
        </w:rPr>
        <w:t>12.</w:t>
      </w:r>
      <w:r>
        <w:rPr>
          <w:rFonts w:ascii="Times New Roman;sans-serif" w:hAnsi="Times New Roman;sans-serif"/>
          <w:b/>
          <w:color w:val="000000"/>
          <w:sz w:val="20"/>
          <w:u w:val="single"/>
        </w:rPr>
        <w:t>Program Modifications</w:t>
      </w:r>
      <w:r>
        <w:rPr>
          <w:rFonts w:ascii="Times New Roman;sans-serif" w:hAnsi="Times New Roman;sans-serif"/>
          <w:b/>
          <w:color w:val="000000"/>
          <w:sz w:val="20"/>
        </w:rPr>
        <w:t xml:space="preserve">. </w:t>
      </w:r>
      <w:r>
        <w:rPr>
          <w:rFonts w:ascii="Times New Roman;sans-serif" w:hAnsi="Times New Roman;sans-serif"/>
          <w:b w:val="false"/>
          <w:color w:val="000000"/>
          <w:sz w:val="20"/>
        </w:rPr>
        <w:t>To the extent Shopify requests a modification of the SPC Product that requires development beyond that 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pStyle w:val="TextBody"/>
        <w:bidi w:val="0"/>
        <w:spacing w:lineRule="auto" w:line="288" w:before="0" w:after="200"/>
        <w:jc w:val="both"/>
        <w:rPr/>
      </w:pPr>
      <w:r>
        <w:rPr>
          <w:rFonts w:ascii="Times New Roman;sans-serif" w:hAnsi="Times New Roman;sans-serif"/>
          <w:b w:val="false"/>
          <w:color w:val="000000"/>
          <w:sz w:val="20"/>
        </w:rPr>
        <w:t>13.</w:t>
      </w:r>
      <w:r>
        <w:rPr>
          <w:rFonts w:ascii="Times New Roman;sans-serif" w:hAnsi="Times New Roman;sans-serif"/>
          <w:b/>
          <w:color w:val="000000"/>
          <w:sz w:val="20"/>
          <w:u w:val="single"/>
        </w:rPr>
        <w:t>Tests</w:t>
      </w:r>
      <w:r>
        <w:rPr>
          <w:rFonts w:ascii="Times New Roman;sans-serif" w:hAnsi="Times New Roman;sans-serif"/>
          <w:b/>
          <w:color w:val="000000"/>
          <w:sz w:val="20"/>
        </w:rPr>
        <w:t xml:space="preserve">. </w:t>
      </w:r>
      <w:r>
        <w:rPr>
          <w:rFonts w:ascii="Times New Roman;sans-serif" w:hAnsi="Times New Roman;sans-serif"/>
          <w:b w:val="false"/>
          <w:color w:val="000000"/>
          <w:sz w:val="20"/>
        </w:rPr>
        <w:t>To the extent the Parties agree to [***]. 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 Following the conclusion of a Test, if the Parties desire to more widely deploy the construct from the Test, Parties may agree to amend this Agreement or add an additional Program Outline to reflect the terms of (or substantially similar to those of) the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E</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TERRITORY PROGRAM AGREEMENT</w:t>
      </w:r>
    </w:p>
    <w:p>
      <w:pPr>
        <w:pStyle w:val="TextBody"/>
        <w:bidi w:val="0"/>
        <w:spacing w:lineRule="auto" w:line="288" w:before="0" w:after="20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TEMPLATE - TERRITORY PROGRAM AGREEMENT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[COUNTRY]</w:t>
      </w:r>
    </w:p>
    <w:tbl>
      <w:tblPr>
        <w:tblW w:w="8999" w:type="dxa"/>
        <w:jc w:val="left"/>
        <w:tblInd w:w="0" w:type="dxa"/>
        <w:tblLayout w:type="fixed"/>
        <w:tblCellMar>
          <w:top w:w="28" w:type="dxa"/>
          <w:left w:w="28" w:type="dxa"/>
          <w:bottom w:w="28" w:type="dxa"/>
          <w:right w:w="28" w:type="dxa"/>
        </w:tblCellMar>
      </w:tblPr>
      <w:tblGrid>
        <w:gridCol w:w="683"/>
        <w:gridCol w:w="602"/>
        <w:gridCol w:w="604"/>
        <w:gridCol w:w="2079"/>
        <w:gridCol w:w="2079"/>
        <w:gridCol w:w="2952"/>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6" w:space="0" w:color="000000"/>
              <w:left w:val="single" w:sz="8" w:space="0" w:color="000000"/>
            </w:tcBorders>
            <w:shd w:fill="F2F2F2" w:val="clear"/>
            <w:tcMar>
              <w:top w:w="30" w:type="dxa"/>
              <w:bottom w:w="0" w:type="dxa"/>
              <w:right w:w="0" w:type="dxa"/>
            </w:tcMar>
            <w:vAlign w:val="center"/>
          </w:tcPr>
          <w:p>
            <w:pPr>
              <w:pStyle w:val="TableContents"/>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Affirm Party</w:t>
            </w:r>
          </w:p>
        </w:tc>
        <w:tc>
          <w:tcPr>
            <w:tcW w:w="7110" w:type="dxa"/>
            <w:gridSpan w:val="3"/>
            <w:tcBorders>
              <w:top w:val="single" w:sz="6" w:space="0" w:color="000000"/>
              <w:left w:val="single" w:sz="6"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w:t>
            </w:r>
          </w:p>
        </w:tc>
      </w:tr>
      <w:tr>
        <w:trPr/>
        <w:tc>
          <w:tcPr>
            <w:tcW w:w="1889" w:type="dxa"/>
            <w:gridSpan w:val="3"/>
            <w:tcBorders>
              <w:top w:val="single" w:sz="6" w:space="0" w:color="000000"/>
              <w:left w:val="single" w:sz="8" w:space="0" w:color="000000"/>
            </w:tcBorders>
            <w:shd w:fill="F2F2F2" w:val="clear"/>
            <w:tcMar>
              <w:top w:w="30" w:type="dxa"/>
              <w:bottom w:w="0" w:type="dxa"/>
              <w:right w:w="0" w:type="dxa"/>
            </w:tcMar>
            <w:vAlign w:val="center"/>
          </w:tcPr>
          <w:p>
            <w:pPr>
              <w:pStyle w:val="TableContents"/>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Shopify Party</w:t>
            </w:r>
          </w:p>
        </w:tc>
        <w:tc>
          <w:tcPr>
            <w:tcW w:w="7110" w:type="dxa"/>
            <w:gridSpan w:val="3"/>
            <w:tcBorders>
              <w:top w:val="single" w:sz="6" w:space="0" w:color="000000"/>
              <w:left w:val="single" w:sz="6"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w:t>
            </w:r>
          </w:p>
        </w:tc>
      </w:tr>
      <w:tr>
        <w:trPr/>
        <w:tc>
          <w:tcPr>
            <w:tcW w:w="1889" w:type="dxa"/>
            <w:gridSpan w:val="3"/>
            <w:tcBorders>
              <w:top w:val="single" w:sz="6" w:space="0" w:color="000000"/>
              <w:left w:val="single" w:sz="8" w:space="0" w:color="000000"/>
            </w:tcBorders>
            <w:shd w:fill="F2F2F2" w:val="clear"/>
            <w:tcMar>
              <w:top w:w="30" w:type="dxa"/>
              <w:bottom w:w="0" w:type="dxa"/>
              <w:right w:w="0" w:type="dxa"/>
            </w:tcMar>
            <w:vAlign w:val="center"/>
          </w:tcPr>
          <w:p>
            <w:pPr>
              <w:pStyle w:val="TableContents"/>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Agreement</w:t>
            </w:r>
          </w:p>
        </w:tc>
        <w:tc>
          <w:tcPr>
            <w:tcW w:w="7110" w:type="dxa"/>
            <w:gridSpan w:val="3"/>
            <w:tcBorders>
              <w:top w:val="single" w:sz="6" w:space="0" w:color="000000"/>
              <w:left w:val="single" w:sz="6"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(as defined below)</w:t>
            </w:r>
          </w:p>
        </w:tc>
      </w:tr>
      <w:tr>
        <w:trPr/>
        <w:tc>
          <w:tcPr>
            <w:tcW w:w="1889" w:type="dxa"/>
            <w:gridSpan w:val="3"/>
            <w:tcBorders>
              <w:top w:val="single" w:sz="6" w:space="0" w:color="000000"/>
              <w:left w:val="single" w:sz="8" w:space="0" w:color="000000"/>
            </w:tcBorders>
            <w:shd w:fill="F2F2F2" w:val="clear"/>
            <w:tcMar>
              <w:top w:w="30" w:type="dxa"/>
              <w:bottom w:w="0" w:type="dxa"/>
              <w:right w:w="0" w:type="dxa"/>
            </w:tcMar>
            <w:vAlign w:val="center"/>
          </w:tcPr>
          <w:p>
            <w:pPr>
              <w:pStyle w:val="TableContents"/>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Affirm Legal Page(s)</w:t>
            </w:r>
          </w:p>
        </w:tc>
        <w:tc>
          <w:tcPr>
            <w:tcW w:w="7110" w:type="dxa"/>
            <w:gridSpan w:val="3"/>
            <w:tcBorders>
              <w:top w:val="single" w:sz="6" w:space="0" w:color="000000"/>
              <w:left w:val="single" w:sz="6" w:space="0" w:color="000000"/>
              <w:right w:val="single" w:sz="8" w:space="0" w:color="000000"/>
            </w:tcBorders>
            <w:tcMar>
              <w:top w:w="30" w:type="dxa"/>
              <w:bottom w:w="0" w:type="dxa"/>
            </w:tcMar>
            <w:vAlign w:val="center"/>
          </w:tcPr>
          <w:p>
            <w:pPr>
              <w:pStyle w:val="TableContents"/>
              <w:bidi w:val="0"/>
              <w:spacing w:lineRule="auto" w:line="288" w:before="60" w:after="60"/>
              <w:ind w:left="0" w:right="0" w:hanging="2"/>
              <w:jc w:val="left"/>
              <w:rPr/>
            </w:pPr>
            <w:r>
              <w:rPr>
                <w:rFonts w:ascii="Times New Roman;sans-serif" w:hAnsi="Times New Roman;sans-serif"/>
                <w:b/>
                <w:color w:val="000000"/>
                <w:sz w:val="20"/>
              </w:rPr>
              <w:t>Prohibited Business Policy</w:t>
            </w:r>
            <w:r>
              <w:rPr>
                <w:rFonts w:ascii="Times New Roman;sans-serif" w:hAnsi="Times New Roman;sans-serif"/>
                <w:b w:val="false"/>
                <w:color w:val="000000"/>
                <w:sz w:val="20"/>
              </w:rPr>
              <w:t>: [_____], or such other URL as Affirm may agree.</w:t>
            </w:r>
          </w:p>
          <w:p>
            <w:pPr>
              <w:pStyle w:val="TableContents"/>
              <w:bidi w:val="0"/>
              <w:spacing w:lineRule="auto" w:line="288" w:before="60" w:after="60"/>
              <w:jc w:val="left"/>
              <w:rPr/>
            </w:pPr>
            <w:r>
              <w:rPr>
                <w:rFonts w:ascii="Times New Roman;sans-serif" w:hAnsi="Times New Roman;sans-serif"/>
                <w:b/>
                <w:color w:val="000000"/>
                <w:sz w:val="20"/>
              </w:rPr>
              <w:t>Merchant Agreement</w:t>
            </w:r>
            <w:r>
              <w:rPr>
                <w:rFonts w:ascii="Times New Roman;sans-serif" w:hAnsi="Times New Roman;sans-serif"/>
                <w:b w:val="false"/>
                <w:color w:val="000000"/>
                <w:sz w:val="20"/>
              </w:rPr>
              <w:t xml:space="preserve">: [_____], or such other URL as the Parties may mutually agree. </w:t>
            </w:r>
          </w:p>
        </w:tc>
      </w:tr>
      <w:tr>
        <w:trPr/>
        <w:tc>
          <w:tcPr>
            <w:tcW w:w="1889" w:type="dxa"/>
            <w:gridSpan w:val="3"/>
            <w:tcBorders>
              <w:top w:val="single" w:sz="6" w:space="0" w:color="000000"/>
              <w:left w:val="single" w:sz="8" w:space="0" w:color="000000"/>
            </w:tcBorders>
            <w:shd w:fill="F2F2F2" w:val="clear"/>
            <w:tcMar>
              <w:top w:w="30" w:type="dxa"/>
              <w:bottom w:w="0" w:type="dxa"/>
              <w:right w:w="0" w:type="dxa"/>
            </w:tcMar>
            <w:vAlign w:val="center"/>
          </w:tcPr>
          <w:p>
            <w:pPr>
              <w:pStyle w:val="TableContents"/>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Territory</w:t>
            </w:r>
          </w:p>
        </w:tc>
        <w:tc>
          <w:tcPr>
            <w:tcW w:w="7110" w:type="dxa"/>
            <w:gridSpan w:val="3"/>
            <w:tcBorders>
              <w:top w:val="single" w:sz="6" w:space="0" w:color="000000"/>
              <w:left w:val="single" w:sz="6"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w:t>
            </w:r>
          </w:p>
        </w:tc>
      </w:tr>
      <w:tr>
        <w:trPr/>
        <w:tc>
          <w:tcPr>
            <w:tcW w:w="1889" w:type="dxa"/>
            <w:gridSpan w:val="3"/>
            <w:tcBorders>
              <w:top w:val="single" w:sz="6" w:space="0" w:color="000000"/>
              <w:left w:val="single" w:sz="8" w:space="0" w:color="000000"/>
              <w:bottom w:val="single" w:sz="8" w:space="0" w:color="000000"/>
            </w:tcBorders>
            <w:shd w:fill="F2F2F2" w:val="clear"/>
            <w:tcMar>
              <w:top w:w="30" w:type="dxa"/>
              <w:bottom w:w="30" w:type="dxa"/>
              <w:right w:w="0" w:type="dxa"/>
            </w:tcMar>
            <w:vAlign w:val="center"/>
          </w:tcPr>
          <w:p>
            <w:pPr>
              <w:pStyle w:val="TableContents"/>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TPA Effective Date</w:t>
            </w:r>
          </w:p>
        </w:tc>
        <w:tc>
          <w:tcPr>
            <w:tcW w:w="7110" w:type="dxa"/>
            <w:gridSpan w:val="3"/>
            <w:tcBorders>
              <w:top w:val="single" w:sz="6" w:space="0" w:color="000000"/>
              <w:left w:val="single" w:sz="6"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w:t>
            </w:r>
          </w:p>
        </w:tc>
      </w:tr>
    </w:tbl>
    <w:p>
      <w:pPr>
        <w:pStyle w:val="TextBody"/>
        <w:bidi w:val="0"/>
        <w:spacing w:lineRule="auto" w:line="288" w:before="240" w:after="240"/>
        <w:jc w:val="both"/>
        <w:rPr/>
      </w:pPr>
      <w:r>
        <w:rPr>
          <w:rFonts w:ascii="Times New Roman;sans-serif" w:hAnsi="Times New Roman;sans-serif"/>
          <w:b w:val="false"/>
          <w:color w:val="000000"/>
          <w:sz w:val="20"/>
        </w:rPr>
        <w:t>This Territory Program Agreement (the “</w:t>
      </w:r>
      <w:r>
        <w:rPr>
          <w:rFonts w:ascii="Times New Roman;sans-serif" w:hAnsi="Times New Roman;sans-serif"/>
          <w:b/>
          <w:color w:val="000000"/>
          <w:sz w:val="20"/>
        </w:rPr>
        <w:t>TPA</w:t>
      </w:r>
      <w:r>
        <w:rPr>
          <w:color w:val="000000"/>
        </w:rPr>
        <w:t>”</w:t>
      </w:r>
      <w:r>
        <w:rPr>
          <w:rFonts w:ascii="Times New Roman;sans-serif" w:hAnsi="Times New Roman;sans-serif"/>
          <w:b w:val="false"/>
          <w:color w:val="000000"/>
          <w:sz w:val="20"/>
        </w:rPr>
        <w:t>) is effective as of the TPA Effective Date stated above and entered into by the Affirm Party stated above (“</w:t>
      </w:r>
      <w:r>
        <w:rPr>
          <w:rFonts w:ascii="Times New Roman;sans-serif" w:hAnsi="Times New Roman;sans-serif"/>
          <w:b/>
          <w:color w:val="000000"/>
          <w:sz w:val="20"/>
        </w:rPr>
        <w:t>Affirm Party</w:t>
      </w:r>
      <w:r>
        <w:rPr>
          <w:color w:val="000000"/>
        </w:rPr>
        <w:t>”</w:t>
      </w:r>
      <w:r>
        <w:rPr>
          <w:rFonts w:ascii="Times New Roman;sans-serif" w:hAnsi="Times New Roman;sans-serif"/>
          <w:b w:val="false"/>
          <w:color w:val="000000"/>
          <w:sz w:val="20"/>
        </w:rPr>
        <w:t>) and the Shopify Party stated above (“</w:t>
      </w:r>
      <w:r>
        <w:rPr>
          <w:rFonts w:ascii="Times New Roman;sans-serif" w:hAnsi="Times New Roman;sans-serif"/>
          <w:b/>
          <w:color w:val="000000"/>
          <w:sz w:val="20"/>
        </w:rPr>
        <w:t>Shopify Party</w:t>
      </w:r>
      <w:r>
        <w:rPr>
          <w:color w:val="000000"/>
        </w:rPr>
        <w:t>”</w:t>
      </w:r>
      <w:r>
        <w:rPr>
          <w:rFonts w:ascii="Times New Roman;sans-serif" w:hAnsi="Times New Roman;sans-serif"/>
          <w:b w:val="false"/>
          <w:color w:val="000000"/>
          <w:sz w:val="20"/>
        </w:rPr>
        <w:t>) and is made pursuant to, and is a part of, that Global Customer Installment Program, dated as of ______, 2025, between the other parties thereto (as amended and in effect on the date hereof (the “</w:t>
      </w:r>
      <w:r>
        <w:rPr>
          <w:rFonts w:ascii="Times New Roman;sans-serif" w:hAnsi="Times New Roman;sans-serif"/>
          <w:b/>
          <w:color w:val="000000"/>
          <w:sz w:val="20"/>
        </w:rPr>
        <w:t>Terms</w:t>
      </w:r>
      <w:r>
        <w:rPr>
          <w:color w:val="000000"/>
        </w:rPr>
        <w:t>”</w:t>
      </w:r>
      <w:r>
        <w:rPr>
          <w:rFonts w:ascii="Times New Roman;sans-serif" w:hAnsi="Times New Roman;sans-serif"/>
          <w:b w:val="false"/>
          <w:color w:val="000000"/>
          <w:sz w:val="20"/>
        </w:rPr>
        <w:t>), the Program Outline(s) (the “</w:t>
      </w:r>
      <w:r>
        <w:rPr>
          <w:rFonts w:ascii="Times New Roman;sans-serif" w:hAnsi="Times New Roman;sans-serif"/>
          <w:b/>
          <w:color w:val="000000"/>
          <w:sz w:val="20"/>
        </w:rPr>
        <w:t>Program Outline</w:t>
      </w:r>
      <w:r>
        <w:rPr>
          <w:color w:val="000000"/>
        </w:rPr>
        <w:t>”</w:t>
      </w:r>
      <w:r>
        <w:rPr>
          <w:rFonts w:ascii="Times New Roman;sans-serif" w:hAnsi="Times New Roman;sans-serif"/>
          <w:b w:val="false"/>
          <w:color w:val="000000"/>
          <w:sz w:val="20"/>
        </w:rPr>
        <w:t>) and any other schedules, exhibits or addendums thereto,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Affirm Party will provide the Programs stated above to Shopify Party under the terms of this TPA. All capitalized terms not defined in this TPA will have the meanings given to them in the Agreement.</w:t>
      </w:r>
    </w:p>
    <w:p>
      <w:pPr>
        <w:pStyle w:val="TextBody"/>
        <w:bidi w:val="0"/>
        <w:spacing w:lineRule="auto" w:line="288" w:before="0" w:after="200"/>
        <w:jc w:val="both"/>
        <w:rPr/>
      </w:pPr>
      <w:r>
        <w:rPr>
          <w:rFonts w:ascii="Times New Roman;sans-serif" w:hAnsi="Times New Roman;sans-serif"/>
          <w:b w:val="false"/>
          <w:color w:val="000000"/>
          <w:sz w:val="20"/>
        </w:rPr>
        <w:t>1.</w:t>
      </w:r>
      <w:r>
        <w:rPr>
          <w:rFonts w:ascii="Times New Roman;sans-serif" w:hAnsi="Times New Roman;sans-serif"/>
          <w:b/>
          <w:color w:val="000000"/>
          <w:sz w:val="20"/>
        </w:rPr>
        <w:t xml:space="preserve">Agreement. </w:t>
      </w:r>
      <w:r>
        <w:rPr>
          <w:rFonts w:ascii="Times New Roman;sans-serif" w:hAnsi="Times New Roman;sans-serif"/>
          <w:b w:val="false"/>
          <w:color w:val="000000"/>
          <w:sz w:val="20"/>
        </w:rPr>
        <w:t xml:space="preserve">Except as modified in </w:t>
      </w:r>
      <w:r>
        <w:rPr>
          <w:rFonts w:ascii="Times New Roman;sans-serif" w:hAnsi="Times New Roman;sans-serif"/>
          <w:b w:val="false"/>
          <w:color w:val="000000"/>
          <w:sz w:val="20"/>
          <w:u w:val="single"/>
        </w:rPr>
        <w:t>Section 2</w:t>
      </w:r>
      <w:r>
        <w:rPr>
          <w:color w:val="000000"/>
        </w:rPr>
        <w:t xml:space="preserve"> </w:t>
      </w:r>
      <w:r>
        <w:rPr>
          <w:rFonts w:ascii="Times New Roman;sans-serif" w:hAnsi="Times New Roman;sans-serif"/>
          <w:b w:val="false"/>
          <w:color w:val="000000"/>
          <w:sz w:val="20"/>
        </w:rPr>
        <w:t xml:space="preserve">of this TPA, the Terms (including all Exhibits attached thereto), are incorporated by reference into, and form part of, this TPA. </w:t>
      </w:r>
    </w:p>
    <w:p>
      <w:pPr>
        <w:pStyle w:val="TextBody"/>
        <w:bidi w:val="0"/>
        <w:spacing w:lineRule="auto" w:line="288" w:before="0" w:after="200"/>
        <w:jc w:val="both"/>
        <w:rPr/>
      </w:pPr>
      <w:r>
        <w:rPr>
          <w:rFonts w:ascii="Times New Roman;sans-serif" w:hAnsi="Times New Roman;sans-serif"/>
          <w:b w:val="false"/>
          <w:color w:val="000000"/>
          <w:sz w:val="20"/>
        </w:rPr>
        <w:t>2.</w:t>
      </w:r>
      <w:r>
        <w:rPr>
          <w:rFonts w:ascii="Times New Roman;sans-serif" w:hAnsi="Times New Roman;sans-serif"/>
          <w:b/>
          <w:color w:val="000000"/>
          <w:sz w:val="20"/>
        </w:rPr>
        <w:t>Replacement of Terms in the Agreement.</w:t>
      </w:r>
      <w:r>
        <w:rPr>
          <w:color w:val="000000"/>
        </w:rPr>
        <w:t xml:space="preserve"> </w:t>
      </w:r>
      <w:r>
        <w:rPr>
          <w:rFonts w:ascii="Times New Roman;sans-serif" w:hAnsi="Times New Roman;sans-serif"/>
          <w:b w:val="false"/>
          <w:color w:val="000000"/>
          <w:sz w:val="20"/>
        </w:rPr>
        <w:t xml:space="preserve">For purposes of this TPA, the following provisions will supersede and replace any corresponding provision or term in the Agreement, including any exhibit or Program Outline, and govern in their entirety with respect to the Shopify Party and Affirm Party hereto in all respects: </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u w:val="single"/>
        </w:rPr>
        <w:t>General</w:t>
      </w:r>
      <w:r>
        <w:rPr>
          <w:rFonts w:ascii="Times New Roman;sans-serif" w:hAnsi="Times New Roman;sans-serif"/>
          <w:b w:val="false"/>
          <w:color w:val="000000"/>
          <w:sz w:val="20"/>
        </w:rPr>
        <w:t>.</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Parties</w:t>
      </w:r>
      <w:r>
        <w:rPr>
          <w:rFonts w:ascii="Times New Roman;sans-serif" w:hAnsi="Times New Roman;sans-serif"/>
          <w:b w:val="false"/>
          <w:color w:val="000000"/>
          <w:sz w:val="20"/>
        </w:rPr>
        <w:t xml:space="preserve">. References to “Affirm” and “Shopify” in the terms incorporated under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above mean the Affirm Party and Shopify Party hereto, respectively. References to the “Parties” in the terms incorporated under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above mean the parties to this TPA.</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xml:space="preserve">. References to the “Agreement” or “Agreement” in the terms incorporated under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above will be deemed to be a reference to this “TPA,” except for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(Conflict Resolution).</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Effective Date</w:t>
      </w:r>
      <w:r>
        <w:rPr>
          <w:rFonts w:ascii="Times New Roman;sans-serif" w:hAnsi="Times New Roman;sans-serif"/>
          <w:b w:val="false"/>
          <w:color w:val="000000"/>
          <w:sz w:val="20"/>
        </w:rPr>
        <w:t xml:space="preserve">. References to “Effective Date” in the terms incorporated under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above mean the TPA Effective Date. </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Services</w:t>
      </w:r>
      <w:r>
        <w:rPr>
          <w:rFonts w:ascii="Times New Roman;sans-serif" w:hAnsi="Times New Roman;sans-serif"/>
          <w:b w:val="false"/>
          <w:color w:val="000000"/>
          <w:sz w:val="20"/>
        </w:rPr>
        <w:t xml:space="preserve">. References to “Programs” in the terms incorporated under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above mean the Programs provided to the Shopify Party under this TPA.</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u w:val="single"/>
        </w:rPr>
        <w:t>Shopify Merchants</w:t>
      </w:r>
      <w:r>
        <w:rPr>
          <w:rFonts w:ascii="Times New Roman;sans-serif" w:hAnsi="Times New Roman;sans-serif"/>
          <w:b w:val="false"/>
          <w:color w:val="000000"/>
          <w:sz w:val="20"/>
        </w:rPr>
        <w:t>. If applicable, references to “Shopify Merchants” and “Shopify Payments Merchants” will mean the Shopify Merchants and Shopify Payments Merchants associated with Shopify Party.</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u w:val="single"/>
        </w:rPr>
        <w:t>Terms</w:t>
      </w:r>
      <w:r>
        <w:rPr>
          <w:rFonts w:ascii="Times New Roman;sans-serif" w:hAnsi="Times New Roman;sans-serif"/>
          <w:b w:val="false"/>
          <w:color w:val="000000"/>
          <w:sz w:val="20"/>
        </w:rPr>
        <w:t xml:space="preserve">. </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Affirm’s Legal Pages</w:t>
      </w:r>
      <w:r>
        <w:rPr>
          <w:rFonts w:ascii="Times New Roman;sans-serif" w:hAnsi="Times New Roman;sans-serif"/>
          <w:b w:val="false"/>
          <w:color w:val="000000"/>
          <w:sz w:val="20"/>
        </w:rPr>
        <w:t>. The (A) Prohibited Business Policy and (B) Merchant Agreement for the Territory are located on the Affirm’s Legal Pages listed above.</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Service Levels - Planned Outages</w:t>
      </w:r>
      <w:r>
        <w:rPr>
          <w:rFonts w:ascii="Times New Roman;sans-serif" w:hAnsi="Times New Roman;sans-serif"/>
          <w:b w:val="false"/>
          <w:color w:val="000000"/>
          <w:sz w:val="20"/>
        </w:rPr>
        <w:t>. [_____].</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 [_____]</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Insurance</w:t>
      </w:r>
      <w:r>
        <w:rPr>
          <w:rFonts w:ascii="Times New Roman;sans-serif" w:hAnsi="Times New Roman;sans-serif"/>
          <w:b/>
          <w:color w:val="000000"/>
          <w:sz w:val="20"/>
        </w:rPr>
        <w:t xml:space="preserve">. </w:t>
      </w:r>
      <w:r>
        <w:rPr>
          <w:rFonts w:ascii="Times New Roman;sans-serif" w:hAnsi="Times New Roman;sans-serif"/>
          <w:b w:val="false"/>
          <w:color w:val="000000"/>
          <w:sz w:val="20"/>
        </w:rPr>
        <w:t>References to USD in Section 20 in the Terms will be replaced with [_____].</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[_____].</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color w:val="000000"/>
          <w:sz w:val="20"/>
          <w:u w:val="single"/>
        </w:rPr>
        <w:t>Program Outline 1 - Low AOV</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Program Description</w:t>
      </w:r>
      <w:r>
        <w:rPr>
          <w:rFonts w:ascii="Times New Roman;sans-serif" w:hAnsi="Times New Roman;sans-serif"/>
          <w:b w:val="false"/>
          <w:color w:val="000000"/>
          <w:sz w:val="20"/>
        </w:rPr>
        <w:t>. [_____]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Eligible Merchants and Low AOV Affirm Direct Merchants at Launch</w:t>
      </w:r>
      <w:r>
        <w:rPr>
          <w:rFonts w:ascii="Times New Roman;sans-serif" w:hAnsi="Times New Roman;sans-serif"/>
          <w:b w:val="false"/>
          <w:color w:val="000000"/>
          <w:sz w:val="20"/>
        </w:rPr>
        <w:t>. [_____]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Launch Timelines</w:t>
      </w:r>
      <w:r>
        <w:rPr>
          <w:rFonts w:ascii="Times New Roman;sans-serif" w:hAnsi="Times New Roman;sans-serif"/>
          <w:b w:val="false"/>
          <w:color w:val="000000"/>
          <w:sz w:val="20"/>
        </w:rPr>
        <w:t>. The Parties will work in good faith and take commercially reasonable efforts to achieve the launch timeline as indicated in the Alpha Phase, Limited Release Phase and the GA Phase.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Payment Processing</w:t>
      </w:r>
      <w:r>
        <w:rPr>
          <w:rFonts w:ascii="Times New Roman;sans-serif" w:hAnsi="Times New Roman;sans-serif"/>
          <w:b w:val="false"/>
          <w:color w:val="000000"/>
          <w:sz w:val="20"/>
        </w:rPr>
        <w:t>. [_____]</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(d)</w:t>
      </w:r>
      <w:r>
        <w:rPr>
          <w:rFonts w:ascii="Times New Roman;sans-serif" w:hAnsi="Times New Roman;sans-serif"/>
          <w:b/>
          <w:color w:val="000000"/>
          <w:sz w:val="20"/>
          <w:u w:val="single"/>
        </w:rPr>
        <w:t>Program Outline 2 - High AOV</w:t>
      </w:r>
      <w:r>
        <w:rPr>
          <w:rFonts w:ascii="Times New Roman;sans-serif" w:hAnsi="Times New Roman;sans-serif"/>
          <w:b/>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Program Description</w:t>
      </w:r>
      <w:r>
        <w:rPr>
          <w:rFonts w:ascii="Times New Roman;sans-serif" w:hAnsi="Times New Roman;sans-serif"/>
          <w:b w:val="false"/>
          <w:color w:val="000000"/>
          <w:sz w:val="20"/>
        </w:rPr>
        <w:t>. [_____]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Eligible Merchants and High AOV Affirm Direct Merchants at Launch</w:t>
      </w:r>
      <w:r>
        <w:rPr>
          <w:rFonts w:ascii="Times New Roman;sans-serif" w:hAnsi="Times New Roman;sans-serif"/>
          <w:b w:val="false"/>
          <w:color w:val="000000"/>
          <w:sz w:val="20"/>
        </w:rPr>
        <w:t>. [_____]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Launch Timelines</w:t>
      </w:r>
      <w:r>
        <w:rPr>
          <w:rFonts w:ascii="Times New Roman;sans-serif" w:hAnsi="Times New Roman;sans-serif"/>
          <w:b w:val="false"/>
          <w:color w:val="000000"/>
          <w:sz w:val="20"/>
        </w:rPr>
        <w:t>. The Parties will work in good faith and take commercially reasonable efforts to achieve the launch timeline as indicated in the Alpha Phase, Limited Release Phase and the GA Phase.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Payment Processing</w:t>
      </w:r>
      <w:r>
        <w:rPr>
          <w:rFonts w:ascii="Times New Roman;sans-serif" w:hAnsi="Times New Roman;sans-serif"/>
          <w:b w:val="false"/>
          <w:color w:val="000000"/>
          <w:sz w:val="20"/>
        </w:rPr>
        <w:t>. [_____]</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(e)</w:t>
      </w:r>
      <w:r>
        <w:rPr>
          <w:rFonts w:ascii="Times New Roman;sans-serif" w:hAnsi="Times New Roman;sans-serif"/>
          <w:b/>
          <w:color w:val="000000"/>
          <w:sz w:val="20"/>
          <w:u w:val="single"/>
        </w:rPr>
        <w:t>Fees and Payout to Eligible Merchants - Low AOV Product and High AOV Product</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Eligible Merchant Fees</w:t>
      </w:r>
      <w:r>
        <w:rPr>
          <w:rFonts w:ascii="Times New Roman;sans-serif" w:hAnsi="Times New Roman;sans-serif"/>
          <w:b w:val="false"/>
          <w:color w:val="000000"/>
          <w:sz w:val="20"/>
        </w:rPr>
        <w:t>. Merchant Fees will be selected from the options set forth in Schedule 1.</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Bank Account - Eligible Merchants</w:t>
      </w:r>
      <w:r>
        <w:rPr>
          <w:rFonts w:ascii="Times New Roman;sans-serif" w:hAnsi="Times New Roman;sans-serif"/>
          <w:b w:val="false"/>
          <w:color w:val="000000"/>
          <w:sz w:val="20"/>
        </w:rPr>
        <w:t>. The Bank Account referenced in Section 7(b) of Program Outline 1 and Program Outline 2 of the Terms will be a [_____] Bank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Payouts to Eligible Merchants</w:t>
      </w:r>
      <w:r>
        <w:rPr>
          <w:rFonts w:ascii="Times New Roman;sans-serif" w:hAnsi="Times New Roman;sans-serif"/>
          <w:b w:val="false"/>
          <w:color w:val="000000"/>
          <w:sz w:val="20"/>
        </w:rPr>
        <w:t>. [_____]</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(f)</w:t>
      </w:r>
      <w:r>
        <w:rPr>
          <w:rFonts w:ascii="Times New Roman;sans-serif" w:hAnsi="Times New Roman;sans-serif"/>
          <w:b/>
          <w:color w:val="000000"/>
          <w:sz w:val="20"/>
          <w:u w:val="single"/>
        </w:rPr>
        <w:t>Fees and Payout to Shopify - Low AOV Product and High AOV Product.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Shopify Fees</w:t>
      </w:r>
      <w:r>
        <w:rPr>
          <w:rFonts w:ascii="Times New Roman;sans-serif" w:hAnsi="Times New Roman;sans-serif"/>
          <w:b w:val="false"/>
          <w:color w:val="000000"/>
          <w:sz w:val="20"/>
        </w:rPr>
        <w:t xml:space="preserve">. Shopify Fees will be set forth in </w:t>
      </w:r>
      <w:r>
        <w:rPr>
          <w:rFonts w:ascii="Times New Roman;sans-serif" w:hAnsi="Times New Roman;sans-serif"/>
          <w:b w:val="false"/>
          <w:color w:val="000000"/>
          <w:sz w:val="20"/>
          <w:u w:val="single"/>
        </w:rPr>
        <w:t>Schedule 1</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Currency</w:t>
      </w:r>
      <w:r>
        <w:rPr>
          <w:rFonts w:ascii="Times New Roman;sans-serif" w:hAnsi="Times New Roman;sans-serif"/>
          <w:b w:val="false"/>
          <w:color w:val="000000"/>
          <w:sz w:val="20"/>
        </w:rPr>
        <w:t>. All Shopify Fees will be paid in [_____] (or such other mutually agreed to currency) to the Shopify Account in [_____] via wire transfer or electronic funds transfer.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(g)</w:t>
      </w:r>
      <w:r>
        <w:rPr>
          <w:rFonts w:ascii="Times New Roman;sans-serif" w:hAnsi="Times New Roman;sans-serif"/>
          <w:b/>
          <w:color w:val="000000"/>
          <w:sz w:val="20"/>
          <w:u w:val="single"/>
        </w:rPr>
        <w:t>Program Outline 3 - POS Product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[_____]</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(h)</w:t>
      </w:r>
      <w:r>
        <w:rPr>
          <w:rFonts w:ascii="Times New Roman;sans-serif" w:hAnsi="Times New Roman;sans-serif"/>
          <w:b/>
          <w:color w:val="000000"/>
          <w:sz w:val="20"/>
          <w:u w:val="single"/>
        </w:rPr>
        <w:t>Program Outline 4 - Shop Pay Components Services- SPC Program.</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Program Description</w:t>
      </w:r>
      <w:r>
        <w:rPr>
          <w:rFonts w:ascii="Times New Roman;sans-serif" w:hAnsi="Times New Roman;sans-serif"/>
          <w:b w:val="false"/>
          <w:color w:val="000000"/>
          <w:sz w:val="20"/>
        </w:rPr>
        <w:t xml:space="preserve">. [_____]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Currency</w:t>
      </w:r>
      <w:r>
        <w:rPr>
          <w:rFonts w:ascii="Times New Roman;sans-serif" w:hAnsi="Times New Roman;sans-serif"/>
          <w:b w:val="false"/>
          <w:color w:val="000000"/>
          <w:sz w:val="20"/>
        </w:rPr>
        <w:t>. Any Shopify Fees will be paid in [_____] (or such other mutually agreed to currency) to the Shopify Account in [_____] via wire transfer or electronic funds transfer.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Payment Processing</w:t>
      </w:r>
      <w:r>
        <w:rPr>
          <w:rFonts w:ascii="Times New Roman;sans-serif" w:hAnsi="Times New Roman;sans-serif"/>
          <w:b w:val="false"/>
          <w:color w:val="000000"/>
          <w:sz w:val="20"/>
        </w:rPr>
        <w:t>. [_____]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Fees and Payout to Shopify- Shop Pay Components Services- SPC Program</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i/>
          <w:color w:val="243F61"/>
          <w:sz w:val="20"/>
        </w:rPr>
        <w:t>(A)</w:t>
      </w:r>
      <w:r>
        <w:rPr>
          <w:rFonts w:ascii="Times New Roman;sans-serif" w:hAnsi="Times New Roman;sans-serif"/>
          <w:b w:val="false"/>
          <w:i/>
          <w:color w:val="000000"/>
          <w:sz w:val="20"/>
        </w:rPr>
        <w:t>Shopify Fees</w:t>
      </w:r>
      <w:r>
        <w:rPr>
          <w:rFonts w:ascii="Times New Roman;sans-serif" w:hAnsi="Times New Roman;sans-serif"/>
          <w:b w:val="false"/>
          <w:color w:val="000000"/>
          <w:sz w:val="20"/>
        </w:rPr>
        <w:t>. [_____]</w:t>
      </w:r>
    </w:p>
    <w:p>
      <w:pPr>
        <w:pStyle w:val="TextBody"/>
        <w:bidi w:val="0"/>
        <w:spacing w:lineRule="auto" w:line="288" w:before="0" w:after="240"/>
        <w:ind w:left="0" w:right="0" w:firstLine="1440"/>
        <w:jc w:val="both"/>
        <w:rPr/>
      </w:pPr>
      <w:r>
        <w:rPr>
          <w:rFonts w:ascii="Times New Roman;sans-serif" w:hAnsi="Times New Roman;sans-serif"/>
          <w:b w:val="false"/>
          <w:i/>
          <w:color w:val="243F61"/>
          <w:sz w:val="20"/>
        </w:rPr>
        <w:t>(B)</w:t>
      </w:r>
      <w:r>
        <w:rPr>
          <w:rFonts w:ascii="Times New Roman;sans-serif" w:hAnsi="Times New Roman;sans-serif"/>
          <w:b w:val="false"/>
          <w:i/>
          <w:color w:val="000000"/>
          <w:sz w:val="20"/>
        </w:rPr>
        <w:t>Payouts to Shopify</w:t>
      </w:r>
      <w:r>
        <w:rPr>
          <w:rFonts w:ascii="Times New Roman;sans-serif" w:hAnsi="Times New Roman;sans-serif"/>
          <w:b w:val="false"/>
          <w:color w:val="000000"/>
          <w:sz w:val="20"/>
        </w:rPr>
        <w:t>. Payouts to Shopify shall be as set forth in the applicable Program Outline associated with the Financial Product being offered through the SPC Product.</w:t>
      </w:r>
    </w:p>
    <w:p>
      <w:pPr>
        <w:pStyle w:val="TextBody"/>
        <w:bidi w:val="0"/>
        <w:spacing w:lineRule="auto" w:line="288" w:before="0" w:after="240"/>
        <w:jc w:val="both"/>
        <w:rPr/>
      </w:pPr>
      <w:r>
        <w:rPr>
          <w:rFonts w:ascii="Times New Roman;sans-serif" w:hAnsi="Times New Roman;sans-serif"/>
          <w:b w:val="false"/>
          <w:color w:val="000000"/>
          <w:sz w:val="20"/>
        </w:rPr>
        <w:t>3.</w:t>
      </w:r>
      <w:r>
        <w:rPr>
          <w:rFonts w:ascii="Times New Roman;sans-serif" w:hAnsi="Times New Roman;sans-serif"/>
          <w:b/>
          <w:color w:val="000000"/>
          <w:sz w:val="20"/>
        </w:rPr>
        <w:t>Service Level Agreement.</w:t>
      </w:r>
      <w:r>
        <w:rPr>
          <w:color w:val="000000"/>
        </w:rPr>
        <w:t xml:space="preserve"> </w:t>
      </w:r>
      <w:r>
        <w:rPr>
          <w:rFonts w:ascii="Times New Roman;sans-serif" w:hAnsi="Times New Roman;sans-serif"/>
          <w:b w:val="false"/>
          <w:color w:val="000000"/>
          <w:sz w:val="20"/>
        </w:rPr>
        <w:t>The Parties will provide the services contemplated by this TPA in accordance with the service levels set forth in Schedule 2, attached hereto.</w:t>
      </w:r>
    </w:p>
    <w:p>
      <w:pPr>
        <w:pStyle w:val="TextBody"/>
        <w:bidi w:val="0"/>
        <w:spacing w:lineRule="auto" w:line="288" w:before="0" w:after="240"/>
        <w:jc w:val="both"/>
        <w:rPr/>
      </w:pPr>
      <w:r>
        <w:rPr>
          <w:rFonts w:ascii="Times New Roman;sans-serif" w:hAnsi="Times New Roman;sans-serif"/>
          <w:b w:val="false"/>
          <w:color w:val="000000"/>
          <w:sz w:val="20"/>
        </w:rPr>
        <w:t>4.</w:t>
      </w:r>
      <w:r>
        <w:rPr>
          <w:rFonts w:ascii="Times New Roman;sans-serif" w:hAnsi="Times New Roman;sans-serif"/>
          <w:b/>
          <w:color w:val="000000"/>
          <w:sz w:val="20"/>
        </w:rPr>
        <w:t>Additional Terms</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Payment of Fees</w:t>
      </w:r>
      <w:r>
        <w:rPr>
          <w:rFonts w:ascii="Times New Roman;sans-serif" w:hAnsi="Times New Roman;sans-serif"/>
          <w:b w:val="false"/>
          <w:color w:val="000000"/>
          <w:sz w:val="20"/>
        </w:rPr>
        <w:t xml:space="preserve">. Shopify Party will pay Affirm Party the Fees for the Program provided to Shopify Party under this TPA in accordance with </w:t>
      </w:r>
      <w:r>
        <w:rPr>
          <w:rFonts w:ascii="Times New Roman;sans-serif" w:hAnsi="Times New Roman;sans-serif"/>
          <w:b w:val="false"/>
          <w:color w:val="000000"/>
          <w:sz w:val="20"/>
          <w:u w:val="single"/>
        </w:rPr>
        <w:t>Schedule 1</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Shopify Bank Account</w:t>
      </w:r>
      <w:r>
        <w:rPr>
          <w:rFonts w:ascii="Times New Roman;sans-serif" w:hAnsi="Times New Roman;sans-serif"/>
          <w:b w:val="false"/>
          <w:color w:val="000000"/>
          <w:sz w:val="20"/>
        </w:rPr>
        <w:t>. Shopify Party directs Affirm Party to deposit funds payable to Shopify Party into, and if applicable, pull amounts due from Shopify Party to Affirm Party from, the appropriate bank account established by Shopify Party or its applicable Affiliate in the Territory stated above and provided by Shopify Party to Affirm Party in writing.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Inquiries</w:t>
      </w:r>
      <w:r>
        <w:rPr>
          <w:rFonts w:ascii="Times New Roman;sans-serif" w:hAnsi="Times New Roman;sans-serif"/>
          <w:b w:val="false"/>
          <w:color w:val="000000"/>
          <w:sz w:val="20"/>
        </w:rPr>
        <w:t>. All discussions, correspondences and procedural decisions/actions in relation to any Tax Authority with respect to any inquiry shall be controlled by the Party subject to the respective inquiry. If the Party not subject to the inquiry is subject to incremental tax as a result of the inquiry, the Party subject to the inquiry shall promptly notify the other Party in writing of such inquiry and any such incremental tax resulting from such inquiry. Upon such notification, each Party will act in good faith to timely provide and make available any information or documents in its possession requested by the Tax Authority with respect to an inquiry.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Term</w:t>
      </w:r>
      <w:r>
        <w:rPr>
          <w:rFonts w:ascii="Times New Roman;sans-serif" w:hAnsi="Times New Roman;sans-serif"/>
          <w:b w:val="false"/>
          <w:color w:val="000000"/>
          <w:sz w:val="20"/>
        </w:rPr>
        <w:t>. This TPA commences on the TPA Effective Date and will remain in effect until [____] (the “</w:t>
      </w:r>
      <w:r>
        <w:rPr>
          <w:rFonts w:ascii="Times New Roman;sans-serif" w:hAnsi="Times New Roman;sans-serif"/>
          <w:b/>
          <w:color w:val="000000"/>
          <w:sz w:val="20"/>
        </w:rPr>
        <w:t>Initial TPA Term</w:t>
      </w:r>
      <w:r>
        <w:rPr>
          <w:color w:val="000000"/>
        </w:rPr>
        <w:t>”</w:t>
      </w:r>
      <w:r>
        <w:rPr>
          <w:rFonts w:ascii="Times New Roman;sans-serif" w:hAnsi="Times New Roman;sans-serif"/>
          <w:b w:val="false"/>
          <w:color w:val="000000"/>
          <w:sz w:val="20"/>
        </w:rPr>
        <w:t xml:space="preserve">). After the Initial TPA Term, this TPA will automatically renew for successive one year periods unless this TPA terminates as set forth in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below or a Party provides the other Party with written notice of its election to terminate this Agreement at least 180 days prior to the expiration of the Initial TPA Term or the then-current renewal term as applicable. Termination of this TPA will not cause the Global Customer Installment Program Agreement as applicable to other Shopify Parties and Affirm Parties pursuant to separate Territory Program Agreements, to terminate.</w:t>
      </w:r>
    </w:p>
    <w:p>
      <w:pPr>
        <w:pStyle w:val="TextBody"/>
        <w:bidi w:val="0"/>
        <w:spacing w:lineRule="auto" w:line="288" w:before="0" w:after="240"/>
        <w:jc w:val="both"/>
        <w:rPr/>
      </w:pPr>
      <w:r>
        <w:rPr>
          <w:rFonts w:ascii="Times New Roman;sans-serif" w:hAnsi="Times New Roman;sans-serif"/>
          <w:b w:val="false"/>
          <w:color w:val="000000"/>
          <w:sz w:val="20"/>
        </w:rPr>
        <w:t>5.</w:t>
      </w:r>
      <w:r>
        <w:rPr>
          <w:rFonts w:ascii="Times New Roman;sans-serif" w:hAnsi="Times New Roman;sans-serif"/>
          <w:b/>
          <w:color w:val="000000"/>
          <w:sz w:val="20"/>
          <w:u w:val="single"/>
        </w:rPr>
        <w:t>Termination</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Termination of the TPA</w:t>
      </w:r>
      <w:r>
        <w:rPr>
          <w:rFonts w:ascii="Times New Roman;sans-serif" w:hAnsi="Times New Roman;sans-serif"/>
          <w:b w:val="false"/>
          <w:color w:val="000000"/>
          <w:sz w:val="20"/>
        </w:rPr>
        <w:t>. Either Party may terminate this TPA pursuant to the terms of Section 11 of the Terms.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Termination of the Agreement</w:t>
      </w:r>
      <w:r>
        <w:rPr>
          <w:rFonts w:ascii="Times New Roman;sans-serif" w:hAnsi="Times New Roman;sans-serif"/>
          <w:b w:val="false"/>
          <w:color w:val="000000"/>
          <w:sz w:val="20"/>
        </w:rPr>
        <w:t>. This TPA will automatically terminate upon termination of the Global Customer Installment Program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6.</w:t>
      </w:r>
      <w:r>
        <w:rPr>
          <w:rFonts w:ascii="Times New Roman;sans-serif" w:hAnsi="Times New Roman;sans-serif"/>
          <w:b/>
          <w:color w:val="000000"/>
          <w:sz w:val="20"/>
        </w:rPr>
        <w:t xml:space="preserve">Assignment. </w:t>
      </w:r>
      <w:r>
        <w:rPr>
          <w:rFonts w:ascii="Times New Roman;sans-serif" w:hAnsi="Times New Roman;sans-serif"/>
          <w:b w:val="false"/>
          <w:color w:val="000000"/>
          <w:sz w:val="20"/>
        </w:rPr>
        <w:t>Neither Party may assign or transfer any obligations or benefits under this TPA without the prior written consent of the other Party, which will not be unreasonably withheld, conditioned or delayed. Any attempt to assign in violation of the foregoing sentence will be null and void from the beginning. This TPA will be binding upon, will inure to the benefit of, and will be enforceable by the Parties and their permitted assigns.</w:t>
      </w:r>
    </w:p>
    <w:p>
      <w:pPr>
        <w:pStyle w:val="TextBody"/>
        <w:bidi w:val="0"/>
        <w:spacing w:lineRule="auto" w:line="288" w:before="0" w:after="240"/>
        <w:jc w:val="both"/>
        <w:rPr/>
      </w:pPr>
      <w:r>
        <w:rPr>
          <w:rFonts w:ascii="Times New Roman;sans-serif" w:hAnsi="Times New Roman;sans-serif"/>
          <w:b w:val="false"/>
          <w:color w:val="000000"/>
          <w:sz w:val="20"/>
        </w:rPr>
        <w:t>7.</w:t>
      </w:r>
      <w:r>
        <w:rPr>
          <w:rFonts w:ascii="Times New Roman;sans-serif" w:hAnsi="Times New Roman;sans-serif"/>
          <w:b/>
          <w:color w:val="000000"/>
          <w:sz w:val="20"/>
        </w:rPr>
        <w:t>Entire Agreement; Modification.</w:t>
      </w:r>
      <w:r>
        <w:rPr>
          <w:color w:val="000000"/>
        </w:rPr>
        <w:t xml:space="preserve"> </w:t>
      </w:r>
      <w:r>
        <w:rPr>
          <w:rFonts w:ascii="Times New Roman;sans-serif" w:hAnsi="Times New Roman;sans-serif"/>
          <w:b w:val="false"/>
          <w:color w:val="000000"/>
          <w:sz w:val="20"/>
        </w:rPr>
        <w:t xml:space="preserve">This TPA constitutes the entire agreement and understanding of the Parties with respect to Affirm Party’s provision of the Program to Shopify Party and supersedes all prior or contemporaneous agreements and understandings. To the extent that any of the terms of the Agreement incorporated by reference under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of this TPA are amended, restated, supplemented or otherwise modified after the TPA Effective Date (such terms, as modified, the “</w:t>
      </w:r>
      <w:r>
        <w:rPr>
          <w:rFonts w:ascii="Times New Roman;sans-serif" w:hAnsi="Times New Roman;sans-serif"/>
          <w:b/>
          <w:color w:val="000000"/>
          <w:sz w:val="20"/>
        </w:rPr>
        <w:t>Updated Terms</w:t>
      </w:r>
      <w:r>
        <w:rPr>
          <w:color w:val="000000"/>
        </w:rPr>
        <w:t>”</w:t>
      </w:r>
      <w:r>
        <w:rPr>
          <w:rFonts w:ascii="Times New Roman;sans-serif" w:hAnsi="Times New Roman;sans-serif"/>
          <w:b w:val="false"/>
          <w:color w:val="000000"/>
          <w:sz w:val="20"/>
        </w:rPr>
        <w:t>), then the Parties agree that the Updated Terms are deemed incorporated into this TPA as of the date of their modification, replacing the previously existing version of the Updated Terms, unless the Parties amend this TPA, with an amendment effective date no later than [***] Business Day after the date of the modification, to exclude the Updated Terms.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agree to the terms of this TPA by signing below:</w:t>
      </w:r>
    </w:p>
    <w:tbl>
      <w:tblPr>
        <w:tblW w:w="3719" w:type="dxa"/>
        <w:jc w:val="left"/>
        <w:tblInd w:w="0" w:type="dxa"/>
        <w:tblLayout w:type="fixed"/>
        <w:tblCellMar>
          <w:top w:w="28" w:type="dxa"/>
          <w:left w:w="28" w:type="dxa"/>
          <w:bottom w:w="28" w:type="dxa"/>
          <w:right w:w="28" w:type="dxa"/>
        </w:tblCellMar>
      </w:tblPr>
      <w:tblGrid>
        <w:gridCol w:w="684"/>
        <w:gridCol w:w="602"/>
        <w:gridCol w:w="604"/>
        <w:gridCol w:w="534"/>
        <w:gridCol w:w="534"/>
        <w:gridCol w:w="761"/>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00"/>
              <w:jc w:val="both"/>
              <w:rPr/>
            </w:pPr>
            <w:r>
              <w:rPr/>
            </w:r>
          </w:p>
          <w:p>
            <w:pPr>
              <w:pStyle w:val="TableContents"/>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[SHOPIFY ENTITY]</w:t>
            </w:r>
          </w:p>
        </w:tc>
        <w:tc>
          <w:tcPr>
            <w:tcW w:w="1829" w:type="dxa"/>
            <w:gridSpan w:val="3"/>
            <w:tcBorders/>
            <w:tcMar>
              <w:top w:w="0" w:type="dxa"/>
              <w:left w:w="0" w:type="dxa"/>
              <w:bottom w:w="0" w:type="dxa"/>
              <w:right w:w="0" w:type="dxa"/>
            </w:tcMar>
            <w:vAlign w:val="center"/>
          </w:tcPr>
          <w:p>
            <w:pPr>
              <w:pStyle w:val="TableContents"/>
              <w:bidi w:val="0"/>
              <w:spacing w:before="0" w:after="200"/>
              <w:jc w:val="both"/>
              <w:rPr/>
            </w:pPr>
            <w:r>
              <w:rPr/>
            </w:r>
          </w:p>
          <w:p>
            <w:pPr>
              <w:pStyle w:val="TableContents"/>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[AFFIRM ENTITY]</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 xml:space="preserve">By: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 xml:space="preserve">By: </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 xml:space="preserve">Printed Name: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 xml:space="preserve">Printed Name: </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Title: </w:t>
            </w:r>
          </w:p>
          <w:p>
            <w:pPr>
              <w:pStyle w:val="TableContents"/>
              <w:bidi w:val="0"/>
              <w:spacing w:lineRule="auto" w:line="288" w:before="0" w:after="200"/>
              <w:jc w:val="both"/>
              <w:rPr/>
            </w:pPr>
            <w:r>
              <w:rPr>
                <w:rFonts w:ascii="Times New Roman;sans-serif" w:hAnsi="Times New Roman;sans-serif"/>
                <w:b/>
                <w:color w:val="000000"/>
                <w:sz w:val="20"/>
              </w:rPr>
              <w:t>Date Signed:</w:t>
            </w:r>
            <w:r>
              <w:rPr>
                <w:color w:val="000000"/>
                <w:u w:val="single"/>
              </w:rPr>
              <w:t xml:space="preserve"> </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Title: </w:t>
            </w:r>
          </w:p>
          <w:p>
            <w:pPr>
              <w:pStyle w:val="TableContents"/>
              <w:bidi w:val="0"/>
              <w:spacing w:lineRule="auto" w:line="288" w:before="0" w:after="200"/>
              <w:jc w:val="both"/>
              <w:rPr/>
            </w:pPr>
            <w:r>
              <w:rPr>
                <w:rFonts w:ascii="Times New Roman;sans-serif" w:hAnsi="Times New Roman;sans-serif"/>
                <w:b/>
                <w:color w:val="000000"/>
                <w:sz w:val="20"/>
              </w:rPr>
              <w:t>Date Signed:</w:t>
            </w:r>
            <w:r>
              <w:rPr>
                <w:color w:val="000000"/>
                <w:u w:val="single"/>
              </w:rPr>
              <w:t xml:space="preserv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1 TO TERRITORY PROGRAM AGREEMENT</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PRICING AND FEES</w:t>
      </w:r>
    </w:p>
    <w:p>
      <w:pPr>
        <w:pStyle w:val="TextBody"/>
        <w:bidi w:val="0"/>
        <w:spacing w:lineRule="auto" w:line="288" w:before="250" w:after="200"/>
        <w:jc w:val="center"/>
        <w:rPr>
          <w:rFonts w:ascii="Times New Roman;sans-serif" w:hAnsi="Times New Roman;sans-serif"/>
          <w:b/>
          <w:color w:val="000000"/>
          <w:sz w:val="20"/>
        </w:rPr>
      </w:pPr>
      <w:r>
        <w:rPr>
          <w:rFonts w:ascii="Times New Roman;sans-serif" w:hAnsi="Times New Roman;sans-serif"/>
          <w:b/>
          <w:color w:val="000000"/>
          <w:sz w:val="20"/>
        </w:rPr>
        <w:t>[INSERT]</w:t>
      </w:r>
    </w:p>
    <w:p>
      <w:pPr>
        <w:pStyle w:val="TextBody"/>
        <w:bidi w:val="0"/>
        <w:spacing w:before="0" w:after="200"/>
        <w:jc w:val="both"/>
        <w:rPr/>
      </w:pPr>
      <w:r>
        <w:rPr/>
      </w:r>
    </w:p>
    <w:p>
      <w:pPr>
        <w:pStyle w:val="TextBody"/>
        <w:bidi w:val="0"/>
        <w:spacing w:before="250" w:after="200"/>
        <w:jc w:val="both"/>
        <w:rPr/>
      </w:pPr>
      <w:r>
        <w:rPr/>
      </w:r>
    </w:p>
    <w:p>
      <w:pPr>
        <w:pStyle w:val="TextBody"/>
        <w:bidi w:val="0"/>
        <w:spacing w:before="250" w:after="200"/>
        <w:jc w:val="both"/>
        <w:rPr/>
      </w:pPr>
      <w:r>
        <w:rPr/>
      </w:r>
    </w:p>
    <w:p>
      <w:pPr>
        <w:pStyle w:val="TextBody"/>
        <w:bidi w:val="0"/>
        <w:spacing w:before="25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88" w:before="0" w:after="200"/>
        <w:ind w:left="0" w:right="0" w:hanging="2"/>
        <w:jc w:val="center"/>
        <w:rPr>
          <w:rFonts w:ascii="Times New Roman;sans-serif" w:hAnsi="Times New Roman;sans-serif"/>
          <w:b/>
          <w:color w:val="000000"/>
          <w:sz w:val="20"/>
        </w:rPr>
      </w:pPr>
      <w:r>
        <w:rPr>
          <w:rFonts w:ascii="Times New Roman;sans-serif" w:hAnsi="Times New Roman;sans-serif"/>
          <w:b/>
          <w:color w:val="000000"/>
          <w:sz w:val="20"/>
        </w:rPr>
        <w:t>SCHEDULE 2 TO TERRITORY PROGRAM AGREEMENT</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SERVICE LEVEL AGREEMENT (SLA) STANDARDS</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[INSERT]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88" w:before="240" w:after="360"/>
        <w:jc w:val="center"/>
        <w:rPr>
          <w:rFonts w:ascii="Times New Roman;sans-serif" w:hAnsi="Times New Roman;sans-serif"/>
          <w:b/>
          <w:color w:val="000000"/>
          <w:sz w:val="24"/>
        </w:rPr>
      </w:pPr>
      <w:r>
        <w:rPr>
          <w:rFonts w:ascii="Times New Roman;sans-serif" w:hAnsi="Times New Roman;sans-serif"/>
          <w:b/>
          <w:color w:val="000000"/>
          <w:sz w:val="24"/>
        </w:rPr>
        <w:t>AFFIRM HOLDINGS, INC. CASH INCENTIVE PLAN</w:t>
        <w:br/>
        <w:t>(As amended effective as of March 12, 2025)</w:t>
      </w:r>
    </w:p>
    <w:p>
      <w:pPr>
        <w:pStyle w:val="TextBody"/>
        <w:bidi w:val="0"/>
        <w:spacing w:lineRule="auto" w:line="288" w:before="240" w:after="240"/>
        <w:ind w:left="0" w:right="0" w:firstLine="720"/>
        <w:jc w:val="both"/>
        <w:rPr/>
      </w:pPr>
      <w:r>
        <w:rPr>
          <w:rFonts w:ascii="Times New Roman;sans-serif" w:hAnsi="Times New Roman;sans-serif"/>
          <w:b/>
          <w:color w:val="000000"/>
          <w:sz w:val="24"/>
        </w:rPr>
        <w:t xml:space="preserve">1.    Purpose. </w:t>
      </w:r>
      <w:r>
        <w:rPr>
          <w:rFonts w:ascii="Times New Roman;sans-serif" w:hAnsi="Times New Roman;sans-serif"/>
          <w:b w:val="false"/>
          <w:color w:val="000000"/>
          <w:sz w:val="24"/>
        </w:rPr>
        <w:t>Affirm Holdings,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established this Cash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for the purpose of supporting the accomplishment of the Company’s financial and strategic objectives. In doing so, the Plan is designed to:</w:t>
      </w:r>
    </w:p>
    <w:p>
      <w:pPr>
        <w:pStyle w:val="TextBody"/>
        <w:bidi w:val="0"/>
        <w:spacing w:lineRule="auto" w:line="288" w:before="240" w:after="240"/>
        <w:ind w:left="0" w:right="0" w:hanging="360"/>
        <w:jc w:val="both"/>
        <w:rPr>
          <w:color w:val="000000"/>
        </w:rPr>
      </w:pPr>
      <w:r>
        <w:rPr>
          <w:color w:val="000000"/>
        </w:rPr>
        <w:t>●    </w:t>
      </w:r>
      <w:r>
        <w:rPr>
          <w:rFonts w:ascii="Times New Roman;sans-serif" w:hAnsi="Times New Roman;sans-serif"/>
          <w:b w:val="false"/>
          <w:color w:val="000000"/>
          <w:sz w:val="24"/>
        </w:rPr>
        <w:t>Closely align the compensation of Plan participants with the financial interests and expectations of the Company’s stockholders.</w:t>
      </w:r>
    </w:p>
    <w:p>
      <w:pPr>
        <w:pStyle w:val="TextBody"/>
        <w:bidi w:val="0"/>
        <w:spacing w:lineRule="auto" w:line="288" w:before="240" w:after="240"/>
        <w:ind w:left="0" w:right="0" w:hanging="360"/>
        <w:jc w:val="both"/>
        <w:rPr>
          <w:color w:val="000000"/>
        </w:rPr>
      </w:pPr>
      <w:r>
        <w:rPr>
          <w:color w:val="000000"/>
        </w:rPr>
        <w:t>●    </w:t>
      </w:r>
      <w:r>
        <w:rPr>
          <w:rFonts w:ascii="Times New Roman;sans-serif" w:hAnsi="Times New Roman;sans-serif"/>
          <w:b w:val="false"/>
          <w:color w:val="000000"/>
          <w:sz w:val="24"/>
        </w:rPr>
        <w:t>When combined with base salaries, provide opportunities for participants to earn competitive levels of direct cash compensation in order to attract and retain high-performing employees.</w:t>
      </w:r>
    </w:p>
    <w:p>
      <w:pPr>
        <w:pStyle w:val="TextBody"/>
        <w:bidi w:val="0"/>
        <w:spacing w:lineRule="auto" w:line="288" w:before="240" w:after="240"/>
        <w:ind w:left="0" w:right="0" w:hanging="360"/>
        <w:jc w:val="both"/>
        <w:rPr>
          <w:color w:val="000000"/>
        </w:rPr>
      </w:pPr>
      <w:r>
        <w:rPr>
          <w:color w:val="000000"/>
        </w:rPr>
        <w:t>●    </w:t>
      </w:r>
      <w:r>
        <w:rPr>
          <w:rFonts w:ascii="Times New Roman;sans-serif" w:hAnsi="Times New Roman;sans-serif"/>
          <w:b w:val="false"/>
          <w:color w:val="000000"/>
          <w:sz w:val="24"/>
        </w:rPr>
        <w:t xml:space="preserve">Define an appropriate portion of compensation as being “at risk,” thereby providing enhanced opportunities for pay for performance. </w:t>
      </w:r>
    </w:p>
    <w:p>
      <w:pPr>
        <w:pStyle w:val="TextBody"/>
        <w:bidi w:val="0"/>
        <w:spacing w:lineRule="auto" w:line="288" w:before="240" w:after="240"/>
        <w:ind w:left="0" w:right="0" w:firstLine="720"/>
        <w:jc w:val="both"/>
        <w:rPr/>
      </w:pPr>
      <w:r>
        <w:rPr>
          <w:rFonts w:ascii="Times New Roman;sans-serif" w:hAnsi="Times New Roman;sans-serif"/>
          <w:b/>
          <w:color w:val="000000"/>
          <w:sz w:val="24"/>
        </w:rPr>
        <w:t xml:space="preserve">2.    Definitions. </w:t>
      </w:r>
      <w:r>
        <w:rPr>
          <w:rFonts w:ascii="Times New Roman;sans-serif" w:hAnsi="Times New Roman;sans-serif"/>
          <w:b w:val="false"/>
          <w:color w:val="000000"/>
          <w:sz w:val="24"/>
        </w:rPr>
        <w:t>Capitalized terms used herein shall have the following meanings: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a corporation or other entity that directly, or indirectly through one or more intermediaries, controls, is controlled by or is under common control with the Company. For purposes of the Plan, an ownership interest of more than fifty percent (50%) shall be deemed to be a controlling interest.</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means the Board or the Committee, subject to the terms of the charter of the Committee as approved by the Board. The term Administrator shall also include the Company’s Chief Executive Officer, Chief Operating Officer and Chief People Officer and each of their designees with respect to any Eligible Employee who is not an SLT Member.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Base Pay</w:t>
      </w:r>
      <w:r>
        <w:rPr>
          <w:color w:val="000000"/>
        </w:rPr>
        <w:t xml:space="preserve">” </w:t>
      </w:r>
      <w:r>
        <w:rPr>
          <w:rFonts w:ascii="Times New Roman;sans-serif" w:hAnsi="Times New Roman;sans-serif"/>
          <w:b w:val="false"/>
          <w:color w:val="000000"/>
          <w:sz w:val="24"/>
        </w:rPr>
        <w:t>means a Participant’s payroll earnings received during the applicable Performance Year.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Company’s Board of Directors.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Bonus Payment</w:t>
      </w:r>
      <w:r>
        <w:rPr>
          <w:color w:val="000000"/>
        </w:rPr>
        <w:t xml:space="preserve">” </w:t>
      </w:r>
      <w:r>
        <w:rPr>
          <w:rFonts w:ascii="Times New Roman;sans-serif" w:hAnsi="Times New Roman;sans-serif"/>
          <w:b w:val="false"/>
          <w:color w:val="000000"/>
          <w:sz w:val="24"/>
        </w:rPr>
        <w:t>means the amount of the cash bonus for a given Performance Year payable to a Participant, as determined by the Administrator in accordance with the Bonus Payment Formula and in accordance with the terms and conditions of the Plan and the Bonus Formula Methodology approved by the Administrator for the applicable Performance Year. A Bonus Payment is not payable to a Participant until it is earned and vested in accordance with the terms of the Plan.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Bonus Payment Formula</w:t>
      </w:r>
      <w:r>
        <w:rPr>
          <w:color w:val="000000"/>
        </w:rPr>
        <w:t xml:space="preserve">” </w:t>
      </w:r>
      <w:r>
        <w:rPr>
          <w:rFonts w:ascii="Times New Roman;sans-serif" w:hAnsi="Times New Roman;sans-serif"/>
          <w:b w:val="false"/>
          <w:color w:val="000000"/>
          <w:sz w:val="24"/>
        </w:rPr>
        <w:t xml:space="preserve">means, for a Performance Year, the methodology to be used to calculate the Bonus Payment for each Participant, as set forth in the Bonus Formula Methodology for such Performance Year. Application of the Bonus Payment Formula in the calculation of any Bonus Payment shall be subject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terms and conditions of the Plan and the Bonus Formula Methodology for the applicable Performance Year.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Bonus Formula Methodology</w:t>
      </w:r>
      <w:r>
        <w:rPr>
          <w:color w:val="000000"/>
        </w:rPr>
        <w:t xml:space="preserve">” </w:t>
      </w:r>
      <w:r>
        <w:rPr>
          <w:rFonts w:ascii="Times New Roman;sans-serif" w:hAnsi="Times New Roman;sans-serif"/>
          <w:b w:val="false"/>
          <w:color w:val="000000"/>
          <w:sz w:val="24"/>
        </w:rPr>
        <w:t>means, for any Performance Year, the methodology to be used to calculate the Bonus Payment for each Participant, as approved by the Administrator for such Performance Year.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have the meaning ascribed to such term in the Participant’s individual employment, severance of other agreement with the Company or, if the Participant is not party to such an agreement, “Cause” shall have the meaning assigned to it in the Company’s Amended and Restated 2012 Stock Plan.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Compensation Committee of the Board and any successor committee of the Board thereto or, in the absence of such a committee or at the Board’s discretion, the full Board.</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has the meaning set forth in Section 1.</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Designated Beneficiary</w:t>
      </w:r>
      <w:r>
        <w:rPr>
          <w:color w:val="000000"/>
        </w:rPr>
        <w:t xml:space="preserve">” </w:t>
      </w:r>
      <w:r>
        <w:rPr>
          <w:rFonts w:ascii="Times New Roman;sans-serif" w:hAnsi="Times New Roman;sans-serif"/>
          <w:b w:val="false"/>
          <w:color w:val="000000"/>
          <w:sz w:val="24"/>
        </w:rPr>
        <w:t>has the meaning set forth in Section 7(k).</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 xml:space="preserve">shall have the meaning ascribed to such term in the Participant’s individual employment, severance or other agreement with the Company or, if the Participant is not party to such an agreement, “Disability” shall have the meaning assigned to it in the Company’s Amended and Restated 2012 Stock Plan.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 xml:space="preserve">means any regular full- or part-time employee who does not participate in a Company sales incentive plan and is employed by the Company or an Affiliate on or before March 31 during the applicable Performance Year.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means, for a Performance Year, an Eligible Employee who has been granted a Target Award under the Plan for the Performance Year. An individual whose Bonus Payment under the Plan for a Performance Year is earned and vested but remains outstanding shall also be a Participant solely with respect to such earned and vested Bonus Payment.</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Payment Date</w:t>
      </w:r>
      <w:r>
        <w:rPr>
          <w:color w:val="000000"/>
        </w:rPr>
        <w:t xml:space="preserve">” </w:t>
      </w:r>
      <w:r>
        <w:rPr>
          <w:rFonts w:ascii="Times New Roman;sans-serif" w:hAnsi="Times New Roman;sans-serif"/>
          <w:b w:val="false"/>
          <w:color w:val="000000"/>
          <w:sz w:val="24"/>
        </w:rPr>
        <w:t>means the date on which the Bonus Payment for a Performance Year is paid to a Participant, which date shall be as soon as practicable after the Administrator determines the amount of the Bonus Payments payable to Participants but no later than two and one-half (2-1/2) months following the end of the Performance Year to which the Bonus Payment relates.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Performance</w:t>
      </w:r>
      <w:r>
        <w:rPr>
          <w:color w:val="000000"/>
        </w:rPr>
        <w:t xml:space="preserve">” </w:t>
      </w:r>
      <w:r>
        <w:rPr>
          <w:rFonts w:ascii="Times New Roman;sans-serif" w:hAnsi="Times New Roman;sans-serif"/>
          <w:b w:val="false"/>
          <w:color w:val="000000"/>
          <w:sz w:val="24"/>
        </w:rPr>
        <w:t>means the extent to which the performance targets (including, if applicable, percentage levels of performance) and other components of the Bonus Payment Formula have been achieved for a Performance Year.</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Performance Year</w:t>
      </w:r>
      <w:r>
        <w:rPr>
          <w:color w:val="000000"/>
        </w:rPr>
        <w:t xml:space="preserve">” </w:t>
      </w:r>
      <w:r>
        <w:rPr>
          <w:rFonts w:ascii="Times New Roman;sans-serif" w:hAnsi="Times New Roman;sans-serif"/>
          <w:b w:val="false"/>
          <w:color w:val="000000"/>
          <w:sz w:val="24"/>
        </w:rPr>
        <w:t>means the Company’s fiscal year or portion thereof specified by the Administrator as the period over which Performance is to be measured pursuant to the Bonus Payment Formula for that period. Unless otherwise specified by the Administrator, the Performance Year shall be July 1 through June 30.</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 xml:space="preserve">has the meaning set forth in Section 1.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(t)    “</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 xml:space="preserve">has the meaning set forth in Section 9.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(u)    “</w:t>
      </w:r>
      <w:r>
        <w:rPr>
          <w:rFonts w:ascii="Times New Roman;sans-serif" w:hAnsi="Times New Roman;sans-serif"/>
          <w:b w:val="false"/>
          <w:color w:val="000000"/>
          <w:sz w:val="24"/>
          <w:u w:val="single"/>
        </w:rPr>
        <w:t>SLT Member</w:t>
      </w:r>
      <w:r>
        <w:rPr>
          <w:color w:val="000000"/>
        </w:rPr>
        <w:t xml:space="preserve">” </w:t>
      </w:r>
      <w:r>
        <w:rPr>
          <w:rFonts w:ascii="Times New Roman;sans-serif" w:hAnsi="Times New Roman;sans-serif"/>
          <w:b w:val="false"/>
          <w:color w:val="000000"/>
          <w:sz w:val="24"/>
        </w:rPr>
        <w:t>means each executive-level employee of the Company reporting directly to the Company’s Chief Executive Officer.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Target Award</w:t>
      </w:r>
      <w:r>
        <w:rPr>
          <w:color w:val="000000"/>
        </w:rPr>
        <w:t xml:space="preserve">” </w:t>
      </w:r>
      <w:r>
        <w:rPr>
          <w:rFonts w:ascii="Times New Roman;sans-serif" w:hAnsi="Times New Roman;sans-serif"/>
          <w:b w:val="false"/>
          <w:color w:val="000000"/>
          <w:sz w:val="24"/>
        </w:rPr>
        <w:t>means an amount assigned to a Participant (specified as such or expressed as a percentage of Base Pay or otherwise determined pursuant to a formula) that such Participant potentially may earn as a Bonus Payment in respect of a specified Performance Year at the targeted level of Performance. A Target Award constitutes only a conditional right to receive a Bonus Payment and does not guarantee receipt of a Bonus Payment or any level of Bonus Payment based on Performance or otherwise. In the event a Participant’s Target Award is modified during a Performance Year, the modified Target Award shall only apply to Base Pay attributable to the period after the effective date of such modification.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(w)    “</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the Participant’s employment with the Company and its Affiliates terminates for any reason. A transfer of a Participant’s employment between and among the Company or an Affiliate shall not be deemed to constitute a termination of employment for purposes of the Plan.</w:t>
      </w:r>
    </w:p>
    <w:p>
      <w:pPr>
        <w:pStyle w:val="TextBody"/>
        <w:bidi w:val="0"/>
        <w:spacing w:lineRule="auto" w:line="288" w:before="24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3.    Administration.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Authority of the Administrator</w:t>
      </w:r>
      <w:r>
        <w:rPr>
          <w:rFonts w:ascii="Times New Roman;sans-serif" w:hAnsi="Times New Roman;sans-serif"/>
          <w:b w:val="false"/>
          <w:color w:val="000000"/>
          <w:sz w:val="24"/>
        </w:rPr>
        <w:t>. The Plan shall be administered by the Administrator, which shall have full and final authority and discretion, in each case subject to and consistent with the provisions of the Plan and any applicable laws or regulations, to:</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select, or determine the method of selecting, Eligible Employees who will receive the grant of a Target Award under the Plan for a Performance Year (and thereby become a Participant in the Plan for such Performance Year);</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establish the Bonus Payment Formula for a Performance Year;</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grant Target Awards to Participants and determine the amount of Bonus Payments to be paid under the Plan for any period;</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modify the Bonus Payment Formula, any Target Award or, prior to the date on which it is earned and vested, any Bonus Payment otherwise payable under the Plan, whether based on the Bonus Payment Formula,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or otherwise, including decreasing such amounts as described herein;</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    adopt such rules, regulations and guidelines for interpreting, implementing and administering the Plan as it deems necessary or proper;</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(vi)    conclusively construe and interpret the Plan documents and correct defects, supply omissions or reconcile inconsistencies therein;</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employ attorneys, consultants, accountants, and other persons in connection with the administration of the Plan; </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(viii)    conclusively identify and determine the Designated Beneficiary of a deceased Participant or, if none, the legal representative of the estate of a deceased Participant, in each case in accordance with Section 7(k); and</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(ix)    make all other decisions and determinations as the Administrator may deem necessary or advisable for the administration of the Plan.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Binding Effect of Administrator Actions</w:t>
      </w:r>
      <w:r>
        <w:rPr>
          <w:rFonts w:ascii="Times New Roman;sans-serif" w:hAnsi="Times New Roman;sans-serif"/>
          <w:b w:val="false"/>
          <w:color w:val="000000"/>
          <w:sz w:val="24"/>
        </w:rPr>
        <w:t>. All actions taken and all interpretations and determinations made by the Administrator with respect to the Plan shall be final and binding upon the Participants, the Company and all other interested persons.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Manner of Exercise Administrator Authority</w:t>
      </w:r>
      <w:r>
        <w:rPr>
          <w:rFonts w:ascii="Times New Roman;sans-serif" w:hAnsi="Times New Roman;sans-serif"/>
          <w:b w:val="false"/>
          <w:color w:val="000000"/>
          <w:sz w:val="24"/>
        </w:rPr>
        <w:t>. The express grant of any specific power to the Administrator, and the taking of any action by the Administrator, shall not be construed as limiting any power or authority of the Administrator.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Delegation of Authority</w:t>
      </w:r>
      <w:r>
        <w:rPr>
          <w:rFonts w:ascii="Times New Roman;sans-serif" w:hAnsi="Times New Roman;sans-serif"/>
          <w:b w:val="false"/>
          <w:color w:val="000000"/>
          <w:sz w:val="24"/>
        </w:rPr>
        <w:t>. The Administrator may delegate to one or more officers or managers of the Company or an Affiliate, or committees thereof, the authority, subject to such terms as the Administrator shall determine, to perform such functions, including administrative functions, as the Administrator may determine, to the extent that such delegation is permitted under the applicable provisions of the Delaware General Corporation Law and the provisions of the Plan.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xml:space="preserve">. Each person acting in their capacity as Administrator, and each person acting pursuant to authority delegated by the Administrator, shall be entitled, in good faith, to rely or act upon any report or other information furnished by any executive officer, other officer or employee of the Company or its Affiliates, or the Company’s independent auditors, consultants or other agents assisting in the administration of the Plan. Each person acting as the Administrator or pursuant to authority delegated by the Administrator, and any officer or employee of the Company or any of its Affiliates acting at the direction or on behalf of the Administrator or a delegate, shall not be personally liable for any action or determination taken or made in good faith with respect to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shall, to the fullest extent permitted by law and the Company’s bylaws, be fully indemnified and protected by the Company with respect to any such action or determination.</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Local Laws and Rules</w:t>
      </w:r>
      <w:r>
        <w:rPr>
          <w:rFonts w:ascii="Times New Roman;sans-serif" w:hAnsi="Times New Roman;sans-serif"/>
          <w:b w:val="false"/>
          <w:color w:val="000000"/>
          <w:sz w:val="24"/>
        </w:rPr>
        <w:t>. Without limiting the generality of the duties and authorities granted to the Administrator under the Plan, the Administrator may establish rules and regulations for grants of Target Awards and Bonus Payments to nationals of countries other than the United States that may differ from the rules and regulations for grants of Target Awards and Bonus Payments to other persons if, in the judgment of the Administrator, such differences are necessary or desirable to foster and promote achievement of the purposes of the Plan (including compliance with provisions of laws in other countries or jurisdictions in which the Company or an Affiliate operates or in which a Participant is employed or performs services).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Notwithstanding anything to the contrary contained herein, and to the extent permitted by applicable law, the Administrator shall have the authority to, in its sole and absolute discretion: (i) change the Target Award of any Participant based upon such Participant’s performance evaluation or the recommendation of the Participant’s manager or any of his or her direct or indirect supervisors (including, without limitation, the Chief Executive Officer); (ii) withhold any payment amounts determined hereunder (whether or not such amounts are earned and vested) from any Participant who violates any Company policy and to treat such withheld payments as forfeited by the Participant; (iii) otherwise amend or cancel a Bonus Payment prior to the date on which the Bonus Payment is earned and vested; and (iv) adjust the terms and conditions of, and the performance targets and other criteria included in, the Bonus Payment Formula.</w:t>
      </w:r>
    </w:p>
    <w:p>
      <w:pPr>
        <w:pStyle w:val="TextBody"/>
        <w:bidi w:val="0"/>
        <w:spacing w:lineRule="auto" w:line="288" w:before="240" w:after="240"/>
        <w:ind w:left="0" w:right="0" w:firstLine="720"/>
        <w:jc w:val="both"/>
        <w:rPr/>
      </w:pPr>
      <w:r>
        <w:rPr>
          <w:rFonts w:ascii="Times New Roman;sans-serif" w:hAnsi="Times New Roman;sans-serif"/>
          <w:b/>
          <w:color w:val="000000"/>
          <w:sz w:val="24"/>
        </w:rPr>
        <w:t>4.    Participation.</w:t>
      </w:r>
      <w:r>
        <w:rPr>
          <w:color w:val="000000"/>
        </w:rPr>
        <w:t xml:space="preserve"> </w:t>
      </w:r>
      <w:r>
        <w:rPr>
          <w:rFonts w:ascii="Times New Roman;sans-serif" w:hAnsi="Times New Roman;sans-serif"/>
          <w:b w:val="false"/>
          <w:color w:val="000000"/>
          <w:sz w:val="24"/>
        </w:rPr>
        <w:t xml:space="preserve">Eligible Employees selected to participate in the Plan will be “Participants” for the specified Performance Year. An Eligible Employee who is not selected to participate in the Plan for a specified Performance Year shall not be entitled to any Bonus Payment under the Plan for such Performance Year and shall not be a Participant for such Performance Year. Unless otherwise provided by the Administrator, any Eligible Employee who has been selected for participation in the Plan for a Performance Year shall become a Participant as of the first day of such Performance Year; provided, however, that if an individual who is selected for participation is not an Eligible Employee as of the first day of the Performance Year, such individual shall become a Participant on the date specified by the Administrator (but in no event prior to the date on which such individual is an Eligible Employee) and receive a pro-rated amount of any Bonus Payment based on his or her period of participation in the Plan. </w:t>
      </w:r>
    </w:p>
    <w:p>
      <w:pPr>
        <w:pStyle w:val="TextBody"/>
        <w:bidi w:val="0"/>
        <w:spacing w:lineRule="auto" w:line="288" w:before="24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5.    Establishment of Bonus Payment Formula and Target Awards.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Establishment of Bonus Payment Formula</w:t>
      </w:r>
      <w:r>
        <w:rPr>
          <w:rFonts w:ascii="Times New Roman;sans-serif" w:hAnsi="Times New Roman;sans-serif"/>
          <w:b w:val="false"/>
          <w:color w:val="000000"/>
          <w:sz w:val="24"/>
        </w:rPr>
        <w:t>. Within the first ninety (90) days of the Performance Year, or at such other time as it reasonably determines, the Administrator shall establish the Bonus Payment Formula for the Performance Year.</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Establishment of Target Awards</w:t>
      </w:r>
      <w:r>
        <w:rPr>
          <w:rFonts w:ascii="Times New Roman;sans-serif" w:hAnsi="Times New Roman;sans-serif"/>
          <w:b w:val="false"/>
          <w:color w:val="000000"/>
          <w:sz w:val="24"/>
        </w:rPr>
        <w:t>. For each Performance Year, the Administrator shall designate, for each Participant, such Participant’s Target Award. Target Awards will be denominated in cash and all Bonus Payments will be payable in cash.</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Newly Eligible Participants</w:t>
      </w:r>
      <w:r>
        <w:rPr>
          <w:rFonts w:ascii="Times New Roman;sans-serif" w:hAnsi="Times New Roman;sans-serif"/>
          <w:b w:val="false"/>
          <w:color w:val="000000"/>
          <w:sz w:val="24"/>
        </w:rPr>
        <w:t>. In the case of an Eligible Employee who becomes a Participant after the beginning of a Performance Year, the Administrator shall designate such individual’s Target Award for the portion of the Performance Year remaining after he or she becomes a Participant. For the avoidance of doubt, Eligible Employees who are promoted into a bonus-eligible position during a Performance Year shall be eligible to participate in the Plan only with respect to their Base Pay attributable to the post-promotion period.</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Written Determinations</w:t>
      </w:r>
      <w:r>
        <w:rPr>
          <w:rFonts w:ascii="Times New Roman;sans-serif" w:hAnsi="Times New Roman;sans-serif"/>
          <w:b w:val="false"/>
          <w:color w:val="000000"/>
          <w:sz w:val="24"/>
        </w:rPr>
        <w:t>. Determinations by the Administrator under this Section 5, including Target Awards for each Participant, the level of Performance for the Performance Year and the amount of the Bonus Payment for each Participant shall be recorded in writing as determined in such form as the Administrator may determine.</w:t>
      </w:r>
    </w:p>
    <w:p>
      <w:pPr>
        <w:pStyle w:val="TextBody"/>
        <w:bidi w:val="0"/>
        <w:spacing w:lineRule="auto" w:line="288" w:before="24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6.    Determination of Bonus Payment; Earning and Payment of Bonus Payment.</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Determination of Bonus Payment</w:t>
      </w:r>
      <w:r>
        <w:rPr>
          <w:rFonts w:ascii="Times New Roman;sans-serif" w:hAnsi="Times New Roman;sans-serif"/>
          <w:b w:val="false"/>
          <w:color w:val="000000"/>
          <w:sz w:val="24"/>
        </w:rPr>
        <w:t xml:space="preserve">. As soon as practicable after the end of the Performance Year and prior to the Payment Date, the Administrator shall determine the amount of the Bonus Payment to be paid to each Participant for the Performance Year. Subject to the terms and conditions of the Plan, the Bonus Payments shall be determined in accordance with the Bonus Payment Formula for the Performance Year.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Unless otherwise specifically provided in the Plan or determined by the Administrator (or otherwise specifically provided under a separate agreement, plan or policy conferring rights on the Participant), (i) the Bonus Payment for an applicable Performance Year shall be earned and vested as of the completion of such Performance Year and only with respect to a Participant who remains employed by the Company or an Affiliate through the end of such Performance Year and (ii) a Participant whose Termination Date occurs during any Performance Year shall not be entitled to payment of a Bonus Payment for such Performance Year and the Participant shall have no further rights under the Plan for such Performance Year.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Payment of Bonus Payment</w:t>
      </w:r>
      <w:r>
        <w:rPr>
          <w:rFonts w:ascii="Times New Roman;sans-serif" w:hAnsi="Times New Roman;sans-serif"/>
          <w:b w:val="false"/>
          <w:color w:val="000000"/>
          <w:sz w:val="24"/>
        </w:rPr>
        <w:t xml:space="preserve">. Any Bonus Payment earned for a Performance Year shall be paid by the Company, or the Affiliate that employs the Participant, which payment shall be made no later than the Payment Date for such Performance Year.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Leaves of Absence</w:t>
      </w:r>
      <w:r>
        <w:rPr>
          <w:rFonts w:ascii="Times New Roman;sans-serif" w:hAnsi="Times New Roman;sans-serif"/>
          <w:b w:val="false"/>
          <w:color w:val="000000"/>
          <w:sz w:val="24"/>
        </w:rPr>
        <w:t xml:space="preserve">. In the event a Participant is on a Company-approved paid leave of absence during a Performance Year, the Participant’s period of paid leave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Base Pay during such period of paid leave will be included in the calculation of the Participant’s Bonus Payment for such Performance Year.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Special Rules for Death or Disability</w:t>
      </w:r>
      <w:r>
        <w:rPr>
          <w:rFonts w:ascii="Times New Roman;sans-serif" w:hAnsi="Times New Roman;sans-serif"/>
          <w:b w:val="false"/>
          <w:color w:val="000000"/>
          <w:sz w:val="24"/>
        </w:rPr>
        <w:t>. Notwithstanding the provisions of Section 6(b), except as otherwise specifically provided in the Plan or determined by the Administrator (or otherwise specifically provided under a separate agreement, plan or policy conferring rights on the Participant):</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In the event that a Participant’s Termination Date occurs during a Performance Year due to his or her death or Disability:</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Participant’s Bonus Payment for the Performance Year shall be equal to (A) the greater of (x) the Participant’s Target Award for the Performance Year, or (y) the amount of the Bonus Payment that the Participant would have been entitled to receive for that Performance Year, if any, based on the Company’s Performance as of the end of its most recently completed fiscal quarter of that Performance Year ending prior to such Termination Date (which amount shall be deemed to be zero in the event of a Termination Date occurring during the first fiscal quarter of a Performance Year), multiplied by (B) a fraction, the numerator of which shall equal the total number of calendar days during the Performance Year that the Participant was employed by the Company and its Affiliates (including Company-approved paid leaves of absence in accordance with Section 6(d) but excluding any other leaves of absence) on or prior to his or her Termination Date, and the denominator of which shall be the number of days in such year; and</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such Bonus Payment shall be paid to the Participant or, in the case of the Participant’s death, to the Designated Beneficiary or legal representative of the estate of the Participant, as applicable, as determined in accordance with Section 7(k) as soon as practicable after the Administrator determines the amount of such Bonus Payment and, in the case of a death of a Participant, after the Administrator identifies and determines the Designated Beneficiary or legal representative of the estate of the Participant, but no later than two and one-half (2-1/2) months following such Termination Date.</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In the event that a Participant’s Termination Date occurs after the end of a Performance Year and prior to the Payment Date applicable to that Performance Year due to his or her death or Disability:</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Participant’s Bonus Payment, if any, for the recently ended Performance Year shall be equal to the amount of the Bonus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Payment, if any, that the Participant would have been entitled to receive for that Performance Year (determined in accordance with Section 5 and Section 6(a)) had the Participant’s Termination Date not occurred prior to the Payment Date; and</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such Bonus Payment, if any, shall be paid (A) in the case of the Participant’s Disability, on the Payment Date for the applicable Performance Year to the Participant, or (B) in the case of the Participant’s death, to the Designated Beneficiary or legal representative of the estate of the Participant, as applicable, as soon as practicable after the Administrator identifies and determines such Designated Beneficiary or legal representative in accordance with Section 7(k).</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 xml:space="preserve">. Notwithstanding the other provisions of this Section 6, in the event a Participant’s employment is terminated for Cause, such Participant shall not be entitled to any Bonus Payment for the Performance Year during which such termination occurs, any Bonus Payment for any prior Performance Year that has not yet been paid out shall be forfeited, and the Participant shall have no further rights under the Plan upon such termination.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In the event of a Change of Control (as defined in the Company’s Amended and Restated 2012 Stock Plan, or an applicable successor plan thereto) the Performance Year shall automatically be deemed to have terminated as of the date of such Change of Control and Performance will be determined from the beginning of the current Performance Year to the effective date of the Change of Control in accordance with Section 5 and Section 6(a). Based on these results, each Participant shall receive a Bonus Payment at the target or actual performance level, whichever is higher, payable on or as soon as practicable following the date of such Change of Control. Such Bonus Payment shall be in addition to any compensation otherwise payable to a Participant in connection with such Change in Control.</w:t>
      </w:r>
    </w:p>
    <w:p>
      <w:pPr>
        <w:pStyle w:val="TextBody"/>
        <w:bidi w:val="0"/>
        <w:spacing w:lineRule="auto" w:line="288" w:before="240" w:after="240"/>
        <w:ind w:left="0" w:right="0" w:firstLine="720"/>
        <w:jc w:val="both"/>
        <w:rPr/>
      </w:pPr>
      <w:r>
        <w:rPr>
          <w:rFonts w:ascii="Times New Roman;sans-serif" w:hAnsi="Times New Roman;sans-serif"/>
          <w:b/>
          <w:color w:val="000000"/>
          <w:sz w:val="24"/>
        </w:rPr>
        <w:t>7.    </w:t>
      </w:r>
      <w:r>
        <w:rPr>
          <w:color w:val="000000"/>
        </w:rPr>
        <w:t xml:space="preserve"> </w:t>
      </w:r>
      <w:r>
        <w:rPr>
          <w:rFonts w:ascii="Times New Roman;sans-serif" w:hAnsi="Times New Roman;sans-serif"/>
          <w:b/>
          <w:color w:val="000000"/>
          <w:sz w:val="24"/>
        </w:rPr>
        <w:t>General Provisions.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 Right to Employment</w:t>
      </w:r>
      <w:r>
        <w:rPr>
          <w:rFonts w:ascii="Times New Roman;sans-serif" w:hAnsi="Times New Roman;sans-serif"/>
          <w:b w:val="false"/>
          <w:color w:val="000000"/>
          <w:sz w:val="24"/>
        </w:rPr>
        <w:t>. Neither the Plan, its adoption, its operation, nor any action taken under the Plan shall be construed as giving any employee the right to be retained or continued in the employ of the Company or any of its Affiliates, nor shall it interfere in any way with the right and power of the Company or any of its Affiliates to discharge any employee or take any action that has the effect of terminating any employee’s employment or service at any time.</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Plan Expenses</w:t>
      </w:r>
      <w:r>
        <w:rPr>
          <w:rFonts w:ascii="Times New Roman;sans-serif" w:hAnsi="Times New Roman;sans-serif"/>
          <w:b w:val="false"/>
          <w:color w:val="000000"/>
          <w:sz w:val="24"/>
        </w:rPr>
        <w:t>. The expenses of the Plan and its administration shall be borne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Plan Not Funded; No Guarantee</w:t>
      </w:r>
      <w:r>
        <w:rPr>
          <w:rFonts w:ascii="Times New Roman;sans-serif" w:hAnsi="Times New Roman;sans-serif"/>
          <w:b w:val="false"/>
          <w:color w:val="000000"/>
          <w:sz w:val="24"/>
        </w:rPr>
        <w:t>. The Plan is intended to constitute an “unfunded” plan for incentive and deferred compensation. With respect to any payments not yet made to a Participant pursuant to a Bonus Payment, nothing contained in the Plan or any Bonus Payment shall give any such Participant any rights that are greater than those of a general creditor of the Company. Participation in the Plan is a privilege, not a right, and each individual Participant’s participation in the Plan is subject to review from time to time at the discretion of the Company. Receipt of a Bonus Payment in any one year does not guarantee receipt of a Bonus Payment under the Plan in any other year.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Reports</w:t>
      </w:r>
      <w:r>
        <w:rPr>
          <w:rFonts w:ascii="Times New Roman;sans-serif" w:hAnsi="Times New Roman;sans-serif"/>
          <w:b w:val="false"/>
          <w:color w:val="000000"/>
          <w:sz w:val="24"/>
        </w:rPr>
        <w:t>. The appropriate officers of the Company shall cause to be filed any reports, returns or other information regarding the Plan as may be required by any applicable law.</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Plan and all determinations made and actions taken pursuant hereto shall be governed by the laws of the State of Delaware without giving effect to the conflict of laws principles thereof.</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Nonexclusively of the Plan</w:t>
      </w:r>
      <w:r>
        <w:rPr>
          <w:rFonts w:ascii="Times New Roman;sans-serif" w:hAnsi="Times New Roman;sans-serif"/>
          <w:b w:val="false"/>
          <w:color w:val="000000"/>
          <w:sz w:val="24"/>
        </w:rPr>
        <w:t>. The adoption of this Plan shall not be construed as creating any limitations on the power of the Company, Board or Committee to adopt such other compensation arrangements as any of them may deem desirable for any Participant or non-participating employee, including authorization of annual incentives under other plans and arrangements.</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of any provision of the Plan or a document hereunder shall not be deemed to render the remainder of this Plan or such document invalid.</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Company shall require any successor (whether direct or indirect, by purchase, merger, consolidation or otherwise, and whether or not the corporate existence of the Company continues) to all or substantially all of the business and/or assets of the Company to expressly assume and agree to perform the Company’s obligations under the Plan in the same manner and to the same extent that the Company would be required to perform it if no such succession had taken place. Subject to the foregoing, the Company may transfer and assign its rights and obligations hereunder.</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Company and its Affiliates shall deduct from any payment of a Participant’s Bonus Payment or from any other payment to the Participant, including wages, any Federal, state, local or provincial tax or charge that is then required to be deducted under applicable law with respect to the Bonus Payment or other payment or as determined by the Administrator to be appropriate under a program for withholding.</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Any Target Award, any resulting Bonus Payment and any other right hereunder shall be non-assignable and non-transferable, and shall not be pledged, encumbered or hypothecated to or in favor of any party or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lien, obligation or liability of the Participant to any party other than the Company or an Affiliate.</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Heirs and Successors</w:t>
      </w:r>
      <w:r>
        <w:rPr>
          <w:rFonts w:ascii="Times New Roman;sans-serif" w:hAnsi="Times New Roman;sans-serif"/>
          <w:b w:val="false"/>
          <w:color w:val="000000"/>
          <w:sz w:val="24"/>
        </w:rPr>
        <w:t>. If any benefits deliverable to the Participant under the Plan have not been delivered at the time of the Participant’s death, such benefits shall be delivered to the Participant’s Designated Beneficiary, in accordance with the provisions of the Plan. The “</w:t>
      </w:r>
      <w:r>
        <w:rPr>
          <w:rFonts w:ascii="Times New Roman;sans-serif" w:hAnsi="Times New Roman;sans-serif"/>
          <w:b w:val="false"/>
          <w:color w:val="000000"/>
          <w:sz w:val="24"/>
          <w:u w:val="single"/>
        </w:rPr>
        <w:t>Designated Beneficiary</w:t>
      </w:r>
      <w:r>
        <w:rPr>
          <w:color w:val="000000"/>
        </w:rPr>
        <w:t xml:space="preserve">” </w:t>
      </w:r>
      <w:r>
        <w:rPr>
          <w:rFonts w:ascii="Times New Roman;sans-serif" w:hAnsi="Times New Roman;sans-serif"/>
          <w:b w:val="false"/>
          <w:color w:val="000000"/>
          <w:sz w:val="24"/>
        </w:rPr>
        <w:t>shall be the beneficiary or beneficiaries designated by the Participant in accordance with such rules and procedures as may be established by the Company from time to time. If a beneficiary has not been designated by a deceased Participant, or if the Designated Beneficiary does not survive the Participant, any rights that would have been exercisable by the Participant and any benefits distributable to the Participant shall be exercisable and distributed, as applicable, to the legal representative of the estate of the Participant.</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Clawback Policy</w:t>
      </w:r>
      <w:r>
        <w:rPr>
          <w:rFonts w:ascii="Times New Roman;sans-serif" w:hAnsi="Times New Roman;sans-serif"/>
          <w:b w:val="false"/>
          <w:color w:val="000000"/>
          <w:sz w:val="24"/>
        </w:rPr>
        <w:t xml:space="preserve">. Any Target Award or any resulting Bonus Payment granted under the Plan is subject to any applicable recoupment or “clawback” policies of the Company, as amended from time to time, or as may be set forth in a separate agreement, plan or policy conferring rights on a Participant. </w:t>
      </w:r>
    </w:p>
    <w:p>
      <w:pPr>
        <w:pStyle w:val="TextBody"/>
        <w:bidi w:val="0"/>
        <w:spacing w:lineRule="auto" w:line="288" w:before="240" w:after="240"/>
        <w:ind w:left="0" w:right="0" w:hanging="72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Action by Company</w:t>
      </w:r>
      <w:r>
        <w:rPr>
          <w:rFonts w:ascii="Times New Roman;sans-serif" w:hAnsi="Times New Roman;sans-serif"/>
          <w:b w:val="false"/>
          <w:color w:val="000000"/>
          <w:sz w:val="24"/>
        </w:rPr>
        <w:t>. Unless otherwise specified herein, any action required or permitted to be taken by the Company hereunder shall be by an officer of the Company or such other person authorized by the Board; provided, however, that in no event shall any officer be permitted to take any action on behalf of the Company with respect to himself or herself.</w:t>
      </w:r>
    </w:p>
    <w:p>
      <w:pPr>
        <w:pStyle w:val="TextBody"/>
        <w:bidi w:val="0"/>
        <w:spacing w:lineRule="auto" w:line="288" w:before="240" w:after="240"/>
        <w:ind w:left="0" w:right="0" w:firstLine="720"/>
        <w:jc w:val="both"/>
        <w:rPr/>
      </w:pPr>
      <w:r>
        <w:rPr>
          <w:rFonts w:ascii="Times New Roman;sans-serif" w:hAnsi="Times New Roman;sans-serif"/>
          <w:b/>
          <w:color w:val="000000"/>
          <w:sz w:val="24"/>
        </w:rPr>
        <w:t>8.    Amendment and Termination.</w:t>
      </w:r>
      <w:r>
        <w:rPr>
          <w:color w:val="000000"/>
        </w:rPr>
        <w:t xml:space="preserve"> </w:t>
      </w:r>
      <w:r>
        <w:rPr>
          <w:rFonts w:ascii="Times New Roman;sans-serif" w:hAnsi="Times New Roman;sans-serif"/>
          <w:b w:val="false"/>
          <w:color w:val="000000"/>
          <w:sz w:val="24"/>
        </w:rPr>
        <w:t>The Company may modify or terminate the Plan at any time. Notwithstanding anything to the contrary herein, in the event of termination of the Plan, Performance will be determined from the beginning of the current Performance Year to the effective date of Plan termination. Based on these results, any Bonus Payments earned will be paid in cash to Participants on a pro-rata basis within forty-five (45) days after the date of such termination or on such other date as may be required to ensure that the payment is made in a manner that complies with the requirements of Section 409A of the Code.</w:t>
      </w:r>
    </w:p>
    <w:p>
      <w:pPr>
        <w:pStyle w:val="TextBody"/>
        <w:bidi w:val="0"/>
        <w:spacing w:lineRule="auto" w:line="288" w:before="240" w:after="240"/>
        <w:ind w:left="0" w:right="0" w:firstLine="720"/>
        <w:jc w:val="both"/>
        <w:rPr/>
      </w:pPr>
      <w:r>
        <w:rPr>
          <w:rFonts w:ascii="Times New Roman;sans-serif" w:hAnsi="Times New Roman;sans-serif"/>
          <w:b/>
          <w:color w:val="000000"/>
          <w:sz w:val="24"/>
        </w:rPr>
        <w:t>9.    Section 409A.</w:t>
      </w:r>
      <w:r>
        <w:rPr>
          <w:color w:val="000000"/>
        </w:rPr>
        <w:t xml:space="preserve"> </w:t>
      </w:r>
      <w:r>
        <w:rPr>
          <w:rFonts w:ascii="Times New Roman;sans-serif" w:hAnsi="Times New Roman;sans-serif"/>
          <w:b w:val="false"/>
          <w:color w:val="000000"/>
          <w:sz w:val="24"/>
        </w:rPr>
        <w:t>It is the intent of the Company that all Bonus Payments under the Plan be exempt from or comply with Section 409A of the Code and all regulations, guidance and other interpretative guidance issued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The provisions of the Plan shall be construed and interpreted in accordance with the foregoing. Notwithstanding the foregoing, the Company shall not be required to assume any increased economic burden in connection therewith. Although the Company intends that the Plan be administered so as to be exempt from or in compliance with the requirements of Section 409A, neither the Company nor the Administrator represents or warrants that the Plan will comply with Section 409A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participation in the Plan,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and its Affiliates shall have no obligation to indemnify or otherwise protect any Participant from the obligation to pay any taxes or penalties pursuant to Section 409A. Notwithstanding any other provision of the Plan to the contrary, if any payment or benefit hereunder is subject to Section 409A, and if such payment or benefit is to be paid or provided on account of the Participant’s termination of employment (or other separation from service) and if the Participant is a specified employee (within the meaning of Code Section 409A(a)(2)(B)) such payment or benefit shall be delayed until the first day of the seventh month following the Participant’s termination of employment (or separation from service). The determination as to whether a Participant has had a termination of employment (or separation from service) shall be made in accordance with the provisions of Section 409A and the guidance issued thereunder without application of any alternative levels of reductions of bona fide services permitted thereunder. The time or schedule of any payment or amount scheduled to be paid pursuant to the Plan shall not be accelerated except as permitted under Section 409A and as would not result in taxation and/or tax penalties under Section 409A. </w:t>
      </w:r>
    </w:p>
    <w:p>
      <w:pPr>
        <w:pStyle w:val="TextBody"/>
        <w:bidi w:val="0"/>
        <w:spacing w:before="240" w:after="24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AFFIRM HOLDINGS,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OFFICER SEVERANCE PLAN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(As amended effective as of March 12, 2025)</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Affirm Holdings, Inc. Officer Severance Plan is established as of the Effective Date. The purpose of the Plan is to help retain qualified employees, maintain a stable work environment, and provide economic security to certain eligible employees of Affirm Holdings, Inc. and its Affiliates, including in the event of an actual or threatened Change in Control as described herein. Except with respect to individually negotiated employment contracts or agreements with the Company providing severance, death, or disability benefits that an Eligible Employee has not agreed to forgo, this Plan supersedes any plan, policy or practice with respect to Qualifying Terminations, death, or Disability, whether formal or informal, written or unwritten, previously announced or maintained by the Company. This Plan document also is the Summary Plan Description for the Plan.</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As hereinafter used: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individual or entity, any other individual or entity who, directly or indirectly through one or more intermediaries, controls, is controlled by or is under common control with, such individual or entity.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means base pay (excluding incentive pay, premium pay, commissions, overtime, bonuses and other forms of variable compensation) as in effect immediately prior to a Qualifying Termination, death, or Disability, and prior to any reduction that would give rise to an Eligible Employee’s right to resign for Good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means, with respect to any Eligible Employee, the meaning ascribed to such term in any written agreement between such Eligible Employee and the Company defining such term, and, in the absence of such agreement, means with respect to such Eligible Employee, the occurrence of any one or more of the following events: (a) willful conduct by the Eligible Employee constituting a material act of misconduct in connection with the performance of the Eligible Employee’s duties, including, without limitation, misappropriation of funds or property of the Company or any of its subsidiaries or affiliates other than the occasional, customary and de minimis use of Company property for personal purposes; (b) the conviction of, or plea of guilty or no contest to, any felony or any crime involving moral turpitude, deceit, dishonesty or fraud, or any conduct by the Eligible Employee that would reasonably be expected to result in material injury or reputational harm to the Company or any of its subsidiaries and affiliates if the Eligible Employee were retained in the Eligible Employee’s position; (c) continued non-performance by the Eligible Employee of the Eligible Employee’s duties to the Company (other than by reason of the Eligible Employee’s physical or mental illness, incapacity or Disability) which has continued for 30 days following written notice of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non-performance from the Company; (d) a breach by the Eligible Employee of any of the provisions contained in the Confidentiality and Inventions Assignment Agreement entered into between the Eligible Employee and the Company or any other confidentiality, invention assignment or similar agreement with the Company; (e) a material violation by the Eligible Employee of the Company’s written employment policies; or (f) the Eligible Employee’s failure to cooperate with a bona fide internal investigation or an investigation by regulatory or law enforcement authorities, after being instructed by the Company to cooperate, or Eligible Employee’s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CIC Benefits Schedule</w:t>
      </w:r>
      <w:r>
        <w:rPr>
          <w:color w:val="000000"/>
        </w:rPr>
        <w:t xml:space="preserve">” </w:t>
      </w:r>
      <w:r>
        <w:rPr>
          <w:rFonts w:ascii="Times New Roman;sans-serif" w:hAnsi="Times New Roman;sans-serif"/>
          <w:b w:val="false"/>
          <w:color w:val="000000"/>
          <w:sz w:val="24"/>
        </w:rPr>
        <w:t xml:space="preserve">has the meaning set forth in Section 3.3.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CIC Severance Pay</w:t>
      </w:r>
      <w:r>
        <w:rPr>
          <w:color w:val="000000"/>
        </w:rPr>
        <w:t xml:space="preserve">” </w:t>
      </w:r>
      <w:r>
        <w:rPr>
          <w:rFonts w:ascii="Times New Roman;sans-serif" w:hAnsi="Times New Roman;sans-serif"/>
          <w:b w:val="false"/>
          <w:color w:val="000000"/>
          <w:sz w:val="24"/>
        </w:rPr>
        <w:t xml:space="preserve">has the meaning set forth in Section 3.3.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has the meaning ascribed to it in the Affirm Holdings, Inc. Amended and Restated 2012 Stock Plan, as amended from time to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Change in Control Protection Period</w:t>
      </w:r>
      <w:r>
        <w:rPr>
          <w:color w:val="000000"/>
        </w:rPr>
        <w:t xml:space="preserve">” </w:t>
      </w:r>
      <w:r>
        <w:rPr>
          <w:rFonts w:ascii="Times New Roman;sans-serif" w:hAnsi="Times New Roman;sans-serif"/>
          <w:b w:val="false"/>
          <w:color w:val="000000"/>
          <w:sz w:val="24"/>
        </w:rPr>
        <w:t>means the period commencing three (3) months prior to a Change in Control and ending twelve (12) months following the Change in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1.10    “</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Board or a committee of the Board appointed by the Board to administer the Plan, which in each case is also referred to under the Plan as the “</w:t>
      </w:r>
      <w:r>
        <w:rPr>
          <w:rFonts w:ascii="Times New Roman;sans-serif" w:hAnsi="Times New Roman;sans-serif"/>
          <w:b w:val="false"/>
          <w:color w:val="000000"/>
          <w:sz w:val="24"/>
          <w:u w:val="single"/>
        </w:rPr>
        <w:t>Plan Administrator</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1.11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Affirm Holdings, Inc., a Delaware corporation, and any successors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1.12    “</w:t>
      </w:r>
      <w:r>
        <w:rPr>
          <w:rFonts w:ascii="Times New Roman;sans-serif" w:hAnsi="Times New Roman;sans-serif"/>
          <w:b w:val="false"/>
          <w:color w:val="000000"/>
          <w:sz w:val="24"/>
          <w:u w:val="single"/>
        </w:rPr>
        <w:t>Designated Beneficiary</w:t>
      </w:r>
      <w:r>
        <w:rPr>
          <w:color w:val="000000"/>
        </w:rPr>
        <w:t xml:space="preserve">” </w:t>
      </w:r>
      <w:r>
        <w:rPr>
          <w:rFonts w:ascii="Times New Roman;sans-serif" w:hAnsi="Times New Roman;sans-serif"/>
          <w:b w:val="false"/>
          <w:color w:val="000000"/>
          <w:sz w:val="24"/>
        </w:rPr>
        <w:t>shall be the beneficiary or beneficiaries designated by an Eligible Employee in accordance with such rules and procedures as may be established by the Company from time to time. If a beneficiary has not been designated by a deceased Eligible Employee, or if the Designated Beneficiary does not survive the Eligible Employee, any rights that would have been exercisable by the Eligible Employee and any benefits distributable to the Eligible Employee shall be exercisable and distributed, as applicable, to the legal representative of the estate of the Eligible Employee.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1.13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Disabled</w:t>
      </w:r>
      <w:r>
        <w:rPr>
          <w:color w:val="000000"/>
        </w:rPr>
        <w:t xml:space="preserve">” </w:t>
      </w:r>
      <w:r>
        <w:rPr>
          <w:rFonts w:ascii="Times New Roman;sans-serif" w:hAnsi="Times New Roman;sans-serif"/>
          <w:b w:val="false"/>
          <w:color w:val="000000"/>
          <w:sz w:val="24"/>
        </w:rPr>
        <w:t>means having a “disability” within the meaning of Section 22(e)(3) of the Code. If the Plan Administrator determines in good faith that the Eligible Employee’s Disability has occurred, it may give the Eligible Employee a written notice of termination that states such a determination has been made (“</w:t>
      </w:r>
      <w:r>
        <w:rPr>
          <w:rFonts w:ascii="Times New Roman;sans-serif" w:hAnsi="Times New Roman;sans-serif"/>
          <w:b w:val="false"/>
          <w:color w:val="000000"/>
          <w:sz w:val="24"/>
          <w:u w:val="single"/>
        </w:rPr>
        <w:t>Termination Notice</w:t>
      </w:r>
      <w:r>
        <w:rPr>
          <w:color w:val="000000"/>
        </w:rPr>
        <w:t>”</w:t>
      </w:r>
      <w:r>
        <w:rPr>
          <w:rFonts w:ascii="Times New Roman;sans-serif" w:hAnsi="Times New Roman;sans-serif"/>
          <w:b w:val="false"/>
          <w:color w:val="000000"/>
          <w:sz w:val="24"/>
        </w:rPr>
        <w:t xml:space="preserve">). If within 30 days of the Termination Notice, the Eligible Employee does not return to full-time performance of the Eligible Employee’s responsibilities, the Eligible Employee’s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will terminate. If the Eligible Employee does return to full-time performance in that 30-day period, the Termination Notice will be cancelled for all purposes of this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1.14    “</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November 18, 2020.</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1.15    “</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means an employee of the Company or an Affiliate who (i) holds the title of SVP or above or is otherwise is designated by the Plan Administrator, in its sole discretion, to be eligible for benefits under this Plan, and (ii) if applicable, agrees to forgo such benefits provided under an individually negotiated employment contract or agreement with the Company relating to severance, death, Disability or change in control benefits. The Plan Administrator shall make the determination of whether an employee is an Eligible Employee, and such determination shall be binding and conclusive on all persons. The Plan Administrator shall maintain a current schedule of Eligible Employees with the Chief Legal Officer of the Company or such other Company officer as may be designated by the Plan Administrator. Temporary employees and independent contractors are not eligible to participate in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1.16    “</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 xml:space="preserve">means the Employee Retirement Income Security Act of 1974, as amended.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1.17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that the Eligible Employee complied with the “Good Reason Process” following the occurrence of any of the following events: (i) a material diminution in the Eligible Employee’s responsibilities, authority or duties; (ii) a material reduction in the Eligible Employee’s Base Salary except for across-the-board salary reductions similarly affecting all or substantially all management employees; (iii) the relocation of the Company office at which the Eligible Employee is principally employed to a location more than thirty-five (35) miles from such office; or (iv) the failure of any successor to the Company to assume and agree to be bound by the terms and conditions of the Plan. For purposes of (i), a change in the reporting relationship, or a change in a title will not, by itself, be sufficient to constitute a material diminution of responsibilities, authority or duty.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1.18    “</w:t>
      </w:r>
      <w:r>
        <w:rPr>
          <w:rFonts w:ascii="Times New Roman;sans-serif" w:hAnsi="Times New Roman;sans-serif"/>
          <w:b w:val="false"/>
          <w:color w:val="000000"/>
          <w:sz w:val="24"/>
          <w:u w:val="single"/>
        </w:rPr>
        <w:t>Good Reason Process</w:t>
      </w:r>
      <w:r>
        <w:rPr>
          <w:color w:val="000000"/>
        </w:rPr>
        <w:t xml:space="preserve">” </w:t>
      </w:r>
      <w:r>
        <w:rPr>
          <w:rFonts w:ascii="Times New Roman;sans-serif" w:hAnsi="Times New Roman;sans-serif"/>
          <w:b w:val="false"/>
          <w:color w:val="000000"/>
          <w:sz w:val="24"/>
        </w:rPr>
        <w:t>means (i) the Eligible Employee reasonably determines in good faith that a “Good Reason” condition has occurred; (ii) the Eligible Employee notifies the Company in writing of the occurrence of the Good Reason condition within thirty (30) days of the occurrence of such condition; (iii) the Eligible Employee cooperates in good faith with the Company’s efforts, for a period of 30 days following such notice (the “</w:t>
      </w:r>
      <w:r>
        <w:rPr>
          <w:rFonts w:ascii="Times New Roman;sans-serif" w:hAnsi="Times New Roman;sans-serif"/>
          <w:b w:val="false"/>
          <w:color w:val="000000"/>
          <w:sz w:val="24"/>
          <w:u w:val="single"/>
        </w:rPr>
        <w:t>Cure Period</w:t>
      </w:r>
      <w:r>
        <w:rPr>
          <w:color w:val="000000"/>
        </w:rPr>
        <w:t>”</w:t>
      </w:r>
      <w:r>
        <w:rPr>
          <w:rFonts w:ascii="Times New Roman;sans-serif" w:hAnsi="Times New Roman;sans-serif"/>
          <w:b w:val="false"/>
          <w:color w:val="000000"/>
          <w:sz w:val="24"/>
        </w:rPr>
        <w:t>), to remedy the condition; (iv) notwithstanding such efforts, the Good Reason condition continues to exist following the Cure Period; and (v) the Eligible Employee terminates employment and provides the Company with a notice of termination with respect to such termination, each within thirty (30) days after the end of the Cure Period. If the Company cures the Good Reason condition during the Cure Period, Good Reason shall be deemed not to have occurred.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1.19    “</w:t>
      </w:r>
      <w:r>
        <w:rPr>
          <w:rFonts w:ascii="Times New Roman;sans-serif" w:hAnsi="Times New Roman;sans-serif"/>
          <w:b w:val="false"/>
          <w:color w:val="000000"/>
          <w:sz w:val="24"/>
          <w:u w:val="single"/>
        </w:rPr>
        <w:t>Non-CIC Benefits Schedule</w:t>
      </w:r>
      <w:r>
        <w:rPr>
          <w:color w:val="000000"/>
        </w:rPr>
        <w:t xml:space="preserve">” </w:t>
      </w:r>
      <w:r>
        <w:rPr>
          <w:rFonts w:ascii="Times New Roman;sans-serif" w:hAnsi="Times New Roman;sans-serif"/>
          <w:b w:val="false"/>
          <w:color w:val="000000"/>
          <w:sz w:val="24"/>
        </w:rPr>
        <w:t xml:space="preserve">has the meaning set forth in Section 3.3.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1.20    “</w:t>
      </w:r>
      <w:r>
        <w:rPr>
          <w:rFonts w:ascii="Times New Roman;sans-serif" w:hAnsi="Times New Roman;sans-serif"/>
          <w:b w:val="false"/>
          <w:color w:val="000000"/>
          <w:sz w:val="24"/>
          <w:u w:val="single"/>
        </w:rPr>
        <w:t>Non-CIC Severance Pay</w:t>
      </w:r>
      <w:r>
        <w:rPr>
          <w:color w:val="000000"/>
        </w:rPr>
        <w:t xml:space="preserve">” </w:t>
      </w:r>
      <w:r>
        <w:rPr>
          <w:rFonts w:ascii="Times New Roman;sans-serif" w:hAnsi="Times New Roman;sans-serif"/>
          <w:b w:val="false"/>
          <w:color w:val="000000"/>
          <w:sz w:val="24"/>
        </w:rPr>
        <w:t>has the meaning set forth in Section 3.3.</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1.21    “</w:t>
      </w:r>
      <w:r>
        <w:rPr>
          <w:rFonts w:ascii="Times New Roman;sans-serif" w:hAnsi="Times New Roman;sans-serif"/>
          <w:b w:val="false"/>
          <w:color w:val="000000"/>
          <w:sz w:val="24"/>
          <w:u w:val="single"/>
        </w:rPr>
        <w:t>Parachute Amount</w:t>
      </w:r>
      <w:r>
        <w:rPr>
          <w:color w:val="000000"/>
        </w:rPr>
        <w:t xml:space="preserve">” </w:t>
      </w:r>
      <w:r>
        <w:rPr>
          <w:rFonts w:ascii="Times New Roman;sans-serif" w:hAnsi="Times New Roman;sans-serif"/>
          <w:b w:val="false"/>
          <w:color w:val="000000"/>
          <w:sz w:val="24"/>
        </w:rPr>
        <w:t xml:space="preserve">has the meaning set forth in Section 3.6.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1.22    “</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the Affirm Holdings, Inc. Officer Severance Plan and Summary Plan Description, as set forth herein, as it may be amended from time to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1.23    “</w:t>
      </w:r>
      <w:r>
        <w:rPr>
          <w:rFonts w:ascii="Times New Roman;sans-serif" w:hAnsi="Times New Roman;sans-serif"/>
          <w:b w:val="false"/>
          <w:color w:val="000000"/>
          <w:sz w:val="24"/>
          <w:u w:val="single"/>
        </w:rPr>
        <w:t>Plan Administrator</w:t>
      </w:r>
      <w:r>
        <w:rPr>
          <w:color w:val="000000"/>
        </w:rPr>
        <w:t xml:space="preserve">” </w:t>
      </w:r>
      <w:r>
        <w:rPr>
          <w:rFonts w:ascii="Times New Roman;sans-serif" w:hAnsi="Times New Roman;sans-serif"/>
          <w:b w:val="false"/>
          <w:color w:val="000000"/>
          <w:sz w:val="24"/>
        </w:rPr>
        <w:t>has the meaning set forth in Section 1.10.</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1.24    “</w:t>
      </w:r>
      <w:r>
        <w:rPr>
          <w:rFonts w:ascii="Times New Roman;sans-serif" w:hAnsi="Times New Roman;sans-serif"/>
          <w:b w:val="false"/>
          <w:color w:val="000000"/>
          <w:sz w:val="24"/>
          <w:u w:val="single"/>
        </w:rPr>
        <w:t>Reduced Amount</w:t>
      </w:r>
      <w:r>
        <w:rPr>
          <w:color w:val="000000"/>
        </w:rPr>
        <w:t xml:space="preserve">” </w:t>
      </w:r>
      <w:r>
        <w:rPr>
          <w:rFonts w:ascii="Times New Roman;sans-serif" w:hAnsi="Times New Roman;sans-serif"/>
          <w:b w:val="false"/>
          <w:color w:val="000000"/>
          <w:sz w:val="24"/>
        </w:rPr>
        <w:t>has the meaning set forth in Section 3.6.</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1.25    “</w:t>
      </w:r>
      <w:r>
        <w:rPr>
          <w:rFonts w:ascii="Times New Roman;sans-serif" w:hAnsi="Times New Roman;sans-serif"/>
          <w:b w:val="false"/>
          <w:color w:val="000000"/>
          <w:sz w:val="24"/>
          <w:u w:val="single"/>
        </w:rPr>
        <w:t>Release Effective Date</w:t>
      </w:r>
      <w:r>
        <w:rPr>
          <w:color w:val="000000"/>
        </w:rPr>
        <w:t xml:space="preserve">” </w:t>
      </w:r>
      <w:r>
        <w:rPr>
          <w:rFonts w:ascii="Times New Roman;sans-serif" w:hAnsi="Times New Roman;sans-serif"/>
          <w:b w:val="false"/>
          <w:color w:val="000000"/>
          <w:sz w:val="24"/>
        </w:rPr>
        <w:t>has the meaning set forth in Section 2.2.</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1.26    “</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has the meaning set forth in Section 2.3.</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1.27    “</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(i) the termination of an Eligible Employee’s employment by the Company or an Affiliate for any reason other than for Cause, death, or Disability, (ii) the resignation of a Tier II Employee for Good Reason during the Change in Control Protection Period, or (iii) the resignation of a Tier I Employee for Good Reason. The transfer of an Eligible Employee’s employment following a Change of Control from the entity resulting from the Change in Control to an Affiliate thereof shall not, in and of itself, constitute a Qualifying Termination.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1.28    “</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an Eligible Employee incurs a Qualifying Termination, dies, or becomes Disabled.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1.29    “</w:t>
      </w:r>
      <w:r>
        <w:rPr>
          <w:rFonts w:ascii="Times New Roman;sans-serif" w:hAnsi="Times New Roman;sans-serif"/>
          <w:b w:val="false"/>
          <w:color w:val="000000"/>
          <w:sz w:val="24"/>
          <w:u w:val="single"/>
        </w:rPr>
        <w:t>Tier I Employee</w:t>
      </w:r>
      <w:r>
        <w:rPr>
          <w:color w:val="000000"/>
        </w:rPr>
        <w:t xml:space="preserve">” </w:t>
      </w:r>
      <w:r>
        <w:rPr>
          <w:rFonts w:ascii="Times New Roman;sans-serif" w:hAnsi="Times New Roman;sans-serif"/>
          <w:b w:val="false"/>
          <w:color w:val="000000"/>
          <w:sz w:val="24"/>
        </w:rPr>
        <w:t>means any Eligible Employee who prior to the Termination Date or Change in Control was identified by the Company as the Chief Executive Officer (“</w:t>
      </w:r>
      <w:r>
        <w:rPr>
          <w:rFonts w:ascii="Times New Roman;sans-serif" w:hAnsi="Times New Roman;sans-serif"/>
          <w:b w:val="false"/>
          <w:color w:val="000000"/>
          <w:sz w:val="24"/>
          <w:u w:val="single"/>
        </w:rPr>
        <w:t>CEO</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1.30    “</w:t>
      </w:r>
      <w:r>
        <w:rPr>
          <w:rFonts w:ascii="Times New Roman;sans-serif" w:hAnsi="Times New Roman;sans-serif"/>
          <w:b w:val="false"/>
          <w:color w:val="000000"/>
          <w:sz w:val="24"/>
          <w:u w:val="single"/>
        </w:rPr>
        <w:t>Tier II Employee</w:t>
      </w:r>
      <w:r>
        <w:rPr>
          <w:color w:val="000000"/>
        </w:rPr>
        <w:t xml:space="preserve">” </w:t>
      </w:r>
      <w:r>
        <w:rPr>
          <w:rFonts w:ascii="Times New Roman;sans-serif" w:hAnsi="Times New Roman;sans-serif"/>
          <w:b w:val="false"/>
          <w:color w:val="000000"/>
          <w:sz w:val="24"/>
        </w:rPr>
        <w:t>means any Eligible Employee who prior to the Termination Date or Change in Control was designated in writing by the Plan Administrator as a Tier II Employee.</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SECTION 2.    GENERAL TERMS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Non-Duplication of Benefits</w:t>
      </w:r>
      <w:r>
        <w:rPr>
          <w:rFonts w:ascii="Times New Roman;sans-serif" w:hAnsi="Times New Roman;sans-serif"/>
          <w:b w:val="false"/>
          <w:color w:val="000000"/>
          <w:sz w:val="24"/>
        </w:rPr>
        <w:t>. The benefits provided under the Plan are intended to satisfy, to the greatest extent possible, and not to provide benefits duplicative of, any and all statutory, contractual and collective agreement obligations of the Company in respect of the form of benefits provided under the Plan that may arise out of a Qualifying Termination, death, or Disability, and the Plan Administrator will so construe and implement the terms of the Plan. If the Company or any Affiliate is obligated by law or by contract to provide severance pay, death or disability benefits, or change in control benefits to an Eligible Employee (or the Estate), then the Eligible Employee may be required to waive, upon the Company’s request, any amounts payable pursuant to such legal or contractual obligation as a condition of receiving benefits under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No Eligible Employee who incurs a Qualifying Termination or who becomes eligible for Disability or death benefits under this Plan shall be eligible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payments or other benefits under the Plan unless he or she (or, in the case of death of an Eligible Employee, the Eligible Employee’s Designated Beneficiary) first executes a release in favor of the Company in the form of the Company’s standard release agreement and the release becomes effective and irrevocable within sixty (60) days following the Eligible Employee’s Termination Date (such date the release becomes effective and irrevocable, the “Release Effective Date”); provided, however, that if the 60th day following the Termination Date falls in the calendar year following the year in which the Termination Date occurs, any payments or other benefits under the Plan shall be paid no earlier than January 1 of the calendar year following the year in which the Termination Date occurs.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It is intended that payments and benefits under this Plan will not subject Eligible Employees to taxation under Section 409A of the Code and the regulations thereunder (“Section 409A”) and, accordingly, this Plan shall be interpreted and administered to be either exempt from or in compliance therewith. Specifically, any taxable benefits or payments provided under this Plan are intended to be separate and distinct payments that qualify for the “short-term deferral” exception to Section 409A to the maximum extent possible, and to the extent they do not so qualify, are intended to qualify for the separation pay exceptions to Section 409A, to the maximum extent possible. To the extent that none of these exceptions (or any other available exception) applies, then notwithstanding anything contained herein to the contrary, and to the extent required to comply with Section 409A, if an Eligible Employee is a “specified employee,” as determined under the Company’s policy for identifying specified employees on the Eligible Employee’s Termination Date, then all amounts due under the Plan that constitute a “deferral of compensation” within the meaning of Section 409A of the Code, that are provided as a result of a separation from service within the meaning of Section 409A, and that would otherwise be paid or provided during the first six months following the Termination Date, shall be accumulated through and paid or provided on the first business day that is more than six months after the Termination Date (or, if the Eligible Employee dies during such six-month period, within 90 days after the Eligible Employee’s death). Notwithstanding anything contained herein to the contrary, an Eligible Employee shall not be considered to have terminated employment with the Company for purposes of any payments under this Plan which are subject to Section 409A until the Eligible Employee would be considered to have incurred a “separation from service” within the meaning of Section 409A. In no event may an Eligible Employee, directly or indirectly, designate the calendar year of any payment to be made under this Plan that is considered nonqualified deferred compensation. The Company makes no representation that any or all of the payments described in this Plan shall be exempt from or comply with Section 409A and makes no undertaking to preclude Section 409A from applying to any such payment. The Eligible Employee shall be solely responsible for the payment of any taxes and penalties incurred under Section 409A.</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SEVERANCE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3.1    </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Subject to the terms of the Plan, each Eligible Employee shall be entitled to severance payments and/or benefits pursuant to applicable provisions of Section 3 of this Plan if the Eligible Employee incurs a Qualifying Termination and complies with the applicable requirements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Any Qualifying Termination effected by the Company following the Effective Date shall require ten (10) business days’ prior written notice;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may, in its sole discretion, pay the Eligible Employee in lieu of all or part of such notice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3.3    </w:t>
      </w:r>
      <w:r>
        <w:rPr>
          <w:rFonts w:ascii="Times New Roman;sans-serif" w:hAnsi="Times New Roman;sans-serif"/>
          <w:b w:val="false"/>
          <w:color w:val="000000"/>
          <w:sz w:val="24"/>
          <w:u w:val="single"/>
        </w:rPr>
        <w:t>Severance Pay</w:t>
      </w:r>
      <w:r>
        <w:rPr>
          <w:rFonts w:ascii="Times New Roman;sans-serif" w:hAnsi="Times New Roman;sans-serif"/>
          <w:b w:val="false"/>
          <w:color w:val="000000"/>
          <w:sz w:val="24"/>
        </w:rPr>
        <w:t>. Subject to the terms of the Plan, the Company shall provide “</w:t>
      </w:r>
      <w:r>
        <w:rPr>
          <w:rFonts w:ascii="Times New Roman;sans-serif" w:hAnsi="Times New Roman;sans-serif"/>
          <w:b w:val="false"/>
          <w:color w:val="000000"/>
          <w:sz w:val="24"/>
          <w:u w:val="single"/>
        </w:rPr>
        <w:t>CIC Severance Pay</w:t>
      </w:r>
      <w:r>
        <w:rPr>
          <w:color w:val="000000"/>
        </w:rPr>
        <w:t xml:space="preserve">” </w:t>
      </w:r>
      <w:r>
        <w:rPr>
          <w:rFonts w:ascii="Times New Roman;sans-serif" w:hAnsi="Times New Roman;sans-serif"/>
          <w:b w:val="false"/>
          <w:color w:val="000000"/>
          <w:sz w:val="24"/>
        </w:rPr>
        <w:t xml:space="preserve">to each Eligible Employee who incurs a Qualifying Termination during the Change in Control Protection Period equal to the amount listed in such Eligible Employee’s applicable tier level in the Schedule of Change in Control Severance Benefits as attached to hereto as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CIC Benefits Schedule</w:t>
      </w:r>
      <w:r>
        <w:rPr>
          <w:color w:val="000000"/>
        </w:rPr>
        <w:t>”</w:t>
      </w:r>
      <w:r>
        <w:rPr>
          <w:rFonts w:ascii="Times New Roman;sans-serif" w:hAnsi="Times New Roman;sans-serif"/>
          <w:b w:val="false"/>
          <w:color w:val="000000"/>
          <w:sz w:val="24"/>
        </w:rPr>
        <w:t>) and the Company shall provide “</w:t>
      </w:r>
      <w:r>
        <w:rPr>
          <w:rFonts w:ascii="Times New Roman;sans-serif" w:hAnsi="Times New Roman;sans-serif"/>
          <w:b w:val="false"/>
          <w:color w:val="000000"/>
          <w:sz w:val="24"/>
          <w:u w:val="single"/>
        </w:rPr>
        <w:t>Non-CIC Severance Pay</w:t>
      </w:r>
      <w:r>
        <w:rPr>
          <w:color w:val="000000"/>
        </w:rPr>
        <w:t xml:space="preserve">” </w:t>
      </w:r>
      <w:r>
        <w:rPr>
          <w:rFonts w:ascii="Times New Roman;sans-serif" w:hAnsi="Times New Roman;sans-serif"/>
          <w:b w:val="false"/>
          <w:color w:val="000000"/>
          <w:sz w:val="24"/>
        </w:rPr>
        <w:t xml:space="preserve">to each Eligible Employee who incurs Qualifying Termination outside the Change in Control Protection Period equal to the amount listed in such Eligible Employee’s applicable tier level in the Schedule of Non-Change in Control Severance Benefits as attached to hereto as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Non-CIC Benefits Schedule</w:t>
      </w:r>
      <w:r>
        <w:rPr>
          <w:color w:val="000000"/>
        </w:rPr>
        <w:t>”</w:t>
      </w:r>
      <w:r>
        <w:rPr>
          <w:rFonts w:ascii="Times New Roman;sans-serif" w:hAnsi="Times New Roman;sans-serif"/>
          <w:b w:val="false"/>
          <w:color w:val="000000"/>
          <w:sz w:val="24"/>
        </w:rPr>
        <w:t>). CIC Severance Pay or Non-CIC Severance Pay, as applicable, shall be paid in a lump sum on the first regular payroll date of the Company that occurs after the Release Effective Date (a defined below).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3.4    </w:t>
      </w:r>
      <w:r>
        <w:rPr>
          <w:rFonts w:ascii="Times New Roman;sans-serif" w:hAnsi="Times New Roman;sans-serif"/>
          <w:b w:val="false"/>
          <w:color w:val="000000"/>
          <w:sz w:val="24"/>
          <w:u w:val="single"/>
        </w:rPr>
        <w:t>Benefits Continuation</w:t>
      </w:r>
      <w:r>
        <w:rPr>
          <w:rFonts w:ascii="Times New Roman;sans-serif" w:hAnsi="Times New Roman;sans-serif"/>
          <w:b w:val="false"/>
          <w:color w:val="000000"/>
          <w:sz w:val="24"/>
        </w:rPr>
        <w:t>. If the Eligible Employee is eligible for and timely elects to continue receiving group medical and/or dental insurance under the continuation coverage rules of the Consolidated Omnibus Budget Reconciliation Act of 1986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upon the Eligible Employee’s submission to the Company of evidence of the Eligible Employee’s and his or her dependent’s, if applicable, enrollment in COBRA, the Company will pay to the Eligible Employee, in accordance with the Company’s regular payroll practices, an amount equal, net of applicable taxes, to the monthly employer contribution to the applicable health care benefits, as in effect on the Eligible Employee’s Termination Date, for a number of months equal to the number of months in the Eligible Employee’s COBRA continuation coverage period as set forth in the applicable tier level in the CIC Benefits Schedule for each Eligible Employee who incurs a Qualifying Termination during the Change in Control Protection Period and the Non-CIC Benefits Schedule for each Eligible Employee who incurs a Qualifying Termination outside the Change in Control Protection Period, as applicable, so long as the Eligible Employee has not become actually covered by the medical plan of a subsequent employer during any such month. This period of continued benefits shall run concurrently with (and shall count against) the Company’s obligation to provide continuation coverage pursuant to COBRA.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3.5    </w:t>
      </w:r>
      <w:r>
        <w:rPr>
          <w:rFonts w:ascii="Times New Roman;sans-serif" w:hAnsi="Times New Roman;sans-serif"/>
          <w:b w:val="false"/>
          <w:color w:val="000000"/>
          <w:sz w:val="24"/>
          <w:u w:val="single"/>
        </w:rPr>
        <w:t>Vesting Acceleration</w:t>
      </w:r>
      <w:r>
        <w:rPr>
          <w:rFonts w:ascii="Times New Roman;sans-serif" w:hAnsi="Times New Roman;sans-serif"/>
          <w:b w:val="false"/>
          <w:color w:val="000000"/>
          <w:sz w:val="24"/>
        </w:rPr>
        <w:t>. In the event of a Qualifying Termination during the Change in Control Protection Period, the Eligible Employee shall receive accelerated vesting with respect to the percentage of shares as set forth in the Eligible Employee’s applicable tier level in the CIC Benefits Schedule (“</w:t>
      </w:r>
      <w:r>
        <w:rPr>
          <w:rFonts w:ascii="Times New Roman;sans-serif" w:hAnsi="Times New Roman;sans-serif"/>
          <w:b w:val="false"/>
          <w:color w:val="000000"/>
          <w:sz w:val="24"/>
          <w:u w:val="single"/>
        </w:rPr>
        <w:t>Vesting Acceleration</w:t>
      </w:r>
      <w:r>
        <w:rPr>
          <w:color w:val="000000"/>
        </w:rPr>
        <w:t>”</w:t>
      </w:r>
      <w:r>
        <w:rPr>
          <w:rFonts w:ascii="Times New Roman;sans-serif" w:hAnsi="Times New Roman;sans-serif"/>
          <w:b w:val="false"/>
          <w:color w:val="000000"/>
          <w:sz w:val="24"/>
        </w:rPr>
        <w:t>) subject to each of such Eligible Employee’s then-outstanding and unvested equity awards which would otherwise become vested solely on the passage of time and such Eligible Employee’s continued service to the Company (which, for the avoidance of doubt will not include any such Company equity awards that would otherwise become vested in whole or in part based on the attainment of performance conditions or targets, which awards will be subject to the terms of their underlying award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3.6    </w:t>
      </w:r>
      <w:r>
        <w:rPr>
          <w:rFonts w:ascii="Times New Roman;sans-serif" w:hAnsi="Times New Roman;sans-serif"/>
          <w:b w:val="false"/>
          <w:color w:val="000000"/>
          <w:sz w:val="24"/>
          <w:u w:val="single"/>
        </w:rPr>
        <w:t>Impact of Section 4999 Excise Tax: Maximum After-Tax Benefit Following a Change of Control</w:t>
      </w:r>
      <w:r>
        <w:rPr>
          <w:rFonts w:ascii="Times New Roman;sans-serif" w:hAnsi="Times New Roman;sans-serif"/>
          <w:b w:val="false"/>
          <w:color w:val="000000"/>
          <w:sz w:val="24"/>
        </w:rPr>
        <w:t>. Except to the extent that a more favorable treatment is provided to an Eligible Employee by the Company in writing, in the event that part or all of the consideration, compensation or benefits to be paid to an Eligible Employee under this Plan or any other plan, arrangement or agreement applicable to such Eligible Employee, constitutes “excess parachute payments” under Section 280G(b) of the Code subject to an excise tax under Section 4999 of the Code (collectively, the “</w:t>
      </w:r>
      <w:r>
        <w:rPr>
          <w:rFonts w:ascii="Times New Roman;sans-serif" w:hAnsi="Times New Roman;sans-serif"/>
          <w:b w:val="false"/>
          <w:color w:val="000000"/>
          <w:sz w:val="24"/>
          <w:u w:val="single"/>
        </w:rPr>
        <w:t>Parachute Amount</w:t>
      </w:r>
      <w:r>
        <w:rPr>
          <w:color w:val="000000"/>
        </w:rPr>
        <w:t>”</w:t>
      </w:r>
      <w:r>
        <w:rPr>
          <w:rFonts w:ascii="Times New Roman;sans-serif" w:hAnsi="Times New Roman;sans-serif"/>
          <w:b w:val="false"/>
          <w:color w:val="000000"/>
          <w:sz w:val="24"/>
        </w:rPr>
        <w:t>), the amount of excess parachute payments which would otherwise be payable to such Eligible Employee or for such Eligible Employee’s benefit shall be reduced to the extent necessary so that no amount of the Parachute Amount is subject to an excise tax under Section 4999 (the “</w:t>
      </w:r>
      <w:r>
        <w:rPr>
          <w:rFonts w:ascii="Times New Roman;sans-serif" w:hAnsi="Times New Roman;sans-serif"/>
          <w:b w:val="false"/>
          <w:color w:val="000000"/>
          <w:sz w:val="24"/>
          <w:u w:val="single"/>
        </w:rPr>
        <w:t>Reduced Amount</w:t>
      </w:r>
      <w:r>
        <w:rPr>
          <w:color w:val="000000"/>
        </w:rPr>
        <w:t>”</w:t>
      </w:r>
      <w:r>
        <w:rPr>
          <w:rFonts w:ascii="Times New Roman;sans-serif" w:hAnsi="Times New Roman;sans-serif"/>
          <w:b w:val="false"/>
          <w:color w:val="000000"/>
          <w:sz w:val="24"/>
        </w:rPr>
        <w:t>); provided that such amounts shall not be so reduced if, without such reduction, such Eligible Employee would be entitled to receive and retain, on a net after-tax basis (including, without limitation, after any excise taxes payable under Section 4999), an amount of the Parachute Amount which is greater than the amount, on a net after-tax basis, that such Eligible Employee would be entitled to retain upon receipt of the Reduced Amount. All determinations with respect to the Parachute Amount shall be made by a nationally recognized certified public accounting firm or other firm that is retained and paid by the Company for such purpose prior to the Change in Control, which firm shall not, without such Eligible Employee’s consent, be changed following the Change in Control. Such determinations shall be binding upon the Company and shall be made promptly following the Change in Control and as appropriate thereafter, in order to permit payment in accordance with the provisions of this Plan.</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4.    </w:t>
      </w:r>
      <w:r>
        <w:rPr>
          <w:rFonts w:ascii="Times New Roman;sans-serif" w:hAnsi="Times New Roman;sans-serif"/>
          <w:b w:val="false"/>
          <w:color w:val="000000"/>
          <w:sz w:val="24"/>
          <w:u w:val="single"/>
        </w:rPr>
        <w:t>DEATH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4.1     </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Subject to the terms of the Plan, the Designated Beneficiary of an Eligible Employee shall be entitled to certain payments and/or benefits pursuant to the applicable provisions of Section 4 of this Plan if the Eligible Employee’s employment with the Company or an Affiliate terminates due to the death of the Eligible Employee and the Eligible Employee’s Designated Beneficiary complies with the applicable requirements of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4.2    </w:t>
      </w:r>
      <w:r>
        <w:rPr>
          <w:rFonts w:ascii="Times New Roman;sans-serif" w:hAnsi="Times New Roman;sans-serif"/>
          <w:b w:val="false"/>
          <w:color w:val="000000"/>
          <w:sz w:val="24"/>
          <w:u w:val="single"/>
        </w:rPr>
        <w:t>Vesting Acceleration</w:t>
      </w:r>
      <w:r>
        <w:rPr>
          <w:rFonts w:ascii="Times New Roman;sans-serif" w:hAnsi="Times New Roman;sans-serif"/>
          <w:b w:val="false"/>
          <w:color w:val="000000"/>
          <w:sz w:val="24"/>
        </w:rPr>
        <w:t>. In the event an Eligible Employee’s employment with the Company or an Affiliate terminates due to the death of the Eligible Employee, the Designated Beneficiary shall be eligible to receive twelve (12) months of accelerated vesting from the Termination Date with respect to each of such Eligible Employee’s then-outstanding and unvested equity awards which would otherwise become vested solely on the passage of time (which, for the avoidance of doubt will not include any such Company equity awards that would otherwise become vested in whole or in part based on the attainment of performance conditions or targets, which awards will be subject to the terms of their underlying award agreements).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4.3    </w:t>
      </w:r>
      <w:r>
        <w:rPr>
          <w:rFonts w:ascii="Times New Roman;sans-serif" w:hAnsi="Times New Roman;sans-serif"/>
          <w:b w:val="false"/>
          <w:color w:val="000000"/>
          <w:sz w:val="24"/>
          <w:u w:val="single"/>
        </w:rPr>
        <w:t>Benefits Continuation</w:t>
      </w:r>
      <w:r>
        <w:rPr>
          <w:rFonts w:ascii="Times New Roman;sans-serif" w:hAnsi="Times New Roman;sans-serif"/>
          <w:b w:val="false"/>
          <w:color w:val="000000"/>
          <w:sz w:val="24"/>
        </w:rPr>
        <w:t xml:space="preserve">. In the event an Eligible Employee’s employment with the Company or an Affiliate terminates due to the death of the Eligible Employee, the Company will pay to the Designated Beneficiary in accordance with the Company’s regular payroll practices, an amount equal, net of taxes, to the monthly employer contribution to the applicable health care benefits, as in effect on the Eligible Employee’s Termination Date, for twelve (12) months for the Eligible Employee and the Eligible Employee’s dependents to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continue receiving group medical, dental, and/or vision insurance, and/or employee assistance program (EAP) benefits under the continuation coverage rules of the Consolidated Omnibus Budget Reconciliation Act of 1986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This period of continued benefits shall run concurrently with (and shall count against) the Company’s obligation, if any, to provide continuation coverage pursuant to COBRA.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4.4    </w:t>
      </w:r>
      <w:r>
        <w:rPr>
          <w:rFonts w:ascii="Times New Roman;sans-serif" w:hAnsi="Times New Roman;sans-serif"/>
          <w:b w:val="false"/>
          <w:color w:val="000000"/>
          <w:sz w:val="24"/>
          <w:u w:val="single"/>
        </w:rPr>
        <w:t>Cash Incentive Plan</w:t>
      </w:r>
      <w:r>
        <w:rPr>
          <w:rFonts w:ascii="Times New Roman;sans-serif" w:hAnsi="Times New Roman;sans-serif"/>
          <w:b w:val="false"/>
          <w:color w:val="000000"/>
          <w:sz w:val="24"/>
        </w:rPr>
        <w:t>. In the event an Eligible Employee’s employment with the Company or an Affiliate terminates due to the death of the Eligible Employee, payments, if any, that may be payable under the Company’s Cash Incentive Plan shall be determined in accordance with the terms of that plan.</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5.    </w:t>
      </w:r>
      <w:r>
        <w:rPr>
          <w:rFonts w:ascii="Times New Roman;sans-serif" w:hAnsi="Times New Roman;sans-serif"/>
          <w:b w:val="false"/>
          <w:color w:val="000000"/>
          <w:sz w:val="24"/>
          <w:u w:val="single"/>
        </w:rPr>
        <w:t>DISABILITY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5.1     </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Subject to the terms of the Plan, each Eligible Employee shall be entitled to certain payments and/or benefits pursuant to applicable provisions of Section 5 of this Plan if the Eligible Employee’s employment with the Company or an Affiliate terminates due to Disability and the Eligible Employee complies with the applicable requirements of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5.2    </w:t>
      </w:r>
      <w:r>
        <w:rPr>
          <w:rFonts w:ascii="Times New Roman;sans-serif" w:hAnsi="Times New Roman;sans-serif"/>
          <w:b w:val="false"/>
          <w:color w:val="000000"/>
          <w:sz w:val="24"/>
          <w:u w:val="single"/>
        </w:rPr>
        <w:t>Vesting Acceleration</w:t>
      </w:r>
      <w:r>
        <w:rPr>
          <w:rFonts w:ascii="Times New Roman;sans-serif" w:hAnsi="Times New Roman;sans-serif"/>
          <w:b w:val="false"/>
          <w:color w:val="000000"/>
          <w:sz w:val="24"/>
        </w:rPr>
        <w:t>. In the event an Eligible Employee’s employment with the Company or an Affiliate terminates due to Disability, the Eligible Employee shall receive twelve (12) months of accelerated vesting from the Termination Date with respect to each of such Eligible Employee’s then-outstanding and unvested equity awards which would otherwise become vested solely on the passage of time (which, for the avoidance of doubt will not include any such Company equity awards that would otherwise become vested in whole or in part based on the attainment of performance conditions or targets, which awards will be subject to the terms of their underlying award agreements).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5.3    </w:t>
      </w:r>
      <w:r>
        <w:rPr>
          <w:rFonts w:ascii="Times New Roman;sans-serif" w:hAnsi="Times New Roman;sans-serif"/>
          <w:b w:val="false"/>
          <w:color w:val="000000"/>
          <w:sz w:val="24"/>
          <w:u w:val="single"/>
        </w:rPr>
        <w:t>Benefits Continuation</w:t>
      </w:r>
      <w:r>
        <w:rPr>
          <w:rFonts w:ascii="Times New Roman;sans-serif" w:hAnsi="Times New Roman;sans-serif"/>
          <w:b w:val="false"/>
          <w:color w:val="000000"/>
          <w:sz w:val="24"/>
        </w:rPr>
        <w:t>. In the event an Eligible Employee‘s employment with the Company or an Affiliate terminates due to Disability, the Company will pay to the Eligible Employee in accordance with the Company’s regular payroll practices, an amount equal, net of taxes, to the monthly employer contribution to the applicable health care benefits, as in effect on the Eligible Employee’s Termination Date, for twelve (12) months for the Eligible Employee and the Eligible Employee’s dependents to continue receiving group medical, dental, and/or vision insurance, and/or employee assistance program (EAP) benefits under the continuation coverage rules of the Consolidated Omnibus Budget Reconciliation Act of 1986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This period of continued benefits shall run concurrently with (and shall count against) the Company’s obligation, if any, to provide continuation coverage pursuant to COBRA.</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5.4    Cash Incentive Plan. In the event an Eligible Employee’s employment with the Company or an Affiliate terminates due to Disability, payments, if any, that may be payable under the Company’s Cash Incentive Plan shall be determined in accordance with the terms of that plan.</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6.    </w:t>
      </w:r>
      <w:r>
        <w:rPr>
          <w:rFonts w:ascii="Times New Roman;sans-serif" w:hAnsi="Times New Roman;sans-serif"/>
          <w:b w:val="false"/>
          <w:color w:val="000000"/>
          <w:sz w:val="24"/>
          <w:u w:val="single"/>
        </w:rPr>
        <w:t>PLAN ADMINISTRATION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6.1    The Plan Administrator shall administer the Plan and may interpret the Plan, prescribe, amend and rescind rules and regulations under the Plan and make all other determinations necessary or advisable for the administration of the Plan, subject to all of the provisions of the Plan.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6.2    The Plan Administrator may delegate any of its duties hereunder to such person or persons from time to time as it may designate.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6.3    The Plan Administrator is empowered, on behalf of the Plan, to engage accountants, legal counsel and such other personnel as it deems necessary or advisable to assist it in the performance of its duties under the Plan. The functions of any such persons engaged by the Plan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6.4    The Plan Administrator shall have full and final authority, subject to and consistent with the provisions of the Plan and any applicable laws or regulations, to conclusively identify and determine the Designated Beneficiary of a deceased Eligible Employee.</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7.    </w:t>
      </w:r>
      <w:r>
        <w:rPr>
          <w:rFonts w:ascii="Times New Roman;sans-serif" w:hAnsi="Times New Roman;sans-serif"/>
          <w:b w:val="false"/>
          <w:color w:val="000000"/>
          <w:sz w:val="24"/>
          <w:u w:val="single"/>
        </w:rPr>
        <w:t>PLAN MODIFICATION OR TERMINATION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The Plan may be terminated or amended by the Plan Administrator at any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Plan may not be terminated or amended during the Change in Control Protection Period or in respect of a Qualifying Termination that occurred prior to the amendment or termination of the Plan. </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8.    </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8.1    Except as otherwise provided herein or by law, no right or interest of any Eligible Employee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Plan shall be liable for, or subject to, any obligation or liability of such Eligible Employee. When a payment is due under this Plan to an Eligible Employee, or to a Designated Beneficiary of an Eligible Employee, who is unable to care for his or her affairs, payment may be made directly to his or her legal guardian or personal representative.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8.2    Neither the establishment of the Plan, nor any modification thereof, nor the creation of any fund, trust or account, nor the payment of any benefits shall be construed as giving any Eligible Employee, or any person whomsoever, the right to be retained in the service of the Company or any Affiliate thereof, and all Eligible Employees shall remain subject to discharge to the same extent as if the Plan had never been adopted.</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8.3    If any provision of this Plan shall be held invalid or unenforceable, such invalidity or unenforceability shall not affect any other provisions hereof, and this Plan shall be construed and enforced as if such provisions had not been included.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8.4    This Plan shall inure to the benefit of and be binding upon the heirs, executors, administrators, successors and assigns of the parties, including each Eligible Employee, present and future, and any successor to the Company. If an Eligible Employee dies while any amount would still be payable to such Eligible Employee hereunder (following a Qualifying Termination), all such amounts, unless otherwise provided herein, shall be paid in accordance with the terms of this Plan to the Eligible Employee’s Designated Beneficiary.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8.5    The headings and captions herein are provided for reference and convenience only, shall not be considered part of the Plan, and shall not be employed in the construction of the Plan.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8.6    The Plan shall not be required to be funded unless such funding is authorized by the Board. Regardless of whether the Plan is funded, no Eligible Employee shall have any right to, or interest in, any assets of any Company which may be applied by the Company to the payment of benefits or other rights under this Plan.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8.7    Any notice or other communication required or permitted pursuant to the terms hereof shall have been duly given when delivered or mailed by United States Mail, first class, postage prepaid, addressed to the intended recipient at his, her or its last known address.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8.8    To the extent not preempted by federal law, which shall otherwise control, this Plan shall be construed and enforced according to the laws of the State of Delaware, without regard to its choice-of-law principles.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8.9    All benefits hereunder shall be reduced by applicable withholding and shall be subject to applicable tax reporting, as determined by the Plan Administrator.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8.10    The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9.    </w:t>
      </w:r>
      <w:r>
        <w:rPr>
          <w:rFonts w:ascii="Times New Roman;sans-serif" w:hAnsi="Times New Roman;sans-serif"/>
          <w:b w:val="false"/>
          <w:color w:val="000000"/>
          <w:sz w:val="24"/>
          <w:u w:val="single"/>
        </w:rPr>
        <w:t>CLAIMS, INQUIRIES, APPEALS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9.1    </w:t>
      </w:r>
      <w:r>
        <w:rPr>
          <w:rFonts w:ascii="Times New Roman;sans-serif" w:hAnsi="Times New Roman;sans-serif"/>
          <w:b w:val="false"/>
          <w:color w:val="000000"/>
          <w:sz w:val="24"/>
          <w:u w:val="single"/>
        </w:rPr>
        <w:t>Applications for Benefits and Inquiries</w:t>
      </w:r>
      <w:r>
        <w:rPr>
          <w:rFonts w:ascii="Times New Roman;sans-serif" w:hAnsi="Times New Roman;sans-serif"/>
          <w:b w:val="false"/>
          <w:color w:val="000000"/>
          <w:sz w:val="24"/>
        </w:rPr>
        <w:t>. Any application for benefits, inquiries about the Plan or inquiries about present or future rights under the Plan must be submitted to the Plan Administrator in writing, as follows: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Affirm Holdings, Inc.</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650 California St.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Francisco, CA 94108</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E-mail: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9.2    </w:t>
      </w:r>
      <w:r>
        <w:rPr>
          <w:rFonts w:ascii="Times New Roman;sans-serif" w:hAnsi="Times New Roman;sans-serif"/>
          <w:b w:val="false"/>
          <w:color w:val="000000"/>
          <w:sz w:val="24"/>
          <w:u w:val="single"/>
        </w:rPr>
        <w:t>Denial of Claims</w:t>
      </w:r>
      <w:r>
        <w:rPr>
          <w:rFonts w:ascii="Times New Roman;sans-serif" w:hAnsi="Times New Roman;sans-serif"/>
          <w:b w:val="false"/>
          <w:color w:val="000000"/>
          <w:sz w:val="24"/>
        </w:rPr>
        <w:t>. 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employee, and will include specific reasons for the denial, specific references to the Plan provision upon which the denial is based, a description of any information or material that the Plan Administrator needs to complete the review and an explanation of the Plan’s review procedure.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written notice will be given to the employee within ninety (90) days after the Plan Administrator receives the application, unless special circumstances require an extension of time, in which case, the Plan Administrator has up to an additional ninety (90) days for processing the application. If an extension of time for processing is required, written notice of the extension will be furnished to the applicant before the end of the initial ninety (90)-day period.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notice of extension will describe the special circumstances necessitating the additional time and the date by which the Plan Administrator is to render his or her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9.3    </w:t>
      </w:r>
      <w:r>
        <w:rPr>
          <w:rFonts w:ascii="Times New Roman;sans-serif" w:hAnsi="Times New Roman;sans-serif"/>
          <w:b w:val="false"/>
          <w:color w:val="000000"/>
          <w:sz w:val="24"/>
          <w:u w:val="single"/>
        </w:rPr>
        <w:t>Request for a Review</w:t>
      </w:r>
      <w:r>
        <w:rPr>
          <w:rFonts w:ascii="Times New Roman;sans-serif" w:hAnsi="Times New Roman;sans-serif"/>
          <w:b w:val="false"/>
          <w:color w:val="000000"/>
          <w:sz w:val="24"/>
        </w:rPr>
        <w:t>. Any person (or that person’s authorized representative) for whom an application for benefits is denied (or deemed denied), in whole or in part, may appeal the denial by submitting a request for a review to the Plan Administrator within 60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Affirm Holdings,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650 California St.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Francisco, CA 94108</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E-mail: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he or she may find necessary or appropriate in making his or her review.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9.4    </w:t>
      </w:r>
      <w:r>
        <w:rPr>
          <w:rFonts w:ascii="Times New Roman;sans-serif" w:hAnsi="Times New Roman;sans-serif"/>
          <w:b w:val="false"/>
          <w:color w:val="000000"/>
          <w:sz w:val="24"/>
          <w:u w:val="single"/>
        </w:rPr>
        <w:t>Decision on Review</w:t>
      </w:r>
      <w:r>
        <w:rPr>
          <w:rFonts w:ascii="Times New Roman;sans-serif" w:hAnsi="Times New Roman;sans-serif"/>
          <w:b w:val="false"/>
          <w:color w:val="000000"/>
          <w:sz w:val="24"/>
        </w:rPr>
        <w:t xml:space="preserve">. The Plan Administrator will act on each request for review within sixty (60) days after receipt of the request, unless special circumstances require an extension of time (not to exceed an additional sixty (60) days), for processing the request for a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review. If an extension for review is required, written notice of the extension will be furnished to the applicant within the initial sixty (60)-day period. If written notice of denial of the application for benefits is not furnished within the specified time, the application will be deemed to be denied. The Plan Administrator will give prompt, written notice of his or her decision to the applicant. In the event that the Plan Administrator confirms the denial of the application for benefits in whole or in part, the notice will outline, in a manner calculated to be understood by the applicant, the specific Plan provisions upon which the decision is based.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9.5    </w:t>
      </w:r>
      <w:r>
        <w:rPr>
          <w:rFonts w:ascii="Times New Roman;sans-serif" w:hAnsi="Times New Roman;sans-serif"/>
          <w:b w:val="false"/>
          <w:color w:val="000000"/>
          <w:sz w:val="24"/>
          <w:u w:val="single"/>
        </w:rPr>
        <w:t>Rules and Procedures</w:t>
      </w:r>
      <w:r>
        <w:rPr>
          <w:rFonts w:ascii="Times New Roman;sans-serif" w:hAnsi="Times New Roman;sans-serif"/>
          <w:b w:val="false"/>
          <w:color w:val="000000"/>
          <w:sz w:val="24"/>
        </w:rPr>
        <w:t>. The Plan Administrator may establish rules and procedures, consistent with the Plan and with ERISA, as necessary and appropriate in carrying out his or her responsibilities in reviewing benefit claims. The Plan Administrator may require an applicant who wishes to submit additional information in connection with an appeal from the denial (or deemed denial) of benefits to do so at the applicant’s own expense.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9.6    </w:t>
      </w:r>
      <w:r>
        <w:rPr>
          <w:rFonts w:ascii="Times New Roman;sans-serif" w:hAnsi="Times New Roman;sans-serif"/>
          <w:b w:val="false"/>
          <w:color w:val="000000"/>
          <w:sz w:val="24"/>
          <w:u w:val="single"/>
        </w:rPr>
        <w:t>Exhaustion of Remedies</w:t>
      </w:r>
      <w:r>
        <w:rPr>
          <w:rFonts w:ascii="Times New Roman;sans-serif" w:hAnsi="Times New Roman;sans-serif"/>
          <w:b w:val="false"/>
          <w:color w:val="000000"/>
          <w:sz w:val="24"/>
        </w:rPr>
        <w:t>. No legal action for benefits under the Plan may be brought until the claimant (a) has submitted a written application for benefits in accordance with the procedures described in Section 9.1, (b) has been notified by the Plan Administrator that the application is denied (or the application is deemed denied due to the Plan Administrator’s failure to act on it within the established time period), (c) has filed a written request for a review of the application in accordance with the appeal procedure described in Section 9.3 and (d) has been notified in writing that the Plan Administrator has denied the appeal (or the appeal is deemed to be denied due to the Plan Administrator’s failure to take any action on the claim within the time prescribed by Section 9.4).</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10.    </w:t>
      </w:r>
      <w:r>
        <w:rPr>
          <w:rFonts w:ascii="Times New Roman;sans-serif" w:hAnsi="Times New Roman;sans-serif"/>
          <w:b w:val="false"/>
          <w:color w:val="000000"/>
          <w:sz w:val="24"/>
          <w:u w:val="single"/>
        </w:rPr>
        <w:t>ERISA RIGHTS STATEMENT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10.1    As a participant in the Plan, the Eligible Employee (referred to in this Section 10 as “you” or “your”) is entitled to certain rights and protections under ERISA. ERISA provides that all Plan participants shall be entitled to:</w:t>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Receive Information About Your Plan and Benefits</w:t>
      </w:r>
    </w:p>
    <w:p>
      <w:pPr>
        <w:pStyle w:val="TextBody"/>
        <w:bidi w:val="0"/>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4"/>
        </w:rPr>
        <w:t>Examine, without charge, at the Plan Administrator’s office and at other specified locations, all Plan documents, including the Plan and a copy of the latest annual report (Form 5500 Series) filed by the Plan with the U.S. Department of Labor and available at the Public Disclosure Room of the Employee Benefits Security Administration.</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4"/>
        </w:rPr>
        <w:t>Obtain, upon written request to the Plan Administrator, copies of Plan documents, including the Plan and copies of the latest annual report (Form 5500 Series). The Plan Administrator may require a reasonable charge for the copies.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Prudent Actions by Plan Fiduciaries</w:t>
      </w:r>
    </w:p>
    <w:p>
      <w:pPr>
        <w:pStyle w:val="TextBody"/>
        <w:bidi w:val="0"/>
        <w:spacing w:before="0" w:after="0"/>
        <w:jc w:val="both"/>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creating rights for Plan participants ERISA imposes duties upon the people who are responsible for the operation of the employee benefit plan. The people who operate your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welfare benefit or exercising your rights under ERISA.</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Enforce Your Rights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your claim for a welfare benefit is denied or ignored, in whole or in part, you have a right to know why this was done, to obtain copies of documents relating to the decision without charge, and to appeal any denial, all within certain time schedules.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Under ERISA, there are steps you can take to enforce the above rights. For instance, if you request a copy of the Plan documents or the latest annual report from the Plan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a Federal court. If it should happen that you are discriminated against for asserting your rights, you may seek assistance from the U.S. Department of Labor, or you may file suit in a Federal court. The court shall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lineRule="auto" w:line="288"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Assistance with Your Questions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any questions about your Plan, you should contact the Plan Administrator. If you have any questions about this statement or about your rights under ERISA,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10.2    The following additional details are provided to you for your information and possible use:</w:t>
      </w:r>
    </w:p>
    <w:tbl>
      <w:tblPr>
        <w:tblW w:w="6898" w:type="dxa"/>
        <w:jc w:val="left"/>
        <w:tblInd w:w="0" w:type="dxa"/>
        <w:tblLayout w:type="fixed"/>
        <w:tblCellMar>
          <w:top w:w="28" w:type="dxa"/>
          <w:left w:w="28" w:type="dxa"/>
          <w:bottom w:w="28" w:type="dxa"/>
          <w:right w:w="28" w:type="dxa"/>
        </w:tblCellMar>
      </w:tblPr>
      <w:tblGrid>
        <w:gridCol w:w="885"/>
        <w:gridCol w:w="778"/>
        <w:gridCol w:w="781"/>
        <w:gridCol w:w="1301"/>
        <w:gridCol w:w="1301"/>
        <w:gridCol w:w="1852"/>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of Plan: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Affirm Holdings, Inc. Officer Severance Plan</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Type of Plan: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Welfare (Severance Benefits)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Plan Year:</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 December 31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98"/>
        <w:gridCol w:w="964"/>
        <w:gridCol w:w="967"/>
        <w:gridCol w:w="2098"/>
        <w:gridCol w:w="2098"/>
        <w:gridCol w:w="2980"/>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Recordkeeping:</w:t>
            </w:r>
          </w:p>
        </w:tc>
        <w:tc>
          <w:tcPr>
            <w:tcW w:w="7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and its records are kept on a calendar year basis, January 1 – December 31. </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Source of Contributions:</w:t>
            </w:r>
          </w:p>
        </w:tc>
        <w:tc>
          <w:tcPr>
            <w:tcW w:w="7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Plan is unfunded and the Company pays for the cost of the benefits.</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Plan Sponsor:    </w:t>
            </w:r>
          </w:p>
        </w:tc>
        <w:tc>
          <w:tcPr>
            <w:tcW w:w="71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Affirm Holdings, Inc.</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650 California St.</w:t>
            </w:r>
          </w:p>
          <w:p>
            <w:pPr>
              <w:pStyle w:val="TableContents"/>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San Francisco, CA 94108</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Identification Numbers:</w:t>
            </w:r>
          </w:p>
        </w:tc>
        <w:tc>
          <w:tcPr>
            <w:tcW w:w="71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EIN: </w:t>
            </w:r>
          </w:p>
          <w:p>
            <w:pPr>
              <w:pStyle w:val="TableContents"/>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Plan No.:</w:t>
            </w:r>
          </w:p>
          <w:p>
            <w:pPr>
              <w:pStyle w:val="TableContents"/>
              <w:bidi w:val="0"/>
              <w:spacing w:lineRule="auto" w:line="288" w:before="0" w:after="240"/>
              <w:jc w:val="left"/>
              <w:rPr>
                <w:color w:val="000000"/>
              </w:rPr>
            </w:pPr>
            <w:r>
              <w:rPr>
                <w:color w:val="000000"/>
              </w:rPr>
              <w:t> </w:t>
            </w:r>
          </w:p>
        </w:tc>
      </w:tr>
    </w:tbl>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Except as expressly provided otherwise herein, any notice, demand, consent, authorization or other communication that any Eligible Employee is required or may desire to give to or make upon the Company pursuant to the Plan shall be in writing and shall be effective, valid and duly given and received if hand delivered or sent by overnight delivery service, by facsimile, computer mail or other electronic mail, or by regular mail, postage prepaid, addressed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Affirm Holdings,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650 California St.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Francisco, CA 94108</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Notice so given shall be deemed given and received if (a) by mail, on the fourth day after posting; (b) by facsimile, computer mail or other electronic mail or personal delivery, on the date of actual transmission, with evidence of transmission acceptance or verification, or (as the case may be) personal or other delivery; and (c) by overnight delivery courier, on the next business day following the day such notice is delivered to the overnight delivery courier service.</w:t>
      </w:r>
    </w:p>
    <w:p>
      <w:pPr>
        <w:pStyle w:val="TextBody"/>
        <w:bidi w:val="0"/>
        <w:spacing w:before="0" w:after="0"/>
        <w:jc w:val="both"/>
        <w:rPr/>
      </w:pPr>
      <w:r>
        <w:rPr/>
      </w:r>
    </w:p>
    <w:p>
      <w:pPr>
        <w:pStyle w:val="TextBody"/>
        <w:bidi w:val="0"/>
        <w:spacing w:before="0" w:after="240"/>
        <w:ind w:left="0" w:right="0" w:hanging="720"/>
        <w:jc w:val="both"/>
        <w:rPr/>
      </w:pPr>
      <w:r>
        <w:rPr/>
      </w:r>
    </w:p>
    <w:p>
      <w:pPr>
        <w:pStyle w:val="TextBody"/>
        <w:bidi w:val="0"/>
        <w:spacing w:before="0" w:after="240"/>
        <w:ind w:left="0" w:right="0" w:hanging="720"/>
        <w:jc w:val="both"/>
        <w:rPr/>
      </w:pPr>
      <w:r>
        <w:rPr/>
      </w:r>
    </w:p>
    <w:p>
      <w:pPr>
        <w:pStyle w:val="TextBody"/>
        <w:bidi w:val="0"/>
        <w:spacing w:before="0" w:after="240"/>
        <w:ind w:left="0" w:right="0" w:hanging="720"/>
        <w:jc w:val="both"/>
        <w:rPr/>
      </w:pPr>
      <w:r>
        <w:rPr/>
      </w:r>
    </w:p>
    <w:p>
      <w:pPr>
        <w:pStyle w:val="TextBody"/>
        <w:bidi w:val="0"/>
        <w:spacing w:before="0" w:after="24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EXECUTION</w:t>
      </w:r>
      <w:r>
        <w:rPr>
          <w:rFonts w:ascii="Times New Roman;sans-serif" w:hAnsi="Times New Roman;sans-serif"/>
          <w:b w:val="false"/>
          <w:color w:val="000000"/>
          <w:sz w:val="24"/>
        </w:rPr>
        <w:t>.</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record the adoption of the Plan as set forth herein, Affirm Holdings, Inc. has caused its duly authorized officer to execute the same as of the Effective Date.</w:t>
      </w:r>
    </w:p>
    <w:p>
      <w:pPr>
        <w:pStyle w:val="TextBody"/>
        <w:bidi w:val="0"/>
        <w:spacing w:lineRule="auto" w:line="288" w:before="480" w:after="283"/>
        <w:jc w:val="left"/>
        <w:rPr>
          <w:rFonts w:ascii="Times New Roman;sans-serif" w:hAnsi="Times New Roman;sans-serif"/>
          <w:b/>
          <w:color w:val="000000"/>
          <w:sz w:val="24"/>
        </w:rPr>
      </w:pPr>
      <w:r>
        <w:rPr>
          <w:rFonts w:ascii="Times New Roman;sans-serif" w:hAnsi="Times New Roman;sans-serif"/>
          <w:b/>
          <w:color w:val="000000"/>
          <w:sz w:val="24"/>
        </w:rPr>
        <w:t xml:space="preserve">AFFIRM HOLDINGS, INC.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Max Levchin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Name:    Max Levchin</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OF CHANGE IN CONTROL SEVERANCE BENEFITS</w:t>
      </w:r>
    </w:p>
    <w:p>
      <w:pPr>
        <w:pStyle w:val="TextBody"/>
        <w:bidi w:val="0"/>
        <w:spacing w:before="0" w:after="0"/>
        <w:jc w:val="center"/>
        <w:rPr/>
      </w:pPr>
      <w:r>
        <w:rPr/>
      </w:r>
    </w:p>
    <w:tbl>
      <w:tblPr>
        <w:tblW w:w="9824" w:type="dxa"/>
        <w:jc w:val="left"/>
        <w:tblInd w:w="0" w:type="dxa"/>
        <w:tblLayout w:type="fixed"/>
        <w:tblCellMar>
          <w:top w:w="28" w:type="dxa"/>
          <w:left w:w="28" w:type="dxa"/>
          <w:bottom w:w="28" w:type="dxa"/>
          <w:right w:w="28" w:type="dxa"/>
        </w:tblCellMar>
      </w:tblPr>
      <w:tblGrid>
        <w:gridCol w:w="678"/>
        <w:gridCol w:w="596"/>
        <w:gridCol w:w="600"/>
        <w:gridCol w:w="1428"/>
        <w:gridCol w:w="1428"/>
        <w:gridCol w:w="1434"/>
        <w:gridCol w:w="754"/>
        <w:gridCol w:w="754"/>
        <w:gridCol w:w="756"/>
        <w:gridCol w:w="409"/>
        <w:gridCol w:w="409"/>
        <w:gridCol w:w="578"/>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4" w:space="0" w:color="000000"/>
              <w:left w:val="single" w:sz="4" w:space="0" w:color="000000"/>
            </w:tcBorders>
            <w:shd w:fill="F2F2F2"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Eligible Employee</w:t>
              <w:br/>
              <w:t>Tier Level</w:t>
            </w:r>
          </w:p>
        </w:tc>
        <w:tc>
          <w:tcPr>
            <w:tcW w:w="4290" w:type="dxa"/>
            <w:gridSpan w:val="3"/>
            <w:tcBorders>
              <w:top w:val="single" w:sz="4" w:space="0" w:color="000000"/>
              <w:left w:val="single" w:sz="4" w:space="0" w:color="000000"/>
            </w:tcBorders>
            <w:shd w:fill="F2F2F2"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Severance Pay</w:t>
            </w:r>
          </w:p>
        </w:tc>
        <w:tc>
          <w:tcPr>
            <w:tcW w:w="2264" w:type="dxa"/>
            <w:gridSpan w:val="3"/>
            <w:tcBorders>
              <w:top w:val="single" w:sz="4" w:space="0" w:color="000000"/>
              <w:left w:val="single" w:sz="4" w:space="0" w:color="000000"/>
            </w:tcBorders>
            <w:shd w:fill="F2F2F2"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COBRA Continuation</w:t>
              <w:br/>
              <w:t>Coverage Period</w:t>
            </w:r>
          </w:p>
        </w:tc>
        <w:tc>
          <w:tcPr>
            <w:tcW w:w="1396" w:type="dxa"/>
            <w:gridSpan w:val="3"/>
            <w:tcBorders>
              <w:top w:val="single" w:sz="4" w:space="0" w:color="000000"/>
              <w:left w:val="single" w:sz="4" w:space="0" w:color="000000"/>
              <w:right w:val="single" w:sz="4" w:space="0" w:color="000000"/>
            </w:tcBorders>
            <w:shd w:fill="F2F2F2" w:val="clear"/>
            <w:tcMar>
              <w:top w:w="30" w:type="dxa"/>
              <w:left w:w="82"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Vesting</w:t>
              <w:br/>
              <w:t>Acceleration</w:t>
            </w:r>
          </w:p>
        </w:tc>
      </w:tr>
      <w:tr>
        <w:trPr/>
        <w:tc>
          <w:tcPr>
            <w:tcW w:w="187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I</w:t>
            </w:r>
          </w:p>
        </w:tc>
        <w:tc>
          <w:tcPr>
            <w:tcW w:w="42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1.5x base salary + 1.0x pro-rata target bonus</w:t>
            </w:r>
          </w:p>
        </w:tc>
        <w:tc>
          <w:tcPr>
            <w:tcW w:w="22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 months</w:t>
            </w:r>
          </w:p>
        </w:tc>
        <w:tc>
          <w:tcPr>
            <w:tcW w:w="1396"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187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II</w:t>
            </w:r>
          </w:p>
        </w:tc>
        <w:tc>
          <w:tcPr>
            <w:tcW w:w="42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1.0x base salary + 1.0x pro-rata target bonus</w:t>
            </w:r>
          </w:p>
        </w:tc>
        <w:tc>
          <w:tcPr>
            <w:tcW w:w="226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 months</w:t>
            </w:r>
          </w:p>
        </w:tc>
        <w:tc>
          <w:tcPr>
            <w:tcW w:w="1396"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86"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B</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OF NON-CHANGE IN CONTROL SEVERANCE BENEFITS</w:t>
      </w:r>
    </w:p>
    <w:p>
      <w:pPr>
        <w:pStyle w:val="TextBody"/>
        <w:bidi w:val="0"/>
        <w:spacing w:before="0" w:after="0"/>
        <w:jc w:val="center"/>
        <w:rPr/>
      </w:pPr>
      <w:r>
        <w:rPr/>
      </w:r>
    </w:p>
    <w:tbl>
      <w:tblPr>
        <w:tblW w:w="7153" w:type="dxa"/>
        <w:jc w:val="left"/>
        <w:tblInd w:w="0" w:type="dxa"/>
        <w:tblLayout w:type="fixed"/>
        <w:tblCellMar>
          <w:top w:w="28" w:type="dxa"/>
          <w:left w:w="28" w:type="dxa"/>
          <w:bottom w:w="28" w:type="dxa"/>
          <w:right w:w="28" w:type="dxa"/>
        </w:tblCellMar>
      </w:tblPr>
      <w:tblGrid>
        <w:gridCol w:w="678"/>
        <w:gridCol w:w="596"/>
        <w:gridCol w:w="600"/>
        <w:gridCol w:w="539"/>
        <w:gridCol w:w="539"/>
        <w:gridCol w:w="541"/>
        <w:gridCol w:w="754"/>
        <w:gridCol w:w="754"/>
        <w:gridCol w:w="756"/>
        <w:gridCol w:w="409"/>
        <w:gridCol w:w="409"/>
        <w:gridCol w:w="578"/>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4" w:space="0" w:color="000000"/>
              <w:left w:val="single" w:sz="4" w:space="0" w:color="000000"/>
            </w:tcBorders>
            <w:shd w:fill="F2F2F2"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Eligible Employee</w:t>
              <w:br/>
              <w:t>Tier Level</w:t>
            </w:r>
          </w:p>
        </w:tc>
        <w:tc>
          <w:tcPr>
            <w:tcW w:w="1619" w:type="dxa"/>
            <w:gridSpan w:val="3"/>
            <w:tcBorders>
              <w:top w:val="single" w:sz="4" w:space="0" w:color="000000"/>
              <w:left w:val="single" w:sz="4" w:space="0" w:color="000000"/>
            </w:tcBorders>
            <w:shd w:fill="F2F2F2"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Severance Pay</w:t>
            </w:r>
          </w:p>
        </w:tc>
        <w:tc>
          <w:tcPr>
            <w:tcW w:w="2264" w:type="dxa"/>
            <w:gridSpan w:val="3"/>
            <w:tcBorders>
              <w:top w:val="single" w:sz="4" w:space="0" w:color="000000"/>
              <w:left w:val="single" w:sz="4" w:space="0" w:color="000000"/>
            </w:tcBorders>
            <w:shd w:fill="F2F2F2"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COBRA Continuation</w:t>
              <w:br/>
              <w:t>Coverage Period</w:t>
            </w:r>
          </w:p>
        </w:tc>
        <w:tc>
          <w:tcPr>
            <w:tcW w:w="1396" w:type="dxa"/>
            <w:gridSpan w:val="3"/>
            <w:tcBorders>
              <w:top w:val="single" w:sz="4" w:space="0" w:color="000000"/>
              <w:left w:val="single" w:sz="4" w:space="0" w:color="000000"/>
              <w:right w:val="single" w:sz="4" w:space="0" w:color="000000"/>
            </w:tcBorders>
            <w:shd w:fill="F2F2F2" w:val="clear"/>
            <w:tcMar>
              <w:top w:w="30" w:type="dxa"/>
              <w:left w:w="82"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Vesting</w:t>
              <w:br/>
              <w:t>Acceleration</w:t>
            </w:r>
          </w:p>
        </w:tc>
      </w:tr>
      <w:tr>
        <w:trPr/>
        <w:tc>
          <w:tcPr>
            <w:tcW w:w="187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I</w:t>
            </w:r>
          </w:p>
        </w:tc>
        <w:tc>
          <w:tcPr>
            <w:tcW w:w="161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1.0x base salary</w:t>
            </w:r>
          </w:p>
        </w:tc>
        <w:tc>
          <w:tcPr>
            <w:tcW w:w="22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 months</w:t>
            </w:r>
          </w:p>
        </w:tc>
        <w:tc>
          <w:tcPr>
            <w:tcW w:w="1396"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187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II</w:t>
            </w:r>
          </w:p>
        </w:tc>
        <w:tc>
          <w:tcPr>
            <w:tcW w:w="161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0.5x base salary</w:t>
            </w:r>
          </w:p>
        </w:tc>
        <w:tc>
          <w:tcPr>
            <w:tcW w:w="226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 months</w:t>
            </w:r>
          </w:p>
        </w:tc>
        <w:tc>
          <w:tcPr>
            <w:tcW w:w="1396"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Max Levchin, certify that: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Affirm Holdings, Inc.;</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6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firstLine="54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88"/>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left"/>
        <w:rPr/>
      </w:pPr>
      <w:r>
        <w:rPr/>
      </w:r>
    </w:p>
    <w:tbl>
      <w:tblPr>
        <w:tblW w:w="446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33"/>
        <w:gridCol w:w="733"/>
        <w:gridCol w:w="103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Max Levchin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 Levchin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Rob O’Hare, certify that: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Affirm Holdings, Inc.;</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68" w:before="0" w:after="0"/>
        <w:ind w:left="0" w:right="0" w:firstLine="180"/>
        <w:jc w:val="left"/>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000000"/>
        </w:rPr>
        <w:t xml:space="preserve"> </w:t>
      </w:r>
      <w:r>
        <w:rPr>
          <w:rFonts w:ascii="Times New Roman;sans-serif" w:hAnsi="Times New Roman;sans-serif"/>
          <w:b w:val="false"/>
          <w:color w:val="000000"/>
          <w:sz w:val="20"/>
        </w:rPr>
        <w:t xml:space="preserve">for the registrant and have: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firstLine="54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88"/>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48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37"/>
        <w:gridCol w:w="737"/>
        <w:gridCol w:w="104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 O’Hare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O’Hare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 </w:t>
      </w:r>
    </w:p>
    <w:p>
      <w:pPr>
        <w:pStyle w:val="TextBody"/>
        <w:bidi w:val="0"/>
        <w:spacing w:before="0" w:after="0"/>
        <w:jc w:val="left"/>
        <w:rPr/>
      </w:pPr>
      <w:r>
        <w:rPr/>
      </w:r>
    </w:p>
    <w:tbl>
      <w:tblPr>
        <w:tblW w:w="4571"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733"/>
        <w:gridCol w:w="733"/>
        <w:gridCol w:w="103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Max Levchin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 Levchin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 </w:t>
      </w:r>
    </w:p>
    <w:p>
      <w:pPr>
        <w:pStyle w:val="TextBody"/>
        <w:bidi w:val="0"/>
        <w:spacing w:before="0" w:after="0"/>
        <w:jc w:val="left"/>
        <w:rPr/>
      </w:pPr>
      <w:r>
        <w:rPr/>
      </w:r>
    </w:p>
    <w:tbl>
      <w:tblPr>
        <w:tblW w:w="458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737"/>
        <w:gridCol w:w="737"/>
        <w:gridCol w:w="104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 O’Hare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O’Hare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119</Pages>
  <Words>88328</Words>
  <Characters>482015</Characters>
  <CharactersWithSpaces>567483</CharactersWithSpaces>
  <Paragraphs>6678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