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Affirm Holdings, Inc.</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$0.00001 par value per share</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00827B106</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sz w:val="24"/>
          <w:szCs w:val="24"/>
          <w:color w:val="auto"/>
        </w:rPr>
      </w:pPr>
    </w:p>
    <w:p>
      <w:pPr>
        <w:ind w:left="320" w:right="60" w:hanging="312"/>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w w:val="93"/>
              </w:rPr>
              <w:t>CUSIP No. 00827B106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0" w:type="dxa"/>
            <w:vAlign w:val="bottom"/>
          </w:tcPr>
          <w:p>
            <w:pPr>
              <w:ind w:left="7460"/>
              <w:spacing w:after="0"/>
              <w:rPr>
                <w:sz w:val="20"/>
                <w:szCs w:val="20"/>
                <w:color w:val="auto"/>
              </w:rPr>
            </w:pPr>
            <w:r>
              <w:rPr>
                <w:rFonts w:ascii="Arial" w:cs="Arial" w:eastAsia="Arial" w:hAnsi="Arial"/>
                <w:sz w:val="18"/>
                <w:szCs w:val="18"/>
                <w:color w:val="auto"/>
                <w:w w:val="87"/>
              </w:rPr>
              <w:t>Page 2 of 6 Pages</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5"/>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Shopify Inc.</w:t>
            </w:r>
          </w:p>
        </w:tc>
        <w:tc>
          <w:tcPr>
            <w:tcW w:w="0" w:type="dxa"/>
            <w:vAlign w:val="bottom"/>
          </w:tcPr>
          <w:p>
            <w:pPr>
              <w:spacing w:after="0"/>
              <w:rPr>
                <w:sz w:val="1"/>
                <w:szCs w:val="1"/>
                <w:color w:val="auto"/>
              </w:rPr>
            </w:pPr>
          </w:p>
        </w:tc>
      </w:tr>
      <w:tr>
        <w:trPr>
          <w:trHeight w:val="163"/>
        </w:trPr>
        <w:tc>
          <w:tcPr>
            <w:tcW w:w="17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938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17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38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2"/>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18"/>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Canada</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5</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78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20,297,594</w:t>
            </w:r>
          </w:p>
        </w:tc>
        <w:tc>
          <w:tcPr>
            <w:tcW w:w="0" w:type="dxa"/>
            <w:vAlign w:val="bottom"/>
          </w:tcPr>
          <w:p>
            <w:pPr>
              <w:spacing w:after="0"/>
              <w:rPr>
                <w:sz w:val="1"/>
                <w:szCs w:val="1"/>
                <w:color w:val="auto"/>
              </w:rPr>
            </w:pPr>
          </w:p>
        </w:tc>
      </w:tr>
      <w:tr>
        <w:trPr>
          <w:trHeight w:val="222"/>
        </w:trPr>
        <w:tc>
          <w:tcPr>
            <w:tcW w:w="17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6</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8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right"/>
              <w:ind w:right="308"/>
              <w:spacing w:after="0" w:line="182" w:lineRule="exact"/>
              <w:rPr>
                <w:sz w:val="20"/>
                <w:szCs w:val="20"/>
                <w:color w:val="auto"/>
              </w:rPr>
            </w:pPr>
            <w:r>
              <w:rPr>
                <w:rFonts w:ascii="Arial" w:cs="Arial" w:eastAsia="Arial" w:hAnsi="Arial"/>
                <w:sz w:val="18"/>
                <w:szCs w:val="18"/>
                <w:color w:val="auto"/>
              </w:rPr>
              <w:t>7</w:t>
            </w:r>
          </w:p>
        </w:tc>
        <w:tc>
          <w:tcPr>
            <w:tcW w:w="88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0" w:type="dxa"/>
            <w:vAlign w:val="bottom"/>
            <w:tcBorders>
              <w:right w:val="single" w:sz="8" w:color="auto"/>
            </w:tcBorders>
          </w:tcPr>
          <w:p>
            <w:pPr>
              <w:ind w:left="80"/>
              <w:spacing w:after="0" w:line="217" w:lineRule="exact"/>
              <w:rPr>
                <w:sz w:val="20"/>
                <w:szCs w:val="20"/>
                <w:color w:val="auto"/>
              </w:rPr>
            </w:pPr>
            <w:r>
              <w:rPr>
                <w:rFonts w:ascii="Arial" w:cs="Arial" w:eastAsia="Arial" w:hAnsi="Arial"/>
                <w:sz w:val="22"/>
                <w:szCs w:val="22"/>
                <w:color w:val="auto"/>
              </w:rPr>
              <w:t>20,297,594</w:t>
            </w:r>
          </w:p>
        </w:tc>
        <w:tc>
          <w:tcPr>
            <w:tcW w:w="0" w:type="dxa"/>
            <w:vAlign w:val="bottom"/>
          </w:tcPr>
          <w:p>
            <w:pPr>
              <w:spacing w:after="0"/>
              <w:rPr>
                <w:sz w:val="1"/>
                <w:szCs w:val="1"/>
                <w:color w:val="auto"/>
              </w:rPr>
            </w:pPr>
          </w:p>
        </w:tc>
      </w:tr>
      <w:tr>
        <w:trPr>
          <w:trHeight w:val="54"/>
        </w:trPr>
        <w:tc>
          <w:tcPr>
            <w:tcW w:w="1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vMerge w:val="restart"/>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tcBorders>
            <w:vMerge w:val="continue"/>
          </w:tcPr>
          <w:p>
            <w:pPr>
              <w:spacing w:after="0"/>
              <w:rPr>
                <w:sz w:val="19"/>
                <w:szCs w:val="19"/>
                <w:color w:val="auto"/>
              </w:rPr>
            </w:pPr>
          </w:p>
        </w:tc>
        <w:tc>
          <w:tcPr>
            <w:tcW w:w="80" w:type="dxa"/>
            <w:vAlign w:val="bottom"/>
            <w:tcBorders>
              <w:right w:val="single" w:sz="8" w:color="auto"/>
            </w:tcBorders>
            <w:vMerge w:val="continue"/>
          </w:tcPr>
          <w:p>
            <w:pPr>
              <w:spacing w:after="0"/>
              <w:rPr>
                <w:sz w:val="19"/>
                <w:szCs w:val="19"/>
                <w:color w:val="auto"/>
              </w:rPr>
            </w:pPr>
          </w:p>
        </w:tc>
        <w:tc>
          <w:tcPr>
            <w:tcW w:w="580" w:type="dxa"/>
            <w:vAlign w:val="bottom"/>
            <w:tcBorders>
              <w:right w:val="single" w:sz="8" w:color="auto"/>
            </w:tcBorders>
          </w:tcPr>
          <w:p>
            <w:pPr>
              <w:jc w:val="right"/>
              <w:ind w:right="308"/>
              <w:spacing w:after="0"/>
              <w:rPr>
                <w:sz w:val="20"/>
                <w:szCs w:val="20"/>
                <w:color w:val="auto"/>
              </w:rPr>
            </w:pPr>
            <w:r>
              <w:rPr>
                <w:rFonts w:ascii="Arial" w:cs="Arial" w:eastAsia="Arial" w:hAnsi="Arial"/>
                <w:sz w:val="18"/>
                <w:szCs w:val="18"/>
                <w:color w:val="auto"/>
              </w:rPr>
              <w:t>8</w:t>
            </w:r>
          </w:p>
        </w:tc>
        <w:tc>
          <w:tcPr>
            <w:tcW w:w="8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5"/>
        </w:trPr>
        <w:tc>
          <w:tcPr>
            <w:tcW w:w="178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9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20,297,594</w:t>
            </w:r>
          </w:p>
        </w:tc>
        <w:tc>
          <w:tcPr>
            <w:tcW w:w="0" w:type="dxa"/>
            <w:vAlign w:val="bottom"/>
          </w:tcPr>
          <w:p>
            <w:pPr>
              <w:spacing w:after="0"/>
              <w:rPr>
                <w:sz w:val="1"/>
                <w:szCs w:val="1"/>
                <w:color w:val="auto"/>
              </w:rPr>
            </w:pPr>
          </w:p>
        </w:tc>
      </w:tr>
      <w:tr>
        <w:trPr>
          <w:trHeight w:val="276"/>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938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9.3</w:t>
            </w:r>
            <w:r>
              <w:rPr>
                <w:rFonts w:ascii="Arial" w:cs="Arial" w:eastAsia="Arial" w:hAnsi="Arial"/>
                <w:sz w:val="17"/>
                <w:szCs w:val="17"/>
                <w:color w:val="auto"/>
              </w:rPr>
              <w:t>%</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9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45"/>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7"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2"/>
          <w:szCs w:val="22"/>
          <w:b w:val="1"/>
          <w:bCs w:val="1"/>
          <w:color w:val="auto"/>
        </w:rPr>
        <w:t>Item 1.</w:t>
      </w:r>
    </w:p>
    <w:p>
      <w:pPr>
        <w:spacing w:after="0" w:line="1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Affirm Holdings, Inc. (the “Issuer”)</w:t>
      </w:r>
    </w:p>
    <w:p>
      <w:pPr>
        <w:spacing w:after="0" w:line="23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650 California Street, San Francisco, California 94108</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2.</w:t>
      </w:r>
    </w:p>
    <w:p>
      <w:pPr>
        <w:spacing w:after="0" w:line="1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Schedule 13G is filed by Shopify Inc. (the “Reporting Person”).</w:t>
      </w:r>
    </w:p>
    <w:p>
      <w:pPr>
        <w:spacing w:after="0" w:line="23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49"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The principal business address of Shopify Inc. is 151 O’Connor Street, Ground Floor, Ottawa, Ontario, Canada K2P 2L8.</w:t>
      </w:r>
    </w:p>
    <w:p>
      <w:pPr>
        <w:spacing w:after="0" w:line="20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Shopify Inc. is a company organized in Ontario, Canada.</w:t>
      </w:r>
    </w:p>
    <w:p>
      <w:pPr>
        <w:spacing w:after="0" w:line="23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Class A common stock, $0.00001 par value per share (“Class A Common Stock”)</w:t>
      </w:r>
    </w:p>
    <w:p>
      <w:pPr>
        <w:spacing w:after="0" w:line="23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00827B106</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3" w:lineRule="exact"/>
        <w:rPr>
          <w:sz w:val="20"/>
          <w:szCs w:val="20"/>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52"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52"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774" w:right="679" w:bottom="1440" w:gutter="0" w:footer="0" w:header="0"/>
        </w:sectPr>
      </w:pPr>
    </w:p>
    <w:bookmarkStart w:id="3" w:name="page4"/>
    <w:bookmarkEnd w:id="3"/>
    <w:p>
      <w:pPr>
        <w:ind w:left="1300" w:hanging="644"/>
        <w:spacing w:after="0" w:line="207" w:lineRule="exact"/>
        <w:tabs>
          <w:tab w:leader="none" w:pos="1300" w:val="left"/>
        </w:tabs>
        <w:numPr>
          <w:ilvl w:val="0"/>
          <w:numId w:val="12"/>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52" w:lineRule="exact"/>
        <w:rPr>
          <w:rFonts w:ascii="Arial" w:cs="Arial" w:eastAsia="Arial" w:hAnsi="Arial"/>
          <w:sz w:val="18"/>
          <w:szCs w:val="18"/>
          <w:b w:val="1"/>
          <w:bCs w:val="1"/>
          <w:color w:val="auto"/>
        </w:rPr>
      </w:pPr>
    </w:p>
    <w:p>
      <w:pPr>
        <w:ind w:left="1300" w:right="100" w:hanging="644"/>
        <w:spacing w:after="0" w:line="239" w:lineRule="exact"/>
        <w:tabs>
          <w:tab w:leader="none" w:pos="1300" w:val="left"/>
        </w:tabs>
        <w:numPr>
          <w:ilvl w:val="0"/>
          <w:numId w:val="12"/>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b w:val="1"/>
          <w:bCs w:val="1"/>
          <w:color w:val="auto"/>
        </w:rPr>
      </w:pPr>
    </w:p>
    <w:p>
      <w:pPr>
        <w:ind w:left="1300" w:hanging="644"/>
        <w:spacing w:after="0" w:line="207" w:lineRule="exact"/>
        <w:tabs>
          <w:tab w:leader="none" w:pos="1300" w:val="left"/>
        </w:tabs>
        <w:numPr>
          <w:ilvl w:val="0"/>
          <w:numId w:val="12"/>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49" w:lineRule="exact"/>
        <w:rPr>
          <w:sz w:val="20"/>
          <w:szCs w:val="20"/>
          <w:color w:val="auto"/>
        </w:rPr>
      </w:pPr>
    </w:p>
    <w:p>
      <w:pPr>
        <w:ind w:left="1300" w:right="500"/>
        <w:spacing w:after="0" w:line="287" w:lineRule="auto"/>
        <w:rPr>
          <w:sz w:val="20"/>
          <w:szCs w:val="20"/>
          <w:color w:val="auto"/>
        </w:rPr>
      </w:pPr>
      <w:r>
        <w:rPr>
          <w:rFonts w:ascii="Arial" w:cs="Arial" w:eastAsia="Arial" w:hAnsi="Arial"/>
          <w:sz w:val="19"/>
          <w:szCs w:val="19"/>
          <w:color w:val="auto"/>
        </w:rPr>
        <w:t>As of December 31, 2021, the Reporting Person is deemed to beneficially own 20,297,594 shares of Class A Common Stock consisting of: (i) 10,148,797 shares of Class A Common Stock directly held by it, and (ii) 10,148,797 shares of the Issuer’s Class B common stock, $0.00001 par value per share (“Class B Common Stock”), directly held by it, which is convertible into 10,148,797 shares of Class A Common Stock.</w:t>
      </w:r>
    </w:p>
    <w:p>
      <w:pPr>
        <w:spacing w:after="0" w:line="17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49" w:lineRule="exact"/>
        <w:rPr>
          <w:sz w:val="20"/>
          <w:szCs w:val="20"/>
          <w:color w:val="auto"/>
        </w:rPr>
      </w:pPr>
    </w:p>
    <w:p>
      <w:pPr>
        <w:ind w:left="1300"/>
        <w:spacing w:after="0" w:line="279" w:lineRule="auto"/>
        <w:rPr>
          <w:sz w:val="20"/>
          <w:szCs w:val="20"/>
          <w:color w:val="auto"/>
        </w:rPr>
      </w:pPr>
      <w:r>
        <w:rPr>
          <w:rFonts w:ascii="Arial" w:cs="Arial" w:eastAsia="Arial" w:hAnsi="Arial"/>
          <w:sz w:val="19"/>
          <w:szCs w:val="19"/>
          <w:color w:val="auto"/>
        </w:rPr>
        <w:t>The Reporting Person may be deemed to be the beneficial owner of the percentage of Class A Common Stock listed on such Reporting Person’s cover page. Calculations of the percentage of shares beneficially owned is based on 218,344,112 shares of Class A Common Stock outstanding, consisting of: (i) 208,195,315 shares of Class A Common Stock outstanding as of November 3, 2021, as reported in the Quarterly Report on Form 10-Q filed by the Issuer on November 15, 2021, and (ii) the 10,148,797 shares of Class A Common Stock issuable upon conversion of the 10,148,797 shares of Class B Common Stock held by the Reporting Person.</w:t>
      </w:r>
    </w:p>
    <w:p>
      <w:pPr>
        <w:spacing w:after="0" w:line="18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356" w:lineRule="exact"/>
        <w:rPr>
          <w:rFonts w:ascii="Arial" w:cs="Arial" w:eastAsia="Arial" w:hAnsi="Arial"/>
          <w:sz w:val="18"/>
          <w:szCs w:val="18"/>
          <w:b w:val="1"/>
          <w:bCs w:val="1"/>
          <w:color w:val="auto"/>
        </w:rPr>
      </w:pPr>
    </w:p>
    <w:p>
      <w:pPr>
        <w:ind w:left="2440" w:right="5620" w:hanging="559"/>
        <w:spacing w:after="0" w:line="563" w:lineRule="auto"/>
        <w:tabs>
          <w:tab w:leader="none" w:pos="2147" w:val="left"/>
        </w:tabs>
        <w:numPr>
          <w:ilvl w:val="1"/>
          <w:numId w:val="15"/>
        </w:numPr>
        <w:rPr>
          <w:rFonts w:ascii="Arial" w:cs="Arial" w:eastAsia="Arial" w:hAnsi="Arial"/>
          <w:sz w:val="22"/>
          <w:szCs w:val="22"/>
          <w:color w:val="auto"/>
        </w:rPr>
      </w:pPr>
      <w:r>
        <w:rPr>
          <w:rFonts w:ascii="Arial" w:cs="Arial" w:eastAsia="Arial" w:hAnsi="Arial"/>
          <w:sz w:val="22"/>
          <w:szCs w:val="22"/>
          <w:color w:val="auto"/>
        </w:rPr>
        <w:t>Sole power to vote or to direct the vote: See cover page hereof.</w:t>
      </w:r>
    </w:p>
    <w:p>
      <w:pPr>
        <w:spacing w:after="0" w:line="1" w:lineRule="exact"/>
        <w:rPr>
          <w:rFonts w:ascii="Arial" w:cs="Arial" w:eastAsia="Arial" w:hAnsi="Arial"/>
          <w:sz w:val="22"/>
          <w:szCs w:val="22"/>
          <w:color w:val="auto"/>
        </w:rPr>
      </w:pPr>
    </w:p>
    <w:p>
      <w:pPr>
        <w:ind w:left="2440" w:right="5360" w:hanging="559"/>
        <w:spacing w:after="0" w:line="563" w:lineRule="auto"/>
        <w:tabs>
          <w:tab w:leader="none" w:pos="2207"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power to vote or to direct the vote: See cover page hereof.</w:t>
      </w:r>
    </w:p>
    <w:p>
      <w:pPr>
        <w:spacing w:after="0" w:line="1" w:lineRule="exact"/>
        <w:rPr>
          <w:rFonts w:ascii="Arial" w:cs="Arial" w:eastAsia="Arial" w:hAnsi="Arial"/>
          <w:sz w:val="22"/>
          <w:szCs w:val="22"/>
          <w:color w:val="auto"/>
        </w:rPr>
      </w:pPr>
    </w:p>
    <w:p>
      <w:pPr>
        <w:ind w:left="2440" w:right="4420" w:hanging="559"/>
        <w:spacing w:after="0" w:line="563" w:lineRule="auto"/>
        <w:tabs>
          <w:tab w:leader="none" w:pos="2267" w:val="left"/>
        </w:tabs>
        <w:numPr>
          <w:ilvl w:val="1"/>
          <w:numId w:val="1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See cover page hereof.</w:t>
      </w:r>
    </w:p>
    <w:p>
      <w:pPr>
        <w:spacing w:after="0" w:line="1" w:lineRule="exact"/>
        <w:rPr>
          <w:rFonts w:ascii="Arial" w:cs="Arial" w:eastAsia="Arial" w:hAnsi="Arial"/>
          <w:sz w:val="22"/>
          <w:szCs w:val="22"/>
          <w:color w:val="auto"/>
        </w:rPr>
      </w:pPr>
    </w:p>
    <w:p>
      <w:pPr>
        <w:ind w:left="2240" w:hanging="359"/>
        <w:spacing w:after="0"/>
        <w:tabs>
          <w:tab w:leader="none" w:pos="22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341"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See cover page hereof.</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right="8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ectPr>
          <w:pgSz w:w="11900" w:h="16838" w:orient="portrait"/>
          <w:cols w:equalWidth="0" w:num="1">
            <w:col w:w="11200"/>
          </w:cols>
          <w:pgMar w:left="320" w:top="754" w:right="379" w:bottom="1440" w:gutter="0" w:footer="0" w:header="0"/>
        </w:sect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303530</wp:posOffset>
            </wp:positionV>
            <wp:extent cx="6309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ectPr>
          <w:pgSz w:w="11900" w:h="16838" w:orient="portrait"/>
          <w:cols w:equalWidth="0" w:num="1">
            <w:col w:w="11200"/>
          </w:cols>
          <w:pgMar w:left="320" w:top="754" w:right="379" w:bottom="1440" w:gutter="0" w:footer="0" w:header="0"/>
          <w:type w:val="continuous"/>
        </w:sectPr>
      </w:pPr>
    </w:p>
    <w:bookmarkStart w:id="4" w:name="page5"/>
    <w:bookmarkEnd w:id="4"/>
    <w:p>
      <w:pPr>
        <w:ind w:left="1300" w:hanging="1281"/>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56" w:right="95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2022</w:t>
      </w:r>
    </w:p>
    <w:p>
      <w:pPr>
        <w:spacing w:after="0" w:line="200" w:lineRule="exact"/>
        <w:rPr>
          <w:sz w:val="20"/>
          <w:szCs w:val="20"/>
          <w:color w:val="auto"/>
        </w:rPr>
      </w:pPr>
    </w:p>
    <w:p>
      <w:pPr>
        <w:spacing w:after="0" w:line="2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SHOPIFY INC.</w:t>
      </w:r>
    </w:p>
    <w:p>
      <w:pPr>
        <w:spacing w:after="0" w:line="200" w:lineRule="exact"/>
        <w:rPr>
          <w:sz w:val="20"/>
          <w:szCs w:val="20"/>
          <w:color w:val="auto"/>
        </w:rPr>
      </w:pPr>
    </w:p>
    <w:p>
      <w:pPr>
        <w:spacing w:after="0" w:line="245"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Jessica Hertz</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Jessica Hertz</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240"/>
      </w:cols>
      <w:pgMar w:left="320" w:top="7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lowerLetter"/>
      <w:start w:val="4"/>
    </w:lvl>
  </w:abstractNum>
  <w:abstractNum w:abstractNumId="9">
    <w:nsid w:val="140E0F76"/>
    <w:multiLevelType w:val="hybridMultilevel"/>
    <w:lvl w:ilvl="0">
      <w:lvlJc w:val="left"/>
      <w:lvlText w:val="(%1)"/>
      <w:numFmt w:val="lowerLetter"/>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8"/>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2022-02-11T23:34:08Z</dcterms:created>
  <dcterms:modified xsi:type="dcterms:W3CDTF">2022-02-11T23:34:08Z</dcterms:modified>
</cp:coreProperties>
</file>