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533.xml.htm"/>
      <w:bookmarkStart w:id="1" w:name="kswkform4_17833685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Adkins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AFFIRM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650 CALIFORNIA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Affirm Holdings, Inc.</w:t>
              </w:r>
            </w:hyperlink>
            <w:r>
              <w:rPr/>
              <w:t xml:space="preserve"> [ </w:t>
            </w:r>
            <w:r>
              <w:rPr>
                <w:rFonts w:ascii="Times;serif" w:hAnsi="Times;serif"/>
                <w:color w:val="0000FF"/>
                <w:sz w:val="24"/>
                <w:shd w:fill="FFFFFF" w:val="clear"/>
              </w:rPr>
              <w:t>AFRM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146,508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635</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83.85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145,873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withheld to satisfy the Reporting Person's tax obligation in connection with the settlement of shares of Common Stock underlying the Reporting Person's restricted stock units that vested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48 equal monthly installments beginning October 1, 2022, subject to the Reporting Person's continuous service with the Issuer as of each vesting date. This grant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 Samples,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0331" TargetMode="External"/><Relationship Id="rId5" Type="http://schemas.openxmlformats.org/officeDocument/2006/relationships/hyperlink" Target="http://www.sec.gov/cgi-bin/browse-edgar?action=getcompany&amp;CIK=0001820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3711</Characters>
  <CharactersWithSpaces>4323</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