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7050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705040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Michalek Libor</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AFFIRM HOLDINGS,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650 CALIFORNIA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Affirm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AFRM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1274"/>
        <w:spacing w:after="0"/>
        <w:rPr>
          <w:sz w:val="20"/>
          <w:szCs w:val="20"/>
          <w:color w:val="auto"/>
        </w:rPr>
      </w:pPr>
      <w:r>
        <w:rPr>
          <w:rFonts w:ascii="Times New Roman" w:cs="Times New Roman" w:eastAsia="Times New Roman" w:hAnsi="Times New Roman"/>
          <w:sz w:val="17"/>
          <w:szCs w:val="17"/>
          <w:color w:val="0000FF"/>
        </w:rPr>
        <w:t>President</w:t>
      </w:r>
    </w:p>
    <w:p>
      <w:pPr>
        <w:spacing w:after="0" w:line="447" w:lineRule="exact"/>
        <w:rPr>
          <w:sz w:val="24"/>
          <w:szCs w:val="24"/>
          <w:color w:val="auto"/>
        </w:rPr>
      </w:pPr>
    </w:p>
    <w:p>
      <w:pPr>
        <w:sectPr>
          <w:pgSz w:w="11900" w:h="16838" w:orient="portrait"/>
          <w:cols w:equalWidth="0" w:num="3">
            <w:col w:w="3180" w:space="720"/>
            <w:col w:w="3106" w:space="720"/>
            <w:col w:w="3354"/>
          </w:cols>
          <w:pgMar w:left="460" w:top="216" w:right="359" w:bottom="0" w:gutter="0" w:footer="0" w:header="0"/>
          <w:type w:val="continuous"/>
        </w:sectPr>
      </w:pPr>
    </w:p>
    <w:tbl>
      <w:tblPr>
        <w:tblLayout w:type="fixed"/>
        <w:tblInd w:w="80" w:type="dxa"/>
        <w:tblCellMar>
          <w:top w:w="0" w:type="dxa"/>
          <w:left w:w="0" w:type="dxa"/>
          <w:bottom w:w="0" w:type="dxa"/>
          <w:right w:w="0" w:type="dxa"/>
        </w:tblCellMar>
      </w:tblPr>
      <w:tr>
        <w:trPr>
          <w:trHeight w:val="46"/>
        </w:trPr>
        <w:tc>
          <w:tcPr>
            <w:tcW w:w="2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3620" w:type="dxa"/>
            <w:vAlign w:val="bottom"/>
            <w:tcBorders>
              <w:top w:val="single" w:sz="8" w:color="2C2C2C"/>
              <w:bottom w:val="single" w:sz="8" w:color="2C2C2C"/>
            </w:tcBorders>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tcBorders>
              <w:top w:val="single" w:sz="8" w:color="2C2C2C"/>
              <w:bottom w:val="single" w:sz="8" w:color="2C2C2C"/>
            </w:tcBorders>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20" w:type="dxa"/>
            <w:vAlign w:val="bottom"/>
            <w:vMerge w:val="continue"/>
          </w:tcPr>
          <w:p>
            <w:pPr>
              <w:spacing w:after="0" w:line="20" w:lineRule="exact"/>
              <w:rPr>
                <w:sz w:val="1"/>
                <w:szCs w:val="1"/>
                <w:color w:val="auto"/>
              </w:rPr>
            </w:pPr>
          </w:p>
        </w:tc>
        <w:tc>
          <w:tcPr>
            <w:tcW w:w="35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6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00" w:type="dxa"/>
            <w:vAlign w:val="bottom"/>
          </w:tcPr>
          <w:p>
            <w:pPr>
              <w:spacing w:after="0"/>
              <w:rPr>
                <w:sz w:val="10"/>
                <w:szCs w:val="10"/>
                <w:color w:val="auto"/>
              </w:rPr>
            </w:pPr>
          </w:p>
        </w:tc>
        <w:tc>
          <w:tcPr>
            <w:tcW w:w="362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3500" w:type="dxa"/>
            <w:vAlign w:val="bottom"/>
            <w:vMerge w:val="restart"/>
          </w:tcPr>
          <w:p>
            <w:pPr>
              <w:ind w:left="260"/>
              <w:spacing w:after="0" w:line="148" w:lineRule="exact"/>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1100" w:type="dxa"/>
            <w:vAlign w:val="bottom"/>
          </w:tcPr>
          <w:p>
            <w:pPr>
              <w:ind w:left="20"/>
              <w:spacing w:after="0" w:line="190" w:lineRule="exact"/>
              <w:rPr>
                <w:sz w:val="20"/>
                <w:szCs w:val="20"/>
                <w:color w:val="auto"/>
              </w:rPr>
            </w:pPr>
            <w:r>
              <w:rPr>
                <w:rFonts w:ascii="Times New Roman" w:cs="Times New Roman" w:eastAsia="Times New Roman" w:hAnsi="Times New Roman"/>
                <w:sz w:val="17"/>
                <w:szCs w:val="17"/>
                <w:color w:val="0000FF"/>
              </w:rPr>
              <w:t>SAN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94108</w:t>
            </w:r>
          </w:p>
        </w:tc>
        <w:tc>
          <w:tcPr>
            <w:tcW w:w="6780" w:type="dxa"/>
            <w:vAlign w:val="bottom"/>
            <w:vMerge w:val="restart"/>
          </w:tcPr>
          <w:p>
            <w:pPr>
              <w:ind w:left="45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1"/>
        </w:trPr>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6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11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780" w:type="dxa"/>
            <w:vAlign w:val="bottom"/>
          </w:tcPr>
          <w:p>
            <w:pPr>
              <w:ind w:left="4520"/>
              <w:spacing w:after="0" w:line="143" w:lineRule="exact"/>
              <w:rPr>
                <w:sz w:val="20"/>
                <w:szCs w:val="20"/>
                <w:color w:val="auto"/>
              </w:rPr>
            </w:pPr>
            <w:r>
              <w:rPr>
                <w:rFonts w:ascii="Arial" w:cs="Arial" w:eastAsia="Arial" w:hAnsi="Arial"/>
                <w:sz w:val="13"/>
                <w:szCs w:val="13"/>
                <w:color w:val="auto"/>
                <w:w w:val="99"/>
              </w:rPr>
              <w:t>Form filed by More than One Reporting</w:t>
            </w:r>
          </w:p>
        </w:tc>
        <w:tc>
          <w:tcPr>
            <w:tcW w:w="0" w:type="dxa"/>
            <w:vAlign w:val="bottom"/>
          </w:tcPr>
          <w:p>
            <w:pPr>
              <w:spacing w:after="0"/>
              <w:rPr>
                <w:sz w:val="1"/>
                <w:szCs w:val="1"/>
                <w:color w:val="auto"/>
              </w:rPr>
            </w:pPr>
          </w:p>
        </w:tc>
      </w:tr>
      <w:tr>
        <w:trPr>
          <w:trHeight w:val="136"/>
        </w:trPr>
        <w:tc>
          <w:tcPr>
            <w:tcW w:w="110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6780" w:type="dxa"/>
            <w:vAlign w:val="bottom"/>
          </w:tcPr>
          <w:p>
            <w:pPr>
              <w:ind w:left="4520"/>
              <w:spacing w:after="0" w:line="110" w:lineRule="exact"/>
              <w:rPr>
                <w:sz w:val="20"/>
                <w:szCs w:val="20"/>
                <w:color w:val="auto"/>
              </w:rPr>
            </w:pPr>
            <w:r>
              <w:rPr>
                <w:rFonts w:ascii="Arial" w:cs="Arial" w:eastAsia="Arial" w:hAnsi="Arial"/>
                <w:sz w:val="12"/>
                <w:szCs w:val="12"/>
                <w:color w:val="auto"/>
              </w:rPr>
              <w:t>Person</w:t>
            </w:r>
          </w:p>
        </w:tc>
        <w:tc>
          <w:tcPr>
            <w:tcW w:w="0" w:type="dxa"/>
            <w:vAlign w:val="bottom"/>
          </w:tcPr>
          <w:p>
            <w:pPr>
              <w:spacing w:after="0"/>
              <w:rPr>
                <w:sz w:val="1"/>
                <w:szCs w:val="1"/>
                <w:color w:val="auto"/>
              </w:rPr>
            </w:pPr>
          </w:p>
        </w:tc>
      </w:tr>
      <w:tr>
        <w:trPr>
          <w:trHeight w:val="302"/>
        </w:trPr>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c>
          <w:tcPr>
            <w:tcW w:w="6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6"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4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Pr>
          <w:p>
            <w:pPr>
              <w:jc w:val="right"/>
              <w:ind w:right="91"/>
              <w:spacing w:after="0"/>
              <w:rPr>
                <w:sz w:val="20"/>
                <w:szCs w:val="20"/>
                <w:color w:val="auto"/>
              </w:rPr>
            </w:pPr>
            <w:r>
              <w:rPr>
                <w:rFonts w:ascii="Times New Roman" w:cs="Times New Roman" w:eastAsia="Times New Roman" w:hAnsi="Times New Roman"/>
                <w:sz w:val="17"/>
                <w:szCs w:val="17"/>
                <w:color w:val="0000FF"/>
              </w:rPr>
              <w:t>06/01/2026</w:t>
            </w:r>
          </w:p>
        </w:tc>
        <w:tc>
          <w:tcPr>
            <w:tcW w:w="11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0000FF"/>
              </w:rPr>
              <w:t>11,363</w:t>
            </w: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Pr>
          <w:p>
            <w:pPr>
              <w:jc w:val="center"/>
              <w:ind w:right="14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228,387</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tcPr>
          <w:p>
            <w:pPr>
              <w:jc w:val="right"/>
              <w:ind w:right="91"/>
              <w:spacing w:after="0"/>
              <w:rPr>
                <w:sz w:val="20"/>
                <w:szCs w:val="20"/>
                <w:color w:val="auto"/>
              </w:rPr>
            </w:pPr>
            <w:r>
              <w:rPr>
                <w:rFonts w:ascii="Times New Roman" w:cs="Times New Roman" w:eastAsia="Times New Roman" w:hAnsi="Times New Roman"/>
                <w:sz w:val="17"/>
                <w:szCs w:val="17"/>
                <w:color w:val="0000FF"/>
              </w:rPr>
              <w:t>06/01/2026</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right="13"/>
              <w:spacing w:after="0"/>
              <w:rPr>
                <w:sz w:val="20"/>
                <w:szCs w:val="20"/>
                <w:color w:val="auto"/>
              </w:rPr>
            </w:pPr>
            <w:r>
              <w:rPr>
                <w:rFonts w:ascii="Times New Roman" w:cs="Times New Roman" w:eastAsia="Times New Roman" w:hAnsi="Times New Roman"/>
                <w:sz w:val="17"/>
                <w:szCs w:val="17"/>
                <w:color w:val="0000FF"/>
              </w:rPr>
              <w:t>5,783</w:t>
            </w:r>
            <w:r>
              <w:rPr>
                <w:rFonts w:ascii="Times New Roman" w:cs="Times New Roman" w:eastAsia="Times New Roman" w:hAnsi="Times New Roman"/>
                <w:sz w:val="21"/>
                <w:szCs w:val="21"/>
                <w:color w:val="008000"/>
                <w:vertAlign w:val="superscript"/>
              </w:rPr>
              <w:t>(1)</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tcPr>
          <w:p>
            <w:pPr>
              <w:jc w:val="center"/>
              <w:ind w:right="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72.91</w:t>
            </w: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222,604</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Michalek</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868,114</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dated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March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2007</w:t>
            </w:r>
            <w:r>
              <w:rPr>
                <w:rFonts w:ascii="Times New Roman" w:cs="Times New Roman" w:eastAsia="Times New Roman" w:hAnsi="Times New Roman"/>
                <w:sz w:val="21"/>
                <w:szCs w:val="21"/>
                <w:color w:val="008000"/>
                <w:vertAlign w:val="superscript"/>
              </w:rPr>
              <w:t>(2)</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2,335</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06/01/2026</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2,335</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5"/>
              </w:rPr>
              <w:t>7,009</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5,320</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06/01/2026</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5,320</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47,875</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3,708</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06/01/2026</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3,708</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33,366</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6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the Issuer's Common Stock withheld to satisfy the Reporting Person's tax obligation in connection with the settlement of shares of Common Stock underlying the Reporting Person's restricted stock units that vested on June 1, 2026.</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Michalek 2007 Family Trust dated March 21, 2007. The Reporting Person and his spouse are trustees of the trust.</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Class A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48 equal monthly installments beginning October 1, 2022, subject to the Reporting Person's continuous service with the Issuer as of each vesting date. This grant has no expiration date.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16 equal quarterly installments beginning September 1, 2025, subject to the Reporting Person's continuous service with the Issuer as of each vesting date. This grant has no expiration date.</w:t>
      </w:r>
    </w:p>
    <w:p>
      <w:pPr>
        <w:spacing w:after="0" w:line="45" w:lineRule="exact"/>
        <w:rPr>
          <w:rFonts w:ascii="Times New Roman" w:cs="Times New Roman" w:eastAsia="Times New Roman" w:hAnsi="Times New Roman"/>
          <w:sz w:val="13"/>
          <w:szCs w:val="13"/>
          <w:color w:val="008000"/>
        </w:rPr>
      </w:pPr>
    </w:p>
    <w:p>
      <w:pPr>
        <w:ind w:left="40" w:right="40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equal quarterly installments for a period of three years beginning December 1, 2025, the vesting commencement date, subject to the Reporting Person's continued employment with the Issuer as of each vesting date.</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Josh Samples, Attorney-in-</w:t>
            </w:r>
          </w:p>
        </w:tc>
        <w:tc>
          <w:tcPr>
            <w:tcW w:w="16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5"/>
              </w:rPr>
              <w:t>06/03/2026</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460" w:top="216" w:right="359" w:bottom="0" w:gutter="0" w:footer="0" w:header="0"/>
          <w:type w:val="continuous"/>
        </w:sectPr>
      </w:pPr>
    </w:p>
    <w:bookmarkStart w:id="1" w:name="page2"/>
    <w:bookmarkEnd w:id="1"/>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59" w:firstLine="3"/>
        <w:spacing w:after="0" w:line="339"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32810" TargetMode="External"/><Relationship Id="rId14" Type="http://schemas.openxmlformats.org/officeDocument/2006/relationships/hyperlink" Target="http://www.sec.gov/cgi-bin/browse-edgar?action=getcompany&amp;CIK=00018209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2026-06-03T15:13:58Z</dcterms:created>
  <dcterms:modified xsi:type="dcterms:W3CDTF">2026-06-03T15:13:58Z</dcterms:modified>
</cp:coreProperties>
</file>