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6340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34047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7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Michalek Libor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AFFIRM HOLDINGS,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650 CALIFORNIA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Affirm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AFRM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274"/>
        <w:spacing w:after="0"/>
        <w:rPr>
          <w:sz w:val="20"/>
          <w:szCs w:val="20"/>
          <w:color w:val="auto"/>
        </w:rPr>
      </w:pPr>
      <w:r>
        <w:rPr>
          <w:rFonts w:ascii="Times New Roman" w:cs="Times New Roman" w:eastAsia="Times New Roman" w:hAnsi="Times New Roman"/>
          <w:sz w:val="17"/>
          <w:szCs w:val="17"/>
          <w:color w:val="0000FF"/>
        </w:rPr>
        <w:t>President</w:t>
      </w:r>
    </w:p>
    <w:p>
      <w:pPr>
        <w:spacing w:after="0" w:line="447" w:lineRule="exact"/>
        <w:rPr>
          <w:sz w:val="24"/>
          <w:szCs w:val="24"/>
          <w:color w:val="auto"/>
        </w:rPr>
      </w:pPr>
    </w:p>
    <w:p>
      <w:pPr>
        <w:sectPr>
          <w:pgSz w:w="11900" w:h="16838" w:orient="portrait"/>
          <w:cols w:equalWidth="0" w:num="3">
            <w:col w:w="3180" w:space="720"/>
            <w:col w:w="3106" w:space="720"/>
            <w:col w:w="3354"/>
          </w:cols>
          <w:pgMar w:left="460" w:top="216" w:right="359" w:bottom="176" w:gutter="0" w:footer="0" w:header="0"/>
          <w:type w:val="continuous"/>
        </w:sectPr>
      </w:pPr>
    </w:p>
    <w:tbl>
      <w:tblPr>
        <w:tblLayout w:type="fixed"/>
        <w:tblInd w:w="80" w:type="dxa"/>
        <w:tblCellMar>
          <w:top w:w="0" w:type="dxa"/>
          <w:left w:w="0" w:type="dxa"/>
          <w:bottom w:w="0" w:type="dxa"/>
          <w:right w:w="0" w:type="dxa"/>
        </w:tblCellMar>
      </w:tblPr>
      <w:tr>
        <w:trPr>
          <w:trHeight w:val="46"/>
        </w:trPr>
        <w:tc>
          <w:tcPr>
            <w:tcW w:w="2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362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tcBorders>
              <w:top w:val="single" w:sz="8" w:color="2C2C2C"/>
              <w:bottom w:val="single" w:sz="8" w:color="2C2C2C"/>
            </w:tcBorders>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3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6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00" w:type="dxa"/>
            <w:vAlign w:val="bottom"/>
          </w:tcPr>
          <w:p>
            <w:pPr>
              <w:spacing w:after="0"/>
              <w:rPr>
                <w:sz w:val="10"/>
                <w:szCs w:val="10"/>
                <w:color w:val="auto"/>
              </w:rPr>
            </w:pPr>
          </w:p>
        </w:tc>
        <w:tc>
          <w:tcPr>
            <w:tcW w:w="362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3500" w:type="dxa"/>
            <w:vAlign w:val="bottom"/>
            <w:vMerge w:val="restart"/>
          </w:tcPr>
          <w:p>
            <w:pPr>
              <w:ind w:left="260"/>
              <w:spacing w:after="0" w:line="148"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100" w:type="dxa"/>
            <w:vAlign w:val="bottom"/>
          </w:tcPr>
          <w:p>
            <w:pPr>
              <w:ind w:left="20"/>
              <w:spacing w:after="0" w:line="190" w:lineRule="exact"/>
              <w:rPr>
                <w:sz w:val="20"/>
                <w:szCs w:val="20"/>
                <w:color w:val="auto"/>
              </w:rPr>
            </w:pPr>
            <w:r>
              <w:rPr>
                <w:rFonts w:ascii="Times New Roman" w:cs="Times New Roman" w:eastAsia="Times New Roman" w:hAnsi="Times New Roman"/>
                <w:sz w:val="17"/>
                <w:szCs w:val="17"/>
                <w:color w:val="0000FF"/>
              </w:rPr>
              <w:t>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94108</w:t>
            </w:r>
          </w:p>
        </w:tc>
        <w:tc>
          <w:tcPr>
            <w:tcW w:w="6780" w:type="dxa"/>
            <w:vAlign w:val="bottom"/>
            <w:vMerge w:val="restart"/>
          </w:tcPr>
          <w:p>
            <w:pPr>
              <w:ind w:left="45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1"/>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6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780" w:type="dxa"/>
            <w:vAlign w:val="bottom"/>
          </w:tcPr>
          <w:p>
            <w:pPr>
              <w:ind w:left="4520"/>
              <w:spacing w:after="0" w:line="143" w:lineRule="exact"/>
              <w:rPr>
                <w:sz w:val="20"/>
                <w:szCs w:val="20"/>
                <w:color w:val="auto"/>
              </w:rPr>
            </w:pPr>
            <w:r>
              <w:rPr>
                <w:rFonts w:ascii="Arial" w:cs="Arial" w:eastAsia="Arial" w:hAnsi="Arial"/>
                <w:sz w:val="13"/>
                <w:szCs w:val="13"/>
                <w:color w:val="auto"/>
                <w:w w:val="99"/>
              </w:rPr>
              <w:t>Form filed by More than One Reporting</w:t>
            </w:r>
          </w:p>
        </w:tc>
        <w:tc>
          <w:tcPr>
            <w:tcW w:w="0" w:type="dxa"/>
            <w:vAlign w:val="bottom"/>
          </w:tcPr>
          <w:p>
            <w:pPr>
              <w:spacing w:after="0"/>
              <w:rPr>
                <w:sz w:val="1"/>
                <w:szCs w:val="1"/>
                <w:color w:val="auto"/>
              </w:rPr>
            </w:pPr>
          </w:p>
        </w:tc>
      </w:tr>
      <w:tr>
        <w:trPr>
          <w:trHeight w:val="136"/>
        </w:trPr>
        <w:tc>
          <w:tcPr>
            <w:tcW w:w="110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6780" w:type="dxa"/>
            <w:vAlign w:val="bottom"/>
          </w:tcPr>
          <w:p>
            <w:pPr>
              <w:ind w:left="4520"/>
              <w:spacing w:after="0" w:line="110"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302"/>
        </w:trPr>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6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6"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Pr>
          <w:p>
            <w:pPr>
              <w:jc w:val="right"/>
              <w:ind w:right="91"/>
              <w:spacing w:after="0"/>
              <w:rPr>
                <w:sz w:val="20"/>
                <w:szCs w:val="20"/>
                <w:color w:val="auto"/>
              </w:rPr>
            </w:pPr>
            <w:r>
              <w:rPr>
                <w:rFonts w:ascii="Times New Roman" w:cs="Times New Roman" w:eastAsia="Times New Roman" w:hAnsi="Times New Roman"/>
                <w:sz w:val="17"/>
                <w:szCs w:val="17"/>
                <w:color w:val="0000FF"/>
              </w:rPr>
              <w:t>05/01/2026</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2,336</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center"/>
              <w:ind w:right="14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218,113</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05/01/2026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1,089</w:t>
            </w:r>
            <w:r>
              <w:rPr>
                <w:rFonts w:ascii="Times New Roman" w:cs="Times New Roman" w:eastAsia="Times New Roman" w:hAnsi="Times New Roman"/>
                <w:sz w:val="21"/>
                <w:szCs w:val="21"/>
                <w:color w:val="008000"/>
                <w:vertAlign w:val="superscript"/>
              </w:rPr>
              <w:t>(1)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67.54</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217,024</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Michalek</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868,114</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dated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March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2007</w:t>
            </w:r>
            <w:r>
              <w:rPr>
                <w:rFonts w:ascii="Times New Roman" w:cs="Times New Roman" w:eastAsia="Times New Roman" w:hAnsi="Times New Roman"/>
                <w:sz w:val="21"/>
                <w:szCs w:val="21"/>
                <w:color w:val="008000"/>
                <w:vertAlign w:val="superscript"/>
              </w:rPr>
              <w:t>(2)</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2,336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05/01/2026</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2,336</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9,344</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6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the Issuer's Common Stock withheld to satisfy the Reporting Person's tax obligation in connection with the settlement of shares of Common Stock underlying the Reporting Person's restricted stock units that vested on May 1, 2026.</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Michalek 2007 Family Trust dated March 21, 2007. The Reporting Person and his spouse are trustees of the trust.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Class A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48 equal monthly installments beginning October 1, 2022, subject to the Reporting Person's continuous service with the Issuer as of each vesting date. This grant has no expiration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Josh Samples,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05/05/2026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7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32810" TargetMode="External"/><Relationship Id="rId14" Type="http://schemas.openxmlformats.org/officeDocument/2006/relationships/hyperlink" Target="http://www.sec.gov/cgi-bin/browse-edgar?action=getcompany&amp;CIK=00018209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2026-05-05T15:49:33Z</dcterms:created>
  <dcterms:modified xsi:type="dcterms:W3CDTF">2026-05-05T15:49:33Z</dcterms:modified>
</cp:coreProperties>
</file>