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1540" w:right="1260" w:hanging="328"/>
        <w:spacing w:after="0" w:line="237" w:lineRule="auto"/>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70" w:lineRule="exact"/>
        <w:rPr>
          <w:sz w:val="24"/>
          <w:szCs w:val="24"/>
          <w:color w:val="auto"/>
        </w:rPr>
      </w:pPr>
    </w:p>
    <w:p>
      <w:pPr>
        <w:ind w:left="1540" w:right="1240" w:hanging="328"/>
        <w:spacing w:after="0" w:line="237" w:lineRule="auto"/>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001-39888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Affirm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84-2224323</w:t>
            </w:r>
          </w:p>
        </w:tc>
      </w:tr>
      <w:tr>
        <w:trPr>
          <w:trHeight w:val="189"/>
        </w:trPr>
        <w:tc>
          <w:tcPr>
            <w:tcW w:w="4000" w:type="dxa"/>
            <w:vAlign w:val="bottom"/>
          </w:tcPr>
          <w:p>
            <w:pPr>
              <w:jc w:val="center"/>
              <w:ind w:right="6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tcPr>
          <w:p>
            <w:pPr>
              <w:jc w:val="center"/>
              <w:ind w:left="610"/>
              <w:spacing w:after="0" w:line="189"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spacing w:after="0"/>
              <w:rPr>
                <w:sz w:val="20"/>
                <w:szCs w:val="20"/>
                <w:color w:val="auto"/>
              </w:rPr>
            </w:pPr>
          </w:p>
        </w:tc>
      </w:tr>
      <w:tr>
        <w:trPr>
          <w:trHeight w:val="31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650 California Street</w:t>
            </w:r>
          </w:p>
        </w:tc>
        <w:tc>
          <w:tcPr>
            <w:tcW w:w="3320" w:type="dxa"/>
            <w:vAlign w:val="bottom"/>
          </w:tcPr>
          <w:p>
            <w:pPr>
              <w:spacing w:after="0"/>
              <w:rPr>
                <w:sz w:val="24"/>
                <w:szCs w:val="24"/>
                <w:color w:val="auto"/>
              </w:rPr>
            </w:pPr>
          </w:p>
        </w:tc>
      </w:tr>
      <w:tr>
        <w:trPr>
          <w:trHeight w:val="27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San Francisco, California</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94108</w:t>
            </w:r>
          </w:p>
        </w:tc>
      </w:tr>
      <w:tr>
        <w:trPr>
          <w:trHeight w:val="243"/>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984-0490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w w:val="97"/>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Class A common stock, par value $0.00001 per share</w:t>
            </w: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color w:val="auto"/>
              </w:rPr>
              <w:t>AFRM</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47" w:lineRule="exact"/>
        <w:rPr>
          <w:sz w:val="24"/>
          <w:szCs w:val="24"/>
          <w:color w:val="auto"/>
        </w:rPr>
      </w:pPr>
    </w:p>
    <w:p>
      <w:pPr>
        <w:jc w:val="both"/>
        <w:spacing w:after="0" w:line="30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2" w:lineRule="exact"/>
        <w:rPr>
          <w:sz w:val="24"/>
          <w:szCs w:val="24"/>
          <w:color w:val="auto"/>
        </w:rPr>
      </w:pPr>
    </w:p>
    <w:p>
      <w:pPr>
        <w:ind w:right="40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9" w:lineRule="exact"/>
        <w:rPr>
          <w:sz w:val="24"/>
          <w:szCs w:val="24"/>
          <w:color w:val="auto"/>
        </w:rPr>
      </w:pPr>
    </w:p>
    <w:p>
      <w:pPr>
        <w:jc w:val="both"/>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center"/>
              <w:ind w:right="819"/>
              <w:spacing w:after="0"/>
              <w:rPr>
                <w:sz w:val="20"/>
                <w:szCs w:val="20"/>
                <w:color w:val="auto"/>
              </w:rPr>
            </w:pPr>
            <w:r>
              <w:rPr>
                <w:rFonts w:ascii="Arial" w:cs="Arial" w:eastAsia="Arial" w:hAnsi="Arial"/>
                <w:sz w:val="16"/>
                <w:szCs w:val="16"/>
                <w:color w:val="auto"/>
                <w:w w:val="92"/>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360" w:type="dxa"/>
            <w:vAlign w:val="bottom"/>
          </w:tcPr>
          <w:p>
            <w:pPr>
              <w:jc w:val="center"/>
              <w:ind w:right="819"/>
              <w:spacing w:after="0"/>
              <w:rPr>
                <w:sz w:val="20"/>
                <w:szCs w:val="20"/>
                <w:color w:val="auto"/>
              </w:rPr>
            </w:pPr>
            <w:r>
              <w:rPr>
                <w:rFonts w:ascii="Arial" w:cs="Arial" w:eastAsia="Arial" w:hAnsi="Arial"/>
                <w:sz w:val="16"/>
                <w:szCs w:val="16"/>
                <w:color w:val="auto"/>
                <w:w w:val="93"/>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6"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ind w:right="260"/>
        <w:spacing w:after="0" w:line="328" w:lineRule="auto"/>
        <w:rPr>
          <w:sz w:val="20"/>
          <w:szCs w:val="20"/>
          <w:color w:val="auto"/>
        </w:rPr>
      </w:pPr>
      <w:r>
        <w:rPr>
          <w:rFonts w:ascii="Arial" w:cs="Arial" w:eastAsia="Arial" w:hAnsi="Arial"/>
          <w:sz w:val="16"/>
          <w:szCs w:val="16"/>
          <w:color w:val="auto"/>
        </w:rPr>
        <w:t>As of February 9, 2022, the number of shares of the registrant’s Class A common stock outstanding was 223,765,871 and the number of shares of the registrant's Class B common stock outstanding was 60,691,104.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80" w:type="dxa"/>
            <w:vAlign w:val="bottom"/>
            <w:gridSpan w:val="13"/>
          </w:tcPr>
          <w:p>
            <w:pPr>
              <w:ind w:left="2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66"/>
        </w:trPr>
        <w:tc>
          <w:tcPr>
            <w:tcW w:w="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FF"/>
            </w:tcBorders>
            <w:gridSpan w:val="3"/>
            <w:shd w:val="clear" w:color="auto" w:fill="CCEEFF"/>
          </w:tcPr>
          <w:p>
            <w:pPr>
              <w:spacing w:after="0" w:line="182" w:lineRule="exact"/>
              <w:rPr>
                <w:rFonts w:ascii="Arial" w:cs="Arial" w:eastAsia="Arial" w:hAnsi="Arial"/>
                <w:sz w:val="18"/>
                <w:szCs w:val="18"/>
                <w:color w:val="0000FF"/>
                <w:w w:val="91"/>
              </w:rPr>
            </w:pPr>
            <w:hyperlink w:anchor="page1">
              <w:r>
                <w:rPr>
                  <w:rFonts w:ascii="Arial" w:cs="Arial" w:eastAsia="Arial" w:hAnsi="Arial"/>
                  <w:sz w:val="18"/>
                  <w:szCs w:val="18"/>
                  <w:color w:val="0000FF"/>
                  <w:w w:val="91"/>
                </w:rPr>
                <w:t>Cover</w:t>
              </w:r>
            </w:hyperlink>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2" w:lineRule="exact"/>
              <w:rPr>
                <w:rFonts w:ascii="Arial" w:cs="Arial" w:eastAsia="Arial" w:hAnsi="Arial"/>
                <w:sz w:val="18"/>
                <w:szCs w:val="18"/>
                <w:color w:val="0000FF"/>
                <w:w w:val="79"/>
              </w:rPr>
            </w:pPr>
            <w:hyperlink w:anchor="page1">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80" w:type="dxa"/>
            <w:vAlign w:val="bottom"/>
            <w:gridSpan w:val="43"/>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3"/>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Part I - Financial Information</w:t>
              </w:r>
            </w:hyperlink>
          </w:p>
        </w:tc>
        <w:tc>
          <w:tcPr>
            <w:tcW w:w="7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2"/>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Item 1. Unaudited Financial Statements</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0000FF"/>
            </w:tcBorders>
            <w:gridSpan w:val="33"/>
            <w:shd w:val="clear" w:color="auto" w:fill="CCEEFF"/>
          </w:tcPr>
          <w:p>
            <w:pPr>
              <w:spacing w:after="0" w:line="189" w:lineRule="exact"/>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BALANCE SHEETS (Unaudited)</w:t>
              </w:r>
            </w:hyperlink>
          </w:p>
        </w:tc>
        <w:tc>
          <w:tcPr>
            <w:tcW w:w="4820" w:type="dxa"/>
            <w:vAlign w:val="bottom"/>
            <w:tcBorders>
              <w:bottom w:val="single" w:sz="8" w:color="CCEEFF"/>
            </w:tcBorders>
            <w:gridSpan w:val="8"/>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BALANCE SHEETS, CONT. (Unaudited)</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FF"/>
            </w:tcBorders>
            <w:gridSpan w:val="39"/>
            <w:shd w:val="clear" w:color="auto" w:fill="CCEEFF"/>
          </w:tcPr>
          <w:p>
            <w:pPr>
              <w:spacing w:after="0" w:line="189" w:lineRule="exact"/>
              <w:rPr>
                <w:rFonts w:ascii="Arial" w:cs="Arial" w:eastAsia="Arial" w:hAnsi="Arial"/>
                <w:sz w:val="18"/>
                <w:szCs w:val="18"/>
                <w:color w:val="0000FF"/>
                <w:w w:val="94"/>
              </w:rPr>
            </w:pPr>
            <w:hyperlink w:anchor="page7">
              <w:r>
                <w:rPr>
                  <w:rFonts w:ascii="Arial" w:cs="Arial" w:eastAsia="Arial" w:hAnsi="Arial"/>
                  <w:sz w:val="18"/>
                  <w:szCs w:val="18"/>
                  <w:color w:val="0000FF"/>
                  <w:w w:val="94"/>
                </w:rPr>
                <w:t>CONDENSED CONSOLIDATED STATEMENTS OF OPERATIONS AND COMPREHENSIVE LOSS (Unaudited)</w:t>
              </w:r>
            </w:hyperlink>
          </w:p>
        </w:tc>
        <w:tc>
          <w:tcPr>
            <w:tcW w:w="134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 OF REDEEMABLE CONVERTIBLE PREFERRED STOCK AND</w:t>
              </w:r>
            </w:hyperlink>
          </w:p>
        </w:tc>
        <w:tc>
          <w:tcPr>
            <w:tcW w:w="760" w:type="dxa"/>
            <w:vAlign w:val="bottom"/>
            <w:gridSpan w:val="4"/>
            <w:vMerge w:val="restart"/>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52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STOCKHOLDERS’ EQUITY (DEFICIT) (Unaudited)</w:t>
              </w:r>
            </w:hyperlink>
          </w:p>
        </w:tc>
        <w:tc>
          <w:tcPr>
            <w:tcW w:w="132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60" w:type="dxa"/>
            <w:vAlign w:val="bottom"/>
            <w:gridSpan w:val="36"/>
            <w:shd w:val="clear" w:color="auto" w:fill="CCEEFF"/>
          </w:tcPr>
          <w:p>
            <w:pPr>
              <w:spacing w:after="0" w:line="189" w:lineRule="exact"/>
              <w:rPr>
                <w:rFonts w:ascii="Arial" w:cs="Arial" w:eastAsia="Arial" w:hAnsi="Arial"/>
                <w:sz w:val="18"/>
                <w:szCs w:val="18"/>
                <w:color w:val="0000FF"/>
                <w:w w:val="94"/>
              </w:rPr>
            </w:pPr>
            <w:hyperlink w:anchor="page10">
              <w:r>
                <w:rPr>
                  <w:rFonts w:ascii="Arial" w:cs="Arial" w:eastAsia="Arial" w:hAnsi="Arial"/>
                  <w:sz w:val="18"/>
                  <w:szCs w:val="18"/>
                  <w:color w:val="0000FF"/>
                  <w:w w:val="94"/>
                </w:rPr>
                <w:t>CONDENSED CONSOLIDATED STATEMENTS OF CASH FLOWS (Unaudited)</w:t>
              </w:r>
            </w:hyperlink>
          </w:p>
        </w:tc>
        <w:tc>
          <w:tcPr>
            <w:tcW w:w="3780" w:type="dxa"/>
            <w:vAlign w:val="bottom"/>
            <w:gridSpan w:val="5"/>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CONSOLIDATED STATEMENTS OF CASH FLOWS, CONT. (Unaudited)</w:t>
              </w:r>
            </w:hyperlink>
          </w:p>
        </w:tc>
        <w:tc>
          <w:tcPr>
            <w:tcW w:w="7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w:t>
              </w:r>
            </w:hyperlink>
          </w:p>
        </w:tc>
        <w:tc>
          <w:tcPr>
            <w:tcW w:w="9600" w:type="dxa"/>
            <w:vAlign w:val="bottom"/>
            <w:gridSpan w:val="39"/>
            <w:shd w:val="clear" w:color="auto" w:fill="CCEEFF"/>
          </w:tcPr>
          <w:p>
            <w:pPr>
              <w:ind w:left="20"/>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Business Description</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2.  Summary of Significant Accounting Policies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3.</w:t>
              </w:r>
            </w:hyperlink>
          </w:p>
        </w:tc>
        <w:tc>
          <w:tcPr>
            <w:tcW w:w="9600" w:type="dxa"/>
            <w:vAlign w:val="bottom"/>
            <w:gridSpan w:val="39"/>
            <w:shd w:val="clear" w:color="auto" w:fill="CCEEFF"/>
          </w:tcPr>
          <w:p>
            <w:pPr>
              <w:ind w:left="20"/>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Interest Income</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4. Loans Held for Investment and Allowance for Credit Losses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17"/>
            <w:shd w:val="clear" w:color="auto" w:fill="CCEEFF"/>
          </w:tcPr>
          <w:p>
            <w:pPr>
              <w:spacing w:after="0" w:line="189"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5. Business Combinations</w:t>
              </w:r>
            </w:hyperlink>
          </w:p>
        </w:tc>
        <w:tc>
          <w:tcPr>
            <w:tcW w:w="7960" w:type="dxa"/>
            <w:vAlign w:val="bottom"/>
            <w:gridSpan w:val="24"/>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6. Balance Sheet Components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1"/>
            <w:shd w:val="clear" w:color="auto" w:fill="CCEEFF"/>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7. Leases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1"/>
          </w:tcPr>
          <w:p>
            <w:pPr>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8. Commitments and Contingencies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1"/>
            <w:shd w:val="clear" w:color="auto" w:fill="CCEEFF"/>
          </w:tcPr>
          <w:p>
            <w:pPr>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9. Transactions with Related Parties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30">
              <w:r>
                <w:rPr>
                  <w:rFonts w:ascii="Arial" w:cs="Arial" w:eastAsia="Arial" w:hAnsi="Arial"/>
                  <w:sz w:val="18"/>
                  <w:szCs w:val="18"/>
                  <w:color w:val="0000FF"/>
                  <w:w w:val="87"/>
                </w:rPr>
                <w:t>10.</w:t>
              </w:r>
            </w:hyperlink>
          </w:p>
        </w:tc>
        <w:tc>
          <w:tcPr>
            <w:tcW w:w="9600" w:type="dxa"/>
            <w:vAlign w:val="bottom"/>
            <w:gridSpan w:val="39"/>
          </w:tcPr>
          <w:p>
            <w:pPr>
              <w:ind w:left="2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Debt</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1"/>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11. Securitization and Variable Interest Entities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37">
              <w:r>
                <w:rPr>
                  <w:rFonts w:ascii="Arial" w:cs="Arial" w:eastAsia="Arial" w:hAnsi="Arial"/>
                  <w:sz w:val="18"/>
                  <w:szCs w:val="18"/>
                  <w:color w:val="0000FF"/>
                  <w:w w:val="87"/>
                </w:rPr>
                <w:t>12.</w:t>
              </w:r>
            </w:hyperlink>
          </w:p>
        </w:tc>
        <w:tc>
          <w:tcPr>
            <w:tcW w:w="80" w:type="dxa"/>
            <w:vAlign w:val="bottom"/>
          </w:tcPr>
          <w:p>
            <w:pPr>
              <w:spacing w:after="0"/>
              <w:rPr>
                <w:sz w:val="16"/>
                <w:szCs w:val="16"/>
                <w:color w:val="auto"/>
              </w:rPr>
            </w:pPr>
          </w:p>
        </w:tc>
        <w:tc>
          <w:tcPr>
            <w:tcW w:w="9520" w:type="dxa"/>
            <w:vAlign w:val="bottom"/>
            <w:gridSpan w:val="38"/>
          </w:tcPr>
          <w:p>
            <w:pPr>
              <w:ind w:left="4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Investments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40">
              <w:r>
                <w:rPr>
                  <w:rFonts w:ascii="Arial" w:cs="Arial" w:eastAsia="Arial" w:hAnsi="Arial"/>
                  <w:sz w:val="18"/>
                  <w:szCs w:val="18"/>
                  <w:color w:val="0000FF"/>
                  <w:w w:val="87"/>
                </w:rPr>
                <w:t>13.</w:t>
              </w:r>
            </w:hyperlink>
          </w:p>
        </w:tc>
        <w:tc>
          <w:tcPr>
            <w:tcW w:w="9600" w:type="dxa"/>
            <w:vAlign w:val="bottom"/>
            <w:gridSpan w:val="39"/>
            <w:shd w:val="clear" w:color="auto" w:fill="CCEEFF"/>
          </w:tcPr>
          <w:p>
            <w:pPr>
              <w:ind w:left="20"/>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Fair Value of Financial Assets and Liabilities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52">
              <w:r>
                <w:rPr>
                  <w:rFonts w:ascii="Arial" w:cs="Arial" w:eastAsia="Arial" w:hAnsi="Arial"/>
                  <w:sz w:val="18"/>
                  <w:szCs w:val="18"/>
                  <w:color w:val="0000FF"/>
                  <w:w w:val="87"/>
                </w:rPr>
                <w:t>14.</w:t>
              </w:r>
            </w:hyperlink>
          </w:p>
        </w:tc>
        <w:tc>
          <w:tcPr>
            <w:tcW w:w="9600" w:type="dxa"/>
            <w:vAlign w:val="bottom"/>
            <w:gridSpan w:val="39"/>
          </w:tcPr>
          <w:p>
            <w:pPr>
              <w:ind w:left="20"/>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Redeemable Convertible Preferred Stock and Stockholders' Equity</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53">
              <w:r>
                <w:rPr>
                  <w:rFonts w:ascii="Arial" w:cs="Arial" w:eastAsia="Arial" w:hAnsi="Arial"/>
                  <w:sz w:val="18"/>
                  <w:szCs w:val="18"/>
                  <w:color w:val="0000FF"/>
                  <w:w w:val="87"/>
                </w:rPr>
                <w:t>15.</w:t>
              </w:r>
            </w:hyperlink>
          </w:p>
        </w:tc>
        <w:tc>
          <w:tcPr>
            <w:tcW w:w="9600" w:type="dxa"/>
            <w:vAlign w:val="bottom"/>
            <w:gridSpan w:val="39"/>
            <w:shd w:val="clear" w:color="auto" w:fill="CCEEFF"/>
          </w:tcPr>
          <w:p>
            <w:pPr>
              <w:ind w:left="20"/>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Equity Incentive Plans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16.</w:t>
              </w:r>
            </w:hyperlink>
          </w:p>
        </w:tc>
        <w:tc>
          <w:tcPr>
            <w:tcW w:w="9600" w:type="dxa"/>
            <w:vAlign w:val="bottom"/>
            <w:gridSpan w:val="39"/>
          </w:tcPr>
          <w:p>
            <w:pPr>
              <w:ind w:left="2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Income Taxes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17.</w:t>
              </w:r>
            </w:hyperlink>
          </w:p>
        </w:tc>
        <w:tc>
          <w:tcPr>
            <w:tcW w:w="9600" w:type="dxa"/>
            <w:vAlign w:val="bottom"/>
            <w:gridSpan w:val="39"/>
            <w:shd w:val="clear" w:color="auto" w:fill="CCEEFF"/>
          </w:tcPr>
          <w:p>
            <w:pPr>
              <w:ind w:left="2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Net Loss per Share Attributable to Common Stockholders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rFonts w:ascii="Arial" w:cs="Arial" w:eastAsia="Arial" w:hAnsi="Arial"/>
                <w:sz w:val="18"/>
                <w:szCs w:val="18"/>
                <w:color w:val="0000FF"/>
                <w:w w:val="87"/>
              </w:rPr>
            </w:pPr>
            <w:hyperlink w:anchor="page58">
              <w:r>
                <w:rPr>
                  <w:rFonts w:ascii="Arial" w:cs="Arial" w:eastAsia="Arial" w:hAnsi="Arial"/>
                  <w:sz w:val="18"/>
                  <w:szCs w:val="18"/>
                  <w:color w:val="0000FF"/>
                  <w:w w:val="87"/>
                </w:rPr>
                <w:t>18.</w:t>
              </w:r>
            </w:hyperlink>
          </w:p>
        </w:tc>
        <w:tc>
          <w:tcPr>
            <w:tcW w:w="9600" w:type="dxa"/>
            <w:vAlign w:val="bottom"/>
            <w:gridSpan w:val="39"/>
          </w:tcPr>
          <w:p>
            <w:pPr>
              <w:ind w:left="2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Segments and Geographical Information</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rFonts w:ascii="Arial" w:cs="Arial" w:eastAsia="Arial" w:hAnsi="Arial"/>
                <w:sz w:val="18"/>
                <w:szCs w:val="18"/>
                <w:color w:val="0000FF"/>
                <w:w w:val="87"/>
              </w:rPr>
            </w:pPr>
            <w:hyperlink w:anchor="page59">
              <w:r>
                <w:rPr>
                  <w:rFonts w:ascii="Arial" w:cs="Arial" w:eastAsia="Arial" w:hAnsi="Arial"/>
                  <w:sz w:val="18"/>
                  <w:szCs w:val="18"/>
                  <w:color w:val="0000FF"/>
                  <w:w w:val="87"/>
                </w:rPr>
                <w:t>19.</w:t>
              </w:r>
            </w:hyperlink>
          </w:p>
        </w:tc>
        <w:tc>
          <w:tcPr>
            <w:tcW w:w="9600" w:type="dxa"/>
            <w:vAlign w:val="bottom"/>
            <w:gridSpan w:val="39"/>
            <w:shd w:val="clear" w:color="auto" w:fill="CCEEFF"/>
          </w:tcPr>
          <w:p>
            <w:pPr>
              <w:ind w:left="2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Subsequent Events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2"/>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Item 2. Management's Discussion and Analysis of Financial Condition and Results of Operations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920" w:type="dxa"/>
            <w:vAlign w:val="bottom"/>
            <w:gridSpan w:val="33"/>
            <w:shd w:val="clear" w:color="auto" w:fill="CCEEFF"/>
          </w:tcPr>
          <w:p>
            <w:pPr>
              <w:spacing w:after="0" w:line="189" w:lineRule="exact"/>
              <w:rPr>
                <w:rFonts w:ascii="Arial" w:cs="Arial" w:eastAsia="Arial" w:hAnsi="Arial"/>
                <w:sz w:val="18"/>
                <w:szCs w:val="18"/>
                <w:color w:val="0000FF"/>
                <w:w w:val="92"/>
              </w:rPr>
            </w:pPr>
            <w:hyperlink w:anchor="page84">
              <w:r>
                <w:rPr>
                  <w:rFonts w:ascii="Arial" w:cs="Arial" w:eastAsia="Arial" w:hAnsi="Arial"/>
                  <w:sz w:val="18"/>
                  <w:szCs w:val="18"/>
                  <w:color w:val="0000FF"/>
                  <w:w w:val="92"/>
                </w:rPr>
                <w:t>Item 3. Quantitative and Qualitative Disclosures About Market Risk</w:t>
              </w:r>
            </w:hyperlink>
          </w:p>
        </w:tc>
        <w:tc>
          <w:tcPr>
            <w:tcW w:w="5140" w:type="dxa"/>
            <w:vAlign w:val="bottom"/>
            <w:gridSpan w:val="9"/>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20" w:type="dxa"/>
            <w:vAlign w:val="bottom"/>
            <w:gridSpan w:val="33"/>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Item 4. Controls and Procedures</w:t>
              </w:r>
            </w:hyperlink>
          </w:p>
        </w:tc>
        <w:tc>
          <w:tcPr>
            <w:tcW w:w="5140" w:type="dxa"/>
            <w:vAlign w:val="bottom"/>
            <w:gridSpan w:val="9"/>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85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3"/>
            <w:shd w:val="clear" w:color="auto" w:fill="CCEEFF"/>
          </w:tcPr>
          <w:p>
            <w:pPr>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Part II - Other Information</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2"/>
          </w:tcPr>
          <w:p>
            <w:pPr>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Item 1. Legal Proceedings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11"/>
            <w:shd w:val="clear" w:color="auto" w:fill="CCEEFF"/>
          </w:tcPr>
          <w:p>
            <w:pPr>
              <w:spacing w:after="0" w:line="189"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Item 1A. Risk Factors</w:t>
              </w:r>
            </w:hyperlink>
          </w:p>
        </w:tc>
        <w:tc>
          <w:tcPr>
            <w:tcW w:w="8460" w:type="dxa"/>
            <w:vAlign w:val="bottom"/>
            <w:gridSpan w:val="31"/>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2"/>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2. Unregistered Sales of Equity Securities and Use of Proceeds</w:t>
              </w:r>
            </w:hyperlink>
          </w:p>
        </w:tc>
        <w:tc>
          <w:tcPr>
            <w:tcW w:w="740" w:type="dxa"/>
            <w:vAlign w:val="bottom"/>
            <w:gridSpan w:val="3"/>
          </w:tcPr>
          <w:p>
            <w:pPr>
              <w:jc w:val="right"/>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42"/>
            <w:shd w:val="clear" w:color="auto" w:fill="CCEEFF"/>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3. Defaults Upon Senior Securities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24"/>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4. Mine Safety Disclosures</w:t>
              </w:r>
            </w:hyperlink>
          </w:p>
        </w:tc>
        <w:tc>
          <w:tcPr>
            <w:tcW w:w="7180" w:type="dxa"/>
            <w:vAlign w:val="bottom"/>
            <w:gridSpan w:val="18"/>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15"/>
            <w:shd w:val="clear" w:color="auto" w:fill="CCEEFF"/>
          </w:tcPr>
          <w:p>
            <w:pPr>
              <w:spacing w:after="0" w:line="189" w:lineRule="exact"/>
              <w:rPr>
                <w:rFonts w:ascii="Arial" w:cs="Arial" w:eastAsia="Arial" w:hAnsi="Arial"/>
                <w:sz w:val="18"/>
                <w:szCs w:val="18"/>
                <w:color w:val="0000FF"/>
                <w:w w:val="92"/>
              </w:rPr>
            </w:pPr>
            <w:hyperlink w:anchor="page92">
              <w:r>
                <w:rPr>
                  <w:rFonts w:ascii="Arial" w:cs="Arial" w:eastAsia="Arial" w:hAnsi="Arial"/>
                  <w:sz w:val="18"/>
                  <w:szCs w:val="18"/>
                  <w:color w:val="0000FF"/>
                  <w:w w:val="92"/>
                </w:rPr>
                <w:t>Item 5. Other Information</w:t>
              </w:r>
            </w:hyperlink>
          </w:p>
        </w:tc>
        <w:tc>
          <w:tcPr>
            <w:tcW w:w="8180" w:type="dxa"/>
            <w:vAlign w:val="bottom"/>
            <w:gridSpan w:val="27"/>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91</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15"/>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Item 6. Exhibits</w:t>
              </w:r>
            </w:hyperlink>
          </w:p>
        </w:tc>
        <w:tc>
          <w:tcPr>
            <w:tcW w:w="8180" w:type="dxa"/>
            <w:vAlign w:val="bottom"/>
            <w:gridSpan w:val="27"/>
          </w:tcPr>
          <w:p>
            <w:pPr>
              <w:spacing w:after="0"/>
              <w:rPr>
                <w:sz w:val="16"/>
                <w:szCs w:val="16"/>
                <w:color w:val="auto"/>
              </w:rPr>
            </w:pPr>
          </w:p>
        </w:tc>
        <w:tc>
          <w:tcPr>
            <w:tcW w:w="740" w:type="dxa"/>
            <w:vAlign w:val="bottom"/>
            <w:gridSpan w:val="3"/>
          </w:tcPr>
          <w:p>
            <w:pPr>
              <w:jc w:val="right"/>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3"/>
            <w:shd w:val="clear" w:color="auto" w:fill="CCEEFF"/>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Signatures</w:t>
              </w:r>
            </w:hyperlink>
          </w:p>
        </w:tc>
        <w:tc>
          <w:tcPr>
            <w:tcW w:w="7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94</w:t>
              </w:r>
            </w:hyperlink>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-6094095</wp:posOffset>
            </wp:positionV>
            <wp:extent cx="646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relationships with our existing merchant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 launches;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engage new originating bank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funding sources to support our business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and originated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macroeconomic conditions on our business, including the impact of the COVID-19 pandemic;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30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and our most recently filed Annual Report on Form 10-K. Other sections of this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16"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as an inactive textual reference and for convenience only,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7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2,567,401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1,466,558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247,402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226,074</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475,379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16,170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2,425,519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2,022,320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(158,289)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(117,760)</w:t>
            </w:r>
          </w:p>
        </w:tc>
        <w:tc>
          <w:tcPr>
            <w:tcW w:w="0" w:type="dxa"/>
            <w:vAlign w:val="bottom"/>
          </w:tcPr>
          <w:p>
            <w:pPr>
              <w:spacing w:after="0"/>
              <w:rPr>
                <w:sz w:val="1"/>
                <w:szCs w:val="1"/>
                <w:color w:val="auto"/>
              </w:rPr>
            </w:pPr>
          </w:p>
        </w:tc>
      </w:tr>
      <w:tr>
        <w:trPr>
          <w:trHeight w:val="179"/>
        </w:trPr>
        <w:tc>
          <w:tcPr>
            <w:tcW w:w="802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2,267,230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1,904,560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91,575</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113,573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62,499</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541,399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516,515</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66,190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67,930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316,047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227,377</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195,863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274,679</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6,952,449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45,589</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57,758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50,079</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2,751</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323,577</w:t>
            </w: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1,704,607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1,577,264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1,176,673</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Funding debt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645,998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680,602</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4,484,127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2,291,440</w:t>
            </w:r>
          </w:p>
        </w:tc>
        <w:tc>
          <w:tcPr>
            <w:tcW w:w="0" w:type="dxa"/>
            <w:vAlign w:val="bottom"/>
          </w:tcPr>
          <w:p>
            <w:pPr>
              <w:spacing w:after="0"/>
              <w:rPr>
                <w:sz w:val="1"/>
                <w:szCs w:val="1"/>
                <w:color w:val="auto"/>
              </w:rPr>
            </w:pPr>
          </w:p>
        </w:tc>
      </w:tr>
      <w:tr>
        <w:trPr>
          <w:trHeight w:val="166"/>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140"/>
              <w:spacing w:after="0" w:line="135" w:lineRule="exact"/>
              <w:rPr>
                <w:sz w:val="20"/>
                <w:szCs w:val="20"/>
                <w:color w:val="auto"/>
              </w:rPr>
            </w:pPr>
            <w:r>
              <w:rPr>
                <w:rFonts w:ascii="Arial" w:cs="Arial" w:eastAsia="Arial" w:hAnsi="Arial"/>
                <w:sz w:val="14"/>
                <w:szCs w:val="14"/>
                <w:color w:val="auto"/>
                <w:w w:val="93"/>
              </w:rPr>
              <w:t>Class A common stock, par value $0.00001 per share: 3,030,000,000 shares authorized, 222,313,582 shares issued and outstanding as</w:t>
            </w:r>
          </w:p>
        </w:tc>
        <w:tc>
          <w:tcPr>
            <w:tcW w:w="1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8020" w:type="dxa"/>
            <w:vAlign w:val="bottom"/>
          </w:tcPr>
          <w:p>
            <w:pPr>
              <w:ind w:left="300"/>
              <w:spacing w:after="0"/>
              <w:rPr>
                <w:sz w:val="20"/>
                <w:szCs w:val="20"/>
                <w:color w:val="auto"/>
              </w:rPr>
            </w:pPr>
            <w:r>
              <w:rPr>
                <w:rFonts w:ascii="Arial" w:cs="Arial" w:eastAsia="Arial" w:hAnsi="Arial"/>
                <w:sz w:val="14"/>
                <w:szCs w:val="14"/>
                <w:color w:val="auto"/>
              </w:rPr>
              <w:t>of December 31, 2021; 3,030,000,000 shares authorized, 181,131,728 shares issued and outstanding as of June 30, 2021</w:t>
            </w: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Class B common stock, par value $0.00001 per share: 140,000,000 shares authorized, 60,896,826 shares issued and outstanding as of</w:t>
            </w:r>
          </w:p>
        </w:tc>
        <w:tc>
          <w:tcPr>
            <w:tcW w:w="14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December 31, 2021; 140,000,000 authorized, 88,226,376 shares issued and outstanding as of June 30, 2021</w:t>
            </w:r>
          </w:p>
        </w:tc>
        <w:tc>
          <w:tcPr>
            <w:tcW w:w="14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3,828,778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3,467,236</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(1,364,835)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(898,485)</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gain (loss)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6,773</w:t>
            </w:r>
          </w:p>
        </w:tc>
        <w:tc>
          <w:tcPr>
            <w:tcW w:w="0" w:type="dxa"/>
            <w:vAlign w:val="bottom"/>
          </w:tcPr>
          <w:p>
            <w:pPr>
              <w:spacing w:after="0"/>
              <w:rPr>
                <w:sz w:val="1"/>
                <w:szCs w:val="1"/>
                <w:color w:val="auto"/>
              </w:rPr>
            </w:pPr>
          </w:p>
        </w:tc>
      </w:tr>
      <w:tr>
        <w:trPr>
          <w:trHeight w:val="183"/>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2,468,322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2,575,527</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6,952,449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4,866,967</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38" w:lineRule="exact"/>
        <w:rPr>
          <w:sz w:val="20"/>
          <w:szCs w:val="20"/>
          <w:color w:val="auto"/>
        </w:rPr>
      </w:pPr>
    </w:p>
    <w:p>
      <w:pPr>
        <w:ind w:right="80" w:firstLine="177"/>
        <w:spacing w:after="0" w:line="257" w:lineRule="auto"/>
        <w:rPr>
          <w:sz w:val="20"/>
          <w:szCs w:val="20"/>
          <w:color w:val="auto"/>
        </w:rPr>
      </w:pPr>
      <w:r>
        <w:rPr>
          <w:rFonts w:ascii="Arial" w:cs="Arial" w:eastAsia="Arial" w:hAnsi="Arial"/>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2021</w:t>
            </w:r>
          </w:p>
        </w:tc>
      </w:tr>
      <w:tr>
        <w:trPr>
          <w:trHeight w:val="17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14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163,578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142,385</w:t>
            </w: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held for investment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2,175,601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1,743,810</w:t>
            </w: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Allowance for credit losses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(127,195)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(94,463)</w:t>
            </w:r>
          </w:p>
        </w:tc>
      </w:tr>
      <w:tr>
        <w:trPr>
          <w:trHeight w:val="186"/>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held for investment, net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2,048,406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1,649,347</w:t>
            </w: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8,209</w:t>
            </w:r>
          </w:p>
        </w:tc>
      </w:tr>
      <w:tr>
        <w:trPr>
          <w:trHeight w:val="189"/>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3,683</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2,225,815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1,803,624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6"/>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2,896</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2,927</w:t>
            </w: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w:t>
            </w:r>
          </w:p>
        </w:tc>
      </w:tr>
      <w:tr>
        <w:trPr>
          <w:trHeight w:val="186"/>
        </w:trPr>
        <w:tc>
          <w:tcPr>
            <w:tcW w:w="802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3,820</w:t>
            </w:r>
          </w:p>
        </w:tc>
      </w:tr>
      <w:tr>
        <w:trPr>
          <w:trHeight w:val="192"/>
        </w:trPr>
        <w:tc>
          <w:tcPr>
            <w:tcW w:w="8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1,577,264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1,176,673</w:t>
            </w:r>
          </w:p>
        </w:tc>
      </w:tr>
      <w:tr>
        <w:trPr>
          <w:trHeight w:val="186"/>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Funding debt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508,164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607,394</w:t>
            </w: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2,096,073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1,793,427</w:t>
            </w: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129,742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10,197</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286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7"/>
        </w:trPr>
        <w:tc>
          <w:tcPr>
            <w:tcW w:w="47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140"/>
              <w:spacing w:after="0"/>
              <w:rPr>
                <w:sz w:val="20"/>
                <w:szCs w:val="20"/>
                <w:color w:val="auto"/>
              </w:rPr>
            </w:pPr>
            <w:r>
              <w:rPr>
                <w:rFonts w:ascii="Arial" w:cs="Arial" w:eastAsia="Arial" w:hAnsi="Arial"/>
                <w:sz w:val="14"/>
                <w:szCs w:val="14"/>
                <w:color w:val="auto"/>
              </w:rPr>
              <w:t>Merchant network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127,087</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99,630</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219,331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192,895</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Virtual card network revenue</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26,558</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10,820</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45,953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16,778</w:t>
            </w:r>
          </w:p>
        </w:tc>
        <w:tc>
          <w:tcPr>
            <w:tcW w:w="0" w:type="dxa"/>
            <w:vAlign w:val="bottom"/>
          </w:tcPr>
          <w:p>
            <w:pPr>
              <w:spacing w:after="0"/>
              <w:rPr>
                <w:sz w:val="1"/>
                <w:szCs w:val="1"/>
                <w:color w:val="auto"/>
              </w:rPr>
            </w:pPr>
          </w:p>
        </w:tc>
      </w:tr>
      <w:tr>
        <w:trPr>
          <w:trHeight w:val="179"/>
        </w:trPr>
        <w:tc>
          <w:tcPr>
            <w:tcW w:w="4720" w:type="dxa"/>
            <w:vAlign w:val="bottom"/>
          </w:tcPr>
          <w:p>
            <w:pPr>
              <w:ind w:left="240"/>
              <w:spacing w:after="0"/>
              <w:rPr>
                <w:sz w:val="20"/>
                <w:szCs w:val="20"/>
                <w:color w:val="auto"/>
              </w:rPr>
            </w:pPr>
            <w:r>
              <w:rPr>
                <w:rFonts w:ascii="Arial" w:cs="Arial" w:eastAsia="Arial" w:hAnsi="Arial"/>
                <w:sz w:val="14"/>
                <w:szCs w:val="14"/>
                <w:color w:val="auto"/>
              </w:rPr>
              <w:t>Total network revenue</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153,645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110,450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265,284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209,673</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73,857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255,657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128,094</w:t>
            </w:r>
          </w:p>
        </w:tc>
        <w:tc>
          <w:tcPr>
            <w:tcW w:w="0" w:type="dxa"/>
            <w:vAlign w:val="bottom"/>
          </w:tcPr>
          <w:p>
            <w:pPr>
              <w:spacing w:after="0"/>
              <w:rPr>
                <w:sz w:val="1"/>
                <w:szCs w:val="1"/>
                <w:color w:val="auto"/>
              </w:rPr>
            </w:pPr>
          </w:p>
        </w:tc>
      </w:tr>
      <w:tr>
        <w:trPr>
          <w:trHeight w:val="186"/>
        </w:trPr>
        <w:tc>
          <w:tcPr>
            <w:tcW w:w="4720" w:type="dxa"/>
            <w:vAlign w:val="bottom"/>
          </w:tcPr>
          <w:p>
            <w:pPr>
              <w:ind w:left="140"/>
              <w:spacing w:after="0"/>
              <w:rPr>
                <w:sz w:val="20"/>
                <w:szCs w:val="20"/>
                <w:color w:val="auto"/>
              </w:rPr>
            </w:pPr>
            <w:r>
              <w:rPr>
                <w:rFonts w:ascii="Arial" w:cs="Arial" w:eastAsia="Arial" w:hAnsi="Arial"/>
                <w:sz w:val="14"/>
                <w:szCs w:val="14"/>
                <w:color w:val="auto"/>
              </w:rPr>
              <w:t>Gain on sales of loans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57,690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14,560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88,669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30,994</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Servicing income</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5,174</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20,786</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9,258</w:t>
            </w:r>
          </w:p>
        </w:tc>
        <w:tc>
          <w:tcPr>
            <w:tcW w:w="0" w:type="dxa"/>
            <w:vAlign w:val="bottom"/>
          </w:tcPr>
          <w:p>
            <w:pPr>
              <w:spacing w:after="0"/>
              <w:rPr>
                <w:sz w:val="1"/>
                <w:szCs w:val="1"/>
                <w:color w:val="auto"/>
              </w:rPr>
            </w:pPr>
          </w:p>
        </w:tc>
      </w:tr>
      <w:tr>
        <w:trPr>
          <w:trHeight w:val="181"/>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361,011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204,041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630,396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378,019</w:t>
            </w: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140"/>
              <w:spacing w:after="0"/>
              <w:rPr>
                <w:sz w:val="20"/>
                <w:szCs w:val="20"/>
                <w:color w:val="auto"/>
              </w:rPr>
            </w:pPr>
            <w:r>
              <w:rPr>
                <w:rFonts w:ascii="Arial" w:cs="Arial" w:eastAsia="Arial" w:hAnsi="Arial"/>
                <w:sz w:val="14"/>
                <w:szCs w:val="14"/>
                <w:color w:val="auto"/>
              </w:rPr>
              <w:t>Loss on loan purchase commitment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65,265</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67,768</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116,943</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133,636</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credit losses</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116,287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41,452</w:t>
            </w:r>
          </w:p>
        </w:tc>
        <w:tc>
          <w:tcPr>
            <w:tcW w:w="0" w:type="dxa"/>
            <w:vAlign w:val="bottom"/>
          </w:tcPr>
          <w:p>
            <w:pPr>
              <w:spacing w:after="0"/>
              <w:rPr>
                <w:sz w:val="1"/>
                <w:szCs w:val="1"/>
                <w:color w:val="auto"/>
              </w:rPr>
            </w:pPr>
          </w:p>
        </w:tc>
      </w:tr>
      <w:tr>
        <w:trPr>
          <w:trHeight w:val="186"/>
        </w:trPr>
        <w:tc>
          <w:tcPr>
            <w:tcW w:w="4720" w:type="dxa"/>
            <w:vAlign w:val="bottom"/>
          </w:tcPr>
          <w:p>
            <w:pPr>
              <w:ind w:left="140"/>
              <w:spacing w:after="0"/>
              <w:rPr>
                <w:sz w:val="20"/>
                <w:szCs w:val="20"/>
                <w:color w:val="auto"/>
              </w:rPr>
            </w:pPr>
            <w:r>
              <w:rPr>
                <w:rFonts w:ascii="Arial" w:cs="Arial" w:eastAsia="Arial" w:hAnsi="Arial"/>
                <w:sz w:val="14"/>
                <w:szCs w:val="14"/>
                <w:color w:val="auto"/>
              </w:rPr>
              <w:t>Funding costs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17,700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12,060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34,453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22,412</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Processing and servicing</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41,849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16,802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67,050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30,300</w:t>
            </w:r>
          </w:p>
        </w:tc>
        <w:tc>
          <w:tcPr>
            <w:tcW w:w="0" w:type="dxa"/>
            <w:vAlign w:val="bottom"/>
          </w:tcPr>
          <w:p>
            <w:pPr>
              <w:spacing w:after="0"/>
              <w:rPr>
                <w:sz w:val="1"/>
                <w:szCs w:val="1"/>
                <w:color w:val="auto"/>
              </w:rPr>
            </w:pPr>
          </w:p>
        </w:tc>
      </w:tr>
      <w:tr>
        <w:trPr>
          <w:trHeight w:val="186"/>
        </w:trPr>
        <w:tc>
          <w:tcPr>
            <w:tcW w:w="4720" w:type="dxa"/>
            <w:vAlign w:val="bottom"/>
          </w:tcPr>
          <w:p>
            <w:pPr>
              <w:ind w:left="140"/>
              <w:spacing w:after="0"/>
              <w:rPr>
                <w:sz w:val="20"/>
                <w:szCs w:val="20"/>
                <w:color w:val="auto"/>
              </w:rPr>
            </w:pPr>
            <w:r>
              <w:rPr>
                <w:rFonts w:ascii="Arial" w:cs="Arial" w:eastAsia="Arial" w:hAnsi="Arial"/>
                <w:sz w:val="14"/>
                <w:szCs w:val="14"/>
                <w:color w:val="auto"/>
              </w:rPr>
              <w:t>Technology and data analytics</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94,989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41,634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173,002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75,402</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 and marketing</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143,476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207,436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61,694</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141,292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40,916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277,496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73,189</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557,211</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230,813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992,667</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438,085</w:t>
            </w:r>
          </w:p>
        </w:tc>
        <w:tc>
          <w:tcPr>
            <w:tcW w:w="0" w:type="dxa"/>
            <w:vAlign w:val="bottom"/>
          </w:tcPr>
          <w:p>
            <w:pPr>
              <w:spacing w:after="0"/>
              <w:rPr>
                <w:sz w:val="1"/>
                <w:szCs w:val="1"/>
                <w:color w:val="auto"/>
              </w:rPr>
            </w:pPr>
          </w:p>
        </w:tc>
      </w:tr>
      <w:tr>
        <w:trPr>
          <w:trHeight w:val="181"/>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(196,200)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(26,772)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(362,271)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(60,066)</w:t>
            </w: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 net</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36,741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(103,632)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29,685</w:t>
            </w:r>
          </w:p>
        </w:tc>
        <w:tc>
          <w:tcPr>
            <w:tcW w:w="0" w:type="dxa"/>
            <w:vAlign w:val="bottom"/>
          </w:tcPr>
          <w:p>
            <w:pPr>
              <w:spacing w:after="0"/>
              <w:rPr>
                <w:sz w:val="1"/>
                <w:szCs w:val="1"/>
                <w:color w:val="auto"/>
              </w:rPr>
            </w:pPr>
          </w:p>
        </w:tc>
      </w:tr>
      <w:tr>
        <w:trPr>
          <w:trHeight w:val="181"/>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(159,459)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(26,532)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(465,903)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(30,381)</w:t>
            </w:r>
          </w:p>
        </w:tc>
        <w:tc>
          <w:tcPr>
            <w:tcW w:w="0" w:type="dxa"/>
            <w:vAlign w:val="bottom"/>
          </w:tcPr>
          <w:p>
            <w:pPr>
              <w:spacing w:after="0"/>
              <w:rPr>
                <w:sz w:val="1"/>
                <w:szCs w:val="1"/>
                <w:color w:val="auto"/>
              </w:rPr>
            </w:pPr>
          </w:p>
        </w:tc>
      </w:tr>
      <w:tr>
        <w:trPr>
          <w:trHeight w:val="184"/>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1"/>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(159,735)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(26,610)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(466,350)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(30,556)</w:t>
            </w: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2,341</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1,814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(1,461)</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securities available for sale, net</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(Loss) Income</w:t>
            </w:r>
          </w:p>
        </w:tc>
        <w:tc>
          <w:tcPr>
            <w:tcW w:w="3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1,684</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1,814</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21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(158,051)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(24,796)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(468,747)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(28,337)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7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w w:val="97"/>
              </w:rPr>
              <w:t>Net loss per share attributable to common stockholders for Class A and</w:t>
            </w:r>
          </w:p>
        </w:tc>
        <w:tc>
          <w:tcPr>
            <w:tcW w:w="3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Class B</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(0.38)</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92"/>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88"/>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281,533,888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70,801,521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273,588,094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67,795,598</w:t>
            </w:r>
          </w:p>
        </w:tc>
        <w:tc>
          <w:tcPr>
            <w:tcW w:w="0" w:type="dxa"/>
            <w:vAlign w:val="bottom"/>
          </w:tcPr>
          <w:p>
            <w:pPr>
              <w:spacing w:after="0"/>
              <w:rPr>
                <w:sz w:val="1"/>
                <w:szCs w:val="1"/>
                <w:color w:val="auto"/>
              </w:rPr>
            </w:pPr>
          </w:p>
        </w:tc>
      </w:tr>
      <w:tr>
        <w:trPr>
          <w:trHeight w:val="182"/>
        </w:trPr>
        <w:tc>
          <w:tcPr>
            <w:tcW w:w="4720" w:type="dxa"/>
            <w:vAlign w:val="bottom"/>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281,533,888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70,801,521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273,588,094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69,534,680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REDEEMABLE CONVERTIBLE PREFERRED STOCK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7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1040" w:type="dxa"/>
            <w:vAlign w:val="bottom"/>
            <w:gridSpan w:val="3"/>
            <w:vMerge w:val="restart"/>
          </w:tcPr>
          <w:p>
            <w:pPr>
              <w:ind w:left="80"/>
              <w:spacing w:after="0" w:line="95"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4"/>
                <w:szCs w:val="4"/>
                <w:color w:val="auto"/>
              </w:rPr>
            </w:pPr>
          </w:p>
        </w:tc>
        <w:tc>
          <w:tcPr>
            <w:tcW w:w="11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4"/>
                <w:szCs w:val="4"/>
                <w:color w:val="auto"/>
              </w:rPr>
            </w:pPr>
          </w:p>
        </w:tc>
        <w:tc>
          <w:tcPr>
            <w:tcW w:w="800" w:type="dxa"/>
            <w:vAlign w:val="bottom"/>
            <w:vMerge w:val="restart"/>
          </w:tcPr>
          <w:p>
            <w:pPr>
              <w:jc w:val="center"/>
              <w:ind w:right="89"/>
              <w:spacing w:after="0" w:line="95" w:lineRule="exact"/>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8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269,358,104</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3,467,236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(898,485)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2,575,527</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7,403,503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37,470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37,470</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in acquisition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183,733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960" w:type="dxa"/>
            <w:vAlign w:val="bottom"/>
          </w:tcPr>
          <w:p>
            <w:pPr>
              <w:jc w:val="right"/>
              <w:spacing w:after="0"/>
              <w:rPr>
                <w:sz w:val="20"/>
                <w:szCs w:val="20"/>
                <w:color w:val="auto"/>
              </w:rPr>
            </w:pPr>
            <w:r>
              <w:rPr>
                <w:rFonts w:ascii="Arial" w:cs="Arial" w:eastAsia="Arial" w:hAnsi="Arial"/>
                <w:sz w:val="14"/>
                <w:szCs w:val="14"/>
                <w:color w:val="auto"/>
              </w:rPr>
              <w:t>772,653</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104,879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104,879</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(39,817)</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securities available for sale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(306,615)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(306,615)</w:t>
            </w: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277,717,172</w:t>
            </w:r>
          </w:p>
        </w:tc>
        <w:tc>
          <w:tcPr>
            <w:tcW w:w="8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3,579,764</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(1,205,100)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2,692</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2,377,359</w:t>
            </w:r>
          </w:p>
        </w:tc>
        <w:tc>
          <w:tcPr>
            <w:tcW w:w="0" w:type="dxa"/>
            <w:vAlign w:val="bottom"/>
          </w:tcPr>
          <w:p>
            <w:pPr>
              <w:spacing w:after="0"/>
              <w:rPr>
                <w:sz w:val="1"/>
                <w:szCs w:val="1"/>
                <w:color w:val="auto"/>
              </w:rPr>
            </w:pPr>
          </w:p>
        </w:tc>
      </w:tr>
      <w:tr>
        <w:trPr>
          <w:trHeight w:val="179"/>
        </w:trPr>
        <w:tc>
          <w:tcPr>
            <w:tcW w:w="49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4"/>
                <w:szCs w:val="14"/>
                <w:color w:val="auto"/>
              </w:rPr>
              <w:t>4,689,973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21,674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21,674</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803,263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Vesting of warrants for common stock</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198,383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198,383</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101,920</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(72,963)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(72,963)</w:t>
            </w: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color w:val="auto"/>
              </w:rPr>
              <w:t>Unrealized gain (loss) on securities available for sale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(159,735)</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(159,735)</w:t>
            </w:r>
          </w:p>
        </w:tc>
        <w:tc>
          <w:tcPr>
            <w:tcW w:w="0" w:type="dxa"/>
            <w:vAlign w:val="bottom"/>
          </w:tcPr>
          <w:p>
            <w:pPr>
              <w:spacing w:after="0"/>
              <w:rPr>
                <w:sz w:val="1"/>
                <w:szCs w:val="1"/>
                <w:color w:val="auto"/>
              </w:rPr>
            </w:pPr>
          </w:p>
        </w:tc>
      </w:tr>
      <w:tr>
        <w:trPr>
          <w:trHeight w:val="186"/>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283,210,408</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3,828,778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(1,364,835)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4,376</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2,468,322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REDEEMABLE CONVERTIBLE PREFERRED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AND STOCKHOLDERS’ EQUITY (DEFICIT), CONT.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2060" w:type="dxa"/>
            <w:vAlign w:val="bottom"/>
            <w:tcBorders>
              <w:right w:val="single" w:sz="8" w:color="auto"/>
            </w:tcBorders>
            <w:gridSpan w:val="5"/>
            <w:vMerge w:val="restart"/>
          </w:tcPr>
          <w:p>
            <w:pPr>
              <w:ind w:left="22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5"/>
                <w:szCs w:val="15"/>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06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81"/>
        </w:trPr>
        <w:tc>
          <w:tcPr>
            <w:tcW w:w="2820" w:type="dxa"/>
            <w:vAlign w:val="bottom"/>
          </w:tcPr>
          <w:p>
            <w:pPr>
              <w:spacing w:after="0"/>
              <w:rPr>
                <w:sz w:val="7"/>
                <w:szCs w:val="7"/>
                <w:color w:val="auto"/>
              </w:rPr>
            </w:pPr>
          </w:p>
        </w:tc>
        <w:tc>
          <w:tcPr>
            <w:tcW w:w="1960" w:type="dxa"/>
            <w:vAlign w:val="bottom"/>
            <w:gridSpan w:val="4"/>
            <w:vMerge w:val="restart"/>
          </w:tcPr>
          <w:p>
            <w:pPr>
              <w:jc w:val="right"/>
              <w:ind w:right="42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820" w:type="dxa"/>
            <w:vAlign w:val="bottom"/>
          </w:tcPr>
          <w:p>
            <w:pPr>
              <w:spacing w:after="0"/>
              <w:rPr>
                <w:sz w:val="9"/>
                <w:szCs w:val="9"/>
                <w:color w:val="auto"/>
              </w:rPr>
            </w:pPr>
          </w:p>
        </w:tc>
        <w:tc>
          <w:tcPr>
            <w:tcW w:w="196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Paid-In</w:t>
            </w:r>
          </w:p>
        </w:tc>
        <w:tc>
          <w:tcPr>
            <w:tcW w:w="1040" w:type="dxa"/>
            <w:vAlign w:val="bottom"/>
            <w:gridSpan w:val="3"/>
          </w:tcPr>
          <w:p>
            <w:pPr>
              <w:ind w:left="80"/>
              <w:spacing w:after="0" w:line="10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1140" w:type="dxa"/>
            <w:vAlign w:val="bottom"/>
            <w:gridSpan w:val="2"/>
          </w:tcPr>
          <w:p>
            <w:pPr>
              <w:jc w:val="center"/>
              <w:ind w:right="180"/>
              <w:spacing w:after="0" w:line="107" w:lineRule="exact"/>
              <w:rPr>
                <w:sz w:val="20"/>
                <w:szCs w:val="20"/>
                <w:color w:val="auto"/>
              </w:rPr>
            </w:pPr>
            <w:r>
              <w:rPr>
                <w:rFonts w:ascii="Arial" w:cs="Arial" w:eastAsia="Arial" w:hAnsi="Arial"/>
                <w:sz w:val="12"/>
                <w:szCs w:val="12"/>
                <w:b w:val="1"/>
                <w:bCs w:val="1"/>
                <w:color w:val="auto"/>
              </w:rPr>
              <w:t>Comprehensive</w:t>
            </w:r>
          </w:p>
        </w:tc>
        <w:tc>
          <w:tcPr>
            <w:tcW w:w="160" w:type="dxa"/>
            <w:vAlign w:val="bottom"/>
          </w:tcPr>
          <w:p>
            <w:pPr>
              <w:spacing w:after="0"/>
              <w:rPr>
                <w:sz w:val="9"/>
                <w:szCs w:val="9"/>
                <w:color w:val="auto"/>
              </w:rPr>
            </w:pPr>
          </w:p>
        </w:tc>
        <w:tc>
          <w:tcPr>
            <w:tcW w:w="800" w:type="dxa"/>
            <w:vAlign w:val="bottom"/>
          </w:tcPr>
          <w:p>
            <w:pPr>
              <w:jc w:val="center"/>
              <w:ind w:right="89"/>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7"/>
                <w:szCs w:val="17"/>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84"/>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 exercise of</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388,246</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1,741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 option</w:t>
            </w: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(115,625)</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redeemable convertible preferred</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21,824,141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434,434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20" w:type="dxa"/>
            <w:vAlign w:val="bottom"/>
          </w:tcPr>
          <w:p>
            <w:pPr>
              <w:ind w:left="180"/>
              <w:spacing w:after="0"/>
              <w:rPr>
                <w:sz w:val="20"/>
                <w:szCs w:val="20"/>
                <w:color w:val="auto"/>
              </w:rPr>
            </w:pPr>
            <w:r>
              <w:rPr>
                <w:rFonts w:ascii="Arial" w:cs="Arial" w:eastAsia="Arial" w:hAnsi="Arial"/>
                <w:sz w:val="14"/>
                <w:szCs w:val="14"/>
                <w:color w:val="auto"/>
              </w:rPr>
              <w:t>stock, net of issuance costs of $440</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8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Vesting and exercise of warrants for common</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5,074,398</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convertible debt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4,444,321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rPr>
              <w:t>Effects of adoption of new accounting</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(9,980)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(9,980)</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standards</w:t>
            </w: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8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148,384,433</w:t>
            </w: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1,327,163</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53,031,446</w:t>
            </w: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114,226</w:t>
            </w: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(461,093)</w:t>
            </w: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w:t>
            </w:r>
          </w:p>
        </w:tc>
        <w:tc>
          <w:tcPr>
            <w:tcW w:w="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(346,764)</w:t>
            </w:r>
          </w:p>
        </w:tc>
        <w:tc>
          <w:tcPr>
            <w:tcW w:w="0" w:type="dxa"/>
            <w:vAlign w:val="bottom"/>
          </w:tcPr>
          <w:p>
            <w:pPr>
              <w:spacing w:after="0"/>
              <w:rPr>
                <w:sz w:val="1"/>
                <w:szCs w:val="1"/>
                <w:color w:val="auto"/>
              </w:rPr>
            </w:pPr>
          </w:p>
        </w:tc>
      </w:tr>
      <w:tr>
        <w:trPr>
          <w:trHeight w:val="115"/>
        </w:trPr>
        <w:tc>
          <w:tcPr>
            <w:tcW w:w="2820" w:type="dxa"/>
            <w:vAlign w:val="bottom"/>
          </w:tcPr>
          <w:p>
            <w:pPr>
              <w:ind w:left="20"/>
              <w:spacing w:after="0" w:line="115" w:lineRule="exact"/>
              <w:rPr>
                <w:sz w:val="20"/>
                <w:szCs w:val="20"/>
                <w:color w:val="auto"/>
              </w:rPr>
            </w:pPr>
            <w:r>
              <w:rPr>
                <w:rFonts w:ascii="Arial" w:cs="Arial" w:eastAsia="Arial" w:hAnsi="Arial"/>
                <w:sz w:val="13"/>
                <w:szCs w:val="13"/>
                <w:color w:val="auto"/>
              </w:rPr>
              <w:t>Issuance of common stock upon exercise of</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6,220,024</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21,676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21,676</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stock option</w:t>
            </w: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(12,100)</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line="135" w:lineRule="exact"/>
              <w:rPr>
                <w:sz w:val="20"/>
                <w:szCs w:val="20"/>
                <w:color w:val="auto"/>
              </w:rPr>
            </w:pPr>
            <w:r>
              <w:rPr>
                <w:rFonts w:ascii="Arial" w:cs="Arial" w:eastAsia="Arial" w:hAnsi="Arial"/>
                <w:sz w:val="14"/>
                <w:szCs w:val="14"/>
                <w:color w:val="auto"/>
              </w:rPr>
              <w:t>Issuance of preferred stock, net of issuance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12,546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20" w:type="dxa"/>
            <w:vAlign w:val="bottom"/>
          </w:tcPr>
          <w:p>
            <w:pPr>
              <w:ind w:left="180"/>
              <w:spacing w:after="0"/>
              <w:rPr>
                <w:sz w:val="20"/>
                <w:szCs w:val="20"/>
                <w:color w:val="auto"/>
              </w:rPr>
            </w:pPr>
            <w:r>
              <w:rPr>
                <w:rFonts w:ascii="Arial" w:cs="Arial" w:eastAsia="Arial" w:hAnsi="Arial"/>
                <w:sz w:val="14"/>
                <w:szCs w:val="14"/>
                <w:color w:val="auto"/>
              </w:rPr>
              <w:t>costs of $143</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189"/>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148,396,979</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1,327,271</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59,239,370</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142,477</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(487,703)</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1,917</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(343,309)</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Six Months Ended December 31,</w:t>
            </w:r>
          </w:p>
        </w:tc>
      </w:tr>
      <w:tr>
        <w:trPr>
          <w:trHeight w:val="187"/>
        </w:trPr>
        <w:tc>
          <w:tcPr>
            <w:tcW w:w="7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70"/>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(466,350)</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(30,556)</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116,287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41,452</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premiums and discounts on loans, net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(31,453)</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Gain on sales of loans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(88,669)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(30,994)</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Changes in fair value of assets and liabilities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(30,568)</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Amortization of commercial agreement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31,300</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Commercial agreement warrant expense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64,854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181,726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12,724</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22,505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7,071</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Purchases of loans held for sale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(2,614,002)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(1,033,915)</w:t>
            </w:r>
          </w:p>
        </w:tc>
      </w:tr>
      <w:tr>
        <w:trPr>
          <w:trHeight w:val="192"/>
        </w:trPr>
        <w:tc>
          <w:tcPr>
            <w:tcW w:w="79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sale of loans held for sale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2,607,759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1,001,673</w:t>
            </w:r>
          </w:p>
        </w:tc>
      </w:tr>
      <w:tr>
        <w:trPr>
          <w:trHeight w:val="186"/>
        </w:trPr>
        <w:tc>
          <w:tcPr>
            <w:tcW w:w="7940" w:type="dxa"/>
            <w:vAlign w:val="bottom"/>
          </w:tcPr>
          <w:p>
            <w:pPr>
              <w:ind w:left="24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65,422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(89,509)</w:t>
            </w: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7,862</w:t>
            </w:r>
          </w:p>
        </w:tc>
      </w:tr>
      <w:tr>
        <w:trPr>
          <w:trHeight w:val="186"/>
        </w:trPr>
        <w:tc>
          <w:tcPr>
            <w:tcW w:w="7940" w:type="dxa"/>
            <w:vAlign w:val="bottom"/>
          </w:tcPr>
          <w:p>
            <w:pPr>
              <w:ind w:left="360"/>
              <w:spacing w:after="0"/>
              <w:rPr>
                <w:sz w:val="20"/>
                <w:szCs w:val="20"/>
                <w:color w:val="auto"/>
              </w:rPr>
            </w:pPr>
            <w:r>
              <w:rPr>
                <w:rFonts w:ascii="Arial" w:cs="Arial" w:eastAsia="Arial" w:hAnsi="Arial"/>
                <w:sz w:val="14"/>
                <w:szCs w:val="14"/>
                <w:color w:val="auto"/>
              </w:rPr>
              <w:t>Payable to third-party loan owners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8,046</w:t>
            </w:r>
          </w:p>
        </w:tc>
      </w:tr>
      <w:tr>
        <w:trPr>
          <w:trHeight w:val="192"/>
        </w:trPr>
        <w:tc>
          <w:tcPr>
            <w:tcW w:w="79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interest payable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r>
      <w:tr>
        <w:trPr>
          <w:trHeight w:val="186"/>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89,305</w:t>
            </w: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(75,104)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(49,959)</w:t>
            </w:r>
          </w:p>
        </w:tc>
      </w:tr>
      <w:tr>
        <w:trPr>
          <w:trHeight w:val="168"/>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and origination of loans held for investment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(4,652,346)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(2,691,788)</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the sale of loans held for investment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780,276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204,960</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repayments and other loan servicing activity</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3,563,123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1,700,809</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Acquisition, net of cash and restricted cash acquired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(113,628)</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to property, equipment and software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(7,063)</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Purchases of securities available for sale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(511,724)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maturities and repayments of securities available for sale</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59,126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Other investing cash inflows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investing cash outflows</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(819,573)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(906,710)</w:t>
            </w:r>
          </w:p>
        </w:tc>
      </w:tr>
      <w:tr>
        <w:trPr>
          <w:trHeight w:val="172"/>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issuance of convertible debt,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1,704,300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funding debt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1,497,674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1,533,379</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issuance of notes and residual trust certificates by securitization trusts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499,640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896,455</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redeemable convertible preferred stock, net</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434,542</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Payment of debt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(8,151)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(6,787)</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Principal repayments of funding debt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(1,527,568)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(1,544,502)</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Principal repayments of notes issued by securitization trusts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(102,467)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(70,390)</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common stock options and warrants and contributions to ESPP</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23,417</w:t>
            </w:r>
          </w:p>
        </w:tc>
      </w:tr>
      <w:tr>
        <w:trPr>
          <w:trHeight w:val="186"/>
        </w:trPr>
        <w:tc>
          <w:tcPr>
            <w:tcW w:w="794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(783)</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of tax withholding for stock-based compensation</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(112,780)</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2,010,213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1,265,331</w:t>
            </w:r>
          </w:p>
        </w:tc>
      </w:tr>
      <w:tr>
        <w:trPr>
          <w:trHeight w:val="192"/>
        </w:trPr>
        <w:tc>
          <w:tcPr>
            <w:tcW w:w="7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and Cash Equivalents and Restricted Cash</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1,122,171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308,662</w:t>
            </w:r>
          </w:p>
        </w:tc>
      </w:tr>
      <w:tr>
        <w:trPr>
          <w:trHeight w:val="18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1,692,632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328,128</w:t>
            </w:r>
          </w:p>
        </w:tc>
      </w:tr>
      <w:tr>
        <w:trPr>
          <w:trHeight w:val="186"/>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2,814,803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636,790</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66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5"/>
              </w:rPr>
              <w:t>Six Months Ended December 31,</w:t>
            </w:r>
          </w:p>
        </w:tc>
        <w:tc>
          <w:tcPr>
            <w:tcW w:w="520" w:type="dxa"/>
            <w:vAlign w:val="bottom"/>
            <w:tcBorders>
              <w:bottom w:val="single" w:sz="8" w:color="auto"/>
            </w:tcBorders>
          </w:tcPr>
          <w:p>
            <w:pPr>
              <w:spacing w:after="0"/>
              <w:rPr>
                <w:sz w:val="16"/>
                <w:szCs w:val="16"/>
                <w:color w:val="auto"/>
              </w:rPr>
            </w:pPr>
          </w:p>
        </w:tc>
      </w:tr>
      <w:tr>
        <w:trPr>
          <w:trHeight w:val="187"/>
        </w:trPr>
        <w:tc>
          <w:tcPr>
            <w:tcW w:w="8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r>
      <w:tr>
        <w:trPr>
          <w:trHeight w:val="17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Cash payments for interest expense</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23,143</w:t>
            </w:r>
          </w:p>
        </w:tc>
        <w:tc>
          <w:tcPr>
            <w:tcW w:w="80" w:type="dxa"/>
            <w:vAlign w:val="bottom"/>
          </w:tcPr>
          <w:p>
            <w:pPr>
              <w:spacing w:after="0"/>
              <w:rPr>
                <w:sz w:val="16"/>
                <w:szCs w:val="16"/>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16,716</w:t>
            </w: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paid for operating leases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8,232</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w:t>
            </w: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Cash paid for income taxes</w:t>
            </w:r>
          </w:p>
        </w:tc>
        <w:tc>
          <w:tcPr>
            <w:tcW w:w="9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9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25,073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1,225</w:t>
            </w: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in connection with acquisition</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60" w:type="dxa"/>
            <w:vAlign w:val="bottom"/>
          </w:tcPr>
          <w:p>
            <w:pPr>
              <w:ind w:left="140"/>
              <w:spacing w:after="0"/>
              <w:rPr>
                <w:sz w:val="20"/>
                <w:szCs w:val="20"/>
                <w:color w:val="auto"/>
              </w:rPr>
            </w:pPr>
            <w:r>
              <w:rPr>
                <w:rFonts w:ascii="Arial" w:cs="Arial" w:eastAsia="Arial" w:hAnsi="Arial"/>
                <w:sz w:val="14"/>
                <w:szCs w:val="14"/>
                <w:color w:val="auto"/>
              </w:rPr>
              <w:t>Additions to property and equipment included in accrued expenses</w:t>
            </w:r>
          </w:p>
        </w:tc>
        <w:tc>
          <w:tcPr>
            <w:tcW w:w="9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8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warrants in exchange for commercial agreement</w:t>
            </w:r>
          </w:p>
        </w:tc>
        <w:tc>
          <w:tcPr>
            <w:tcW w:w="9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Conversion of convertible debt</w:t>
            </w:r>
          </w:p>
        </w:tc>
        <w:tc>
          <w:tcPr>
            <w:tcW w:w="9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88,559</w:t>
            </w: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56"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partnerships with originating banks, and capital markets partners,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Loans are self-originated or funded and issued by our originating bank partners.</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2021. The balance sheet as of June 30, 2021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variable consideration for revenue, the allowance for credit losses, capitalized internal-use software development costs, valuation allowance for deferred tax assets, loss on loan purchase commitment, the fair value of servicing assets and liabilities, discount on self-originated loans,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value and useful lives of tangible and intangible assets acquired and liabilities assumed resulting from business combinations, the fair value of contingent consideration related to business combinations, the evaluation for impairment of intangible assets and goodwill, the incremental borrowing rate used in discounting our lease liabilities,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2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Immaterial Correction of Prior Period Amounts</w:t>
      </w:r>
    </w:p>
    <w:p>
      <w:pPr>
        <w:spacing w:after="0" w:line="25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Subsequent to the issuance of our financial statements included in our Annual Report on Form 10-K for the fiscal year ended June 30, 2021, which was filed with the SEC on September 17, 2021, we identified understatements in certain prior period amounts related to the fair value measurement of contingent consideration and stock-based compensation.</w:t>
      </w:r>
    </w:p>
    <w:p>
      <w:pPr>
        <w:spacing w:after="0" w:line="211" w:lineRule="exact"/>
        <w:rPr>
          <w:sz w:val="20"/>
          <w:szCs w:val="20"/>
          <w:color w:val="auto"/>
        </w:rPr>
      </w:pPr>
    </w:p>
    <w:p>
      <w:pPr>
        <w:jc w:val="both"/>
        <w:ind w:right="160" w:firstLine="648"/>
        <w:spacing w:after="0" w:line="255" w:lineRule="auto"/>
        <w:rPr>
          <w:sz w:val="20"/>
          <w:szCs w:val="20"/>
          <w:color w:val="auto"/>
        </w:rPr>
      </w:pPr>
      <w:r>
        <w:rPr>
          <w:rFonts w:ascii="Arial" w:cs="Arial" w:eastAsia="Arial" w:hAnsi="Arial"/>
          <w:sz w:val="18"/>
          <w:szCs w:val="18"/>
          <w:color w:val="auto"/>
        </w:rPr>
        <w:t>We remeasure the fair value of the contingent consideration liability recorded in connection with the PayBright, Inc. (“PayBright”) acquisition at each reporting date. An incorrect input in the Monte Carlo simulation used to estimate the fair value as of June 30, 2021, resulted in an understatement of accrued expenses and other liabilities of $5.6 million as of June 30, 2021.</w:t>
      </w:r>
    </w:p>
    <w:p>
      <w:pPr>
        <w:spacing w:after="0" w:line="3"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measure stock-based compensation based on the fair value of an award at the grant date and recognize expense over the vesting period of the award based on the estimated portion of the award that is expected to vest. An incorrect determination of the grant date and service inception dates for certain awards granted prior to our initial public offering (“IPO”), as well as incorrect treatment of expense recognition for certain terminated employees, resulted in an understatement of additional paid in capital of $4.5 million as of June 30, 2021.</w:t>
      </w:r>
    </w:p>
    <w:p>
      <w:pPr>
        <w:spacing w:after="0" w:line="203"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Accordingly, we have corrected the relevant financial statements and related footnotes as of June 30, 2021 within these interim condensed consolidated financial statements from amounts previously reported. We have evaluated the materiality of these misstatements based on an analysis of quantitative and qualitative factors and concluded they were not material to the prior period financial statements, individually or in aggregate.</w:t>
      </w:r>
    </w:p>
    <w:p>
      <w:pPr>
        <w:spacing w:after="0" w:line="176"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provides the impact of the correction on our consolidated balance sheet as of June 30, 2021, as presented below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As of June 30, 2021</w:t>
            </w:r>
          </w:p>
        </w:tc>
        <w:tc>
          <w:tcPr>
            <w:tcW w:w="1800" w:type="dxa"/>
            <w:vAlign w:val="bottom"/>
            <w:tcBorders>
              <w:bottom w:val="single" w:sz="8" w:color="auto"/>
            </w:tcBorders>
          </w:tcPr>
          <w:p>
            <w:pPr>
              <w:spacing w:after="0"/>
              <w:rPr>
                <w:sz w:val="18"/>
                <w:szCs w:val="18"/>
                <w:color w:val="auto"/>
              </w:rPr>
            </w:pPr>
          </w:p>
        </w:tc>
      </w:tr>
      <w:tr>
        <w:trPr>
          <w:trHeight w:val="210"/>
        </w:trPr>
        <w:tc>
          <w:tcPr>
            <w:tcW w:w="562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Previously Reported</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Adjustments</w:t>
            </w:r>
          </w:p>
        </w:tc>
        <w:tc>
          <w:tcPr>
            <w:tcW w:w="1800" w:type="dxa"/>
            <w:vAlign w:val="bottom"/>
          </w:tcPr>
          <w:p>
            <w:pPr>
              <w:jc w:val="right"/>
              <w:ind w:right="351"/>
              <w:spacing w:after="0"/>
              <w:rPr>
                <w:sz w:val="20"/>
                <w:szCs w:val="20"/>
                <w:color w:val="auto"/>
              </w:rPr>
            </w:pPr>
            <w:r>
              <w:rPr>
                <w:rFonts w:ascii="Arial" w:cs="Arial" w:eastAsia="Arial" w:hAnsi="Arial"/>
                <w:sz w:val="16"/>
                <w:szCs w:val="16"/>
                <w:b w:val="1"/>
                <w:bCs w:val="1"/>
                <w:color w:val="auto"/>
              </w:rPr>
              <w:t>As Corrected</w:t>
            </w:r>
          </w:p>
        </w:tc>
      </w:tr>
      <w:tr>
        <w:trPr>
          <w:trHeight w:val="226"/>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317,951</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323,577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2,285,814</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2,291,440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3,462,762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3,467,236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800" w:type="dxa"/>
            <w:vAlign w:val="bottom"/>
          </w:tcPr>
          <w:p>
            <w:pPr>
              <w:jc w:val="right"/>
              <w:spacing w:after="0"/>
              <w:rPr>
                <w:sz w:val="20"/>
                <w:szCs w:val="20"/>
                <w:color w:val="auto"/>
              </w:rPr>
            </w:pPr>
            <w:r>
              <w:rPr>
                <w:rFonts w:ascii="Arial" w:cs="Arial" w:eastAsia="Arial" w:hAnsi="Arial"/>
                <w:sz w:val="18"/>
                <w:szCs w:val="18"/>
                <w:color w:val="auto"/>
              </w:rPr>
              <w:t>(888,381)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(10,104)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(898,485)</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2,581,153</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(5,626)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2,575,527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5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Except for the addition of policies described below for securities available for sale, there were no material changes to our significant accounting policies as disclosed in Note 2. Summary of Significant Accounting Policies of our Annual Report on Form 10-K for the fiscal year ended June 30, 2021, which was filed with the SEC on September 17,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hold certain investments in marketable debt securities and retained interests in our unconsolidated securitization trusts which are accounted for under ASC Topic 320, “Investments - Debt Securities” (“ASC 320”). We have classified these investments as available for sale, as defined within ASC</w:t>
      </w:r>
    </w:p>
    <w:p>
      <w:pPr>
        <w:ind w:firstLine="8"/>
        <w:spacing w:after="0" w:line="268" w:lineRule="auto"/>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These investments are held at fair value with changes in fair value recorded in unrealized gain (loss) on securities available for sale, net within other comprehensive income (loss).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which management identifies as a credit loss will be recognized as an allowance for credit losses through other (expense) income, net rather than unrealized gain (loss) on securities available for sale, net. To the extent management intends to sell or may be required to sell a security in an unrealized loss position, we 1) reverse any previously recorded allowance for credit losses with an offsetting entry to reduce the amortized cost basis of the security and 2) write-off any remaining portion of the amortized cost basis to equal its fair value, with this change recorded through other (expense) income, net.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for available for sale securities is recorded within other (expense) income, net.</w:t>
      </w:r>
    </w:p>
    <w:p>
      <w:pPr>
        <w:spacing w:after="0" w:line="25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Available for sale securities initially purchased with less than 90 days until maturity with quoted transaction prices in an active market are classified as cash and cash equivalents.</w:t>
      </w:r>
    </w:p>
    <w:p>
      <w:pPr>
        <w:spacing w:after="0" w:line="197"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With respect to retained interests in our securitization trusts, we apply the guidance in ASC Topic 325, “Investments - Other” (“ASC 325”) relating to beneficial interests. Accordingly, we recognize interest income each period based on the effective interest rate calculated using expected cash flows. Changes in the timing of expected cash flows are accounted for prospectively through an adjustment to interest income. When fair value is below amortized cost, we record an allowance for credit losses measured based on the difference between amortized cost and projected cash flows discounted at the effective interest rate. The allowance for credit losses is capped at the difference between amortized cost and fair value.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12. Investments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Costs</w:t>
      </w:r>
    </w:p>
    <w:p>
      <w:pPr>
        <w:spacing w:after="0" w:line="25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Sales and marketing costs include the expense related to warrants and other share-based payments granted to our enterprise partners. See Note 6. Balance Sheet Components for more information on these arrangements. Sales and marketing costs also include salaries and personnel-related costs, as well as costs of general marketing and promotional activities, promotional event programs, sponsorships, and allocated overhead. A portion of these costs related to general marketing and promotional activities are considered advertising costs within the meaning of ASC Topic 720, “Other Expenses” (“ASC 720”), and are expensed as incurred. Advertising costs totaled $25.5 million and $43.4 million for the three and six months ended December 31, 2021, respectively, and $13.9 million and $15.3 million for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 Instruments</w:t>
      </w:r>
    </w:p>
    <w:p>
      <w:pPr>
        <w:spacing w:after="0" w:line="252"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August 2020, the FASB issued Accounting Standard Update (“ASU”) 2020-06, “Debt — Debt with Conversion and Other Options (Subtopic 470-20) and Derivatives and Hedging — Contracts in Entity’s Own Equity (Subtopic 815-40),”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early adopted the new standard effective July 1, 2021 on a modified retrospective basis. The adoption of the new standard did not have any impact on our financial statements as of the adoption date. As further discussed in Note 10. Debt, the Company issued certain convertible senior notes during the six months ended December 31, 2021, and the accounting for these instruments was based on the guidance in ASU 2020-06.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This ASU is effective for all entities upon issuance as of March 12, 2020 through December 31, 2022. In January 2021, the FASB also issued ASU 2021-01, “Reference Rate Reform (Topic 848),” which provides additional optional expedients and exceptions applicable to all entities that have derivative instruments that use an interest rate for margining, discounting, or contract price alignment that is modified as a result of reference rate reform. This ASU is effective for all entities upon issuance as of January 7, 2021 through December 31, 2022. We have reviewed all our financial agreements that utilize LIBOR as the reference rate and determined there is no impact to our interim condensed consolidated financial statements as of December 31, 2021. Throughout the remaining effective period for ASU 2020-04 and ASU 2021-01, we will continue to evaluate the available relief measures within each of these amendments and will determine any impact on our interim condensed consolidated financial statements, as applicable.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 which requires contract assets and contract liabilities, such as deferred revenue, acquired in a business combination to be 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are evaluating the effect of adopting this new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Interest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December 31,</w:t>
            </w:r>
          </w:p>
        </w:tc>
        <w:tc>
          <w:tcPr>
            <w:tcW w:w="260" w:type="dxa"/>
            <w:vAlign w:val="bottom"/>
          </w:tcPr>
          <w:p>
            <w:pPr>
              <w:spacing w:after="0"/>
              <w:rPr>
                <w:sz w:val="18"/>
                <w:szCs w:val="18"/>
                <w:color w:val="auto"/>
              </w:rPr>
            </w:pPr>
          </w:p>
        </w:tc>
        <w:tc>
          <w:tcPr>
            <w:tcW w:w="28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7"/>
              </w:rPr>
              <w:t>Six Months Ended December 31,</w:t>
            </w:r>
          </w:p>
        </w:tc>
      </w:tr>
      <w:tr>
        <w:trPr>
          <w:trHeight w:val="210"/>
        </w:trPr>
        <w:tc>
          <w:tcPr>
            <w:tcW w:w="49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2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unpaid principal balance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Amortization of discount on loans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54,965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37,218</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premiums on loans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receivable charged-off, net of recoveries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December 31, 2021 and June 30, 2021, the balance of loans held for investment on non-accrual status was $1.5 million and $1.1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2,451,614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2,058,863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15,466</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r>
      <w:tr>
        <w:trPr>
          <w:trHeight w:val="229"/>
        </w:trPr>
        <w:tc>
          <w:tcPr>
            <w:tcW w:w="7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Less: Discount due to loss on loan purchase commitment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(40,526)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(53,177)</w:t>
            </w:r>
          </w:p>
        </w:tc>
      </w:tr>
      <w:tr>
        <w:trPr>
          <w:trHeight w:val="230"/>
        </w:trPr>
        <w:tc>
          <w:tcPr>
            <w:tcW w:w="7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Discount due to loss on self-originated loans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adjustment on loans acquired through business combination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2,425,519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2,022,320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right="200" w:firstLine="656"/>
        <w:spacing w:after="0" w:line="317" w:lineRule="auto"/>
        <w:tabs>
          <w:tab w:leader="none" w:pos="813"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In the prior period, discount due to loss on self-originated loans, in the amount of $2.0 million, was included with discount due to loss on loan purchase commitment.</w:t>
      </w:r>
    </w:p>
    <w:p>
      <w:pPr>
        <w:spacing w:after="0" w:line="159"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The majority of the loans that are underwritten using our technology platform and originated by our originating bank partners are later purchased by us. We purchased loans from our originating bank partners in the amount of $3,373.2 million and $5,617.5 million for the three and six months ended December 31, 2021, respectively, and $2,065.4 million and $3,589.6 million for the three and six months ended December 31, 2020, respectively.</w:t>
      </w:r>
    </w:p>
    <w:p>
      <w:pPr>
        <w:spacing w:after="0" w:line="17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11"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self-originated loans and originating bank partner loans, and continues through to full repayment of a loan. To assess a consumer who requests a loan, we use,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by fiscal year of origination on loans held for investment and loans held for sale (in thousands) as of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3"/>
        </w:trPr>
        <w:tc>
          <w:tcPr>
            <w:tcW w:w="2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950,760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1,392,997</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94 – 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532,108</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229,844</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&lt;90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87,498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87,594</w:t>
            </w:r>
          </w:p>
        </w:tc>
      </w:tr>
      <w:tr>
        <w:trPr>
          <w:trHeight w:val="230"/>
        </w:trPr>
        <w:tc>
          <w:tcPr>
            <w:tcW w:w="2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190,797</w:t>
            </w: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rPr>
              <w:t>Total loan receivables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1,806,832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2,433,340</w:t>
            </w: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ind w:left="660" w:right="360" w:hanging="328"/>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new markets without sufficient data currently available for use by the Affirm scoring methodology including loan receivables originated in Canada and Australia.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2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Prior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226"/>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period charge-offs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90"/>
              </w:rPr>
              <w:t>(496)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(47,573)</w:t>
            </w: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Current period recoveries</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left="412"/>
              <w:spacing w:after="0"/>
              <w:rPr>
                <w:sz w:val="20"/>
                <w:szCs w:val="20"/>
                <w:color w:val="auto"/>
              </w:rPr>
            </w:pPr>
            <w:r>
              <w:rPr>
                <w:rFonts w:ascii="Arial" w:cs="Arial" w:eastAsia="Arial" w:hAnsi="Arial"/>
                <w:sz w:val="18"/>
                <w:szCs w:val="18"/>
                <w:color w:val="auto"/>
                <w:w w:val="86"/>
              </w:rPr>
              <w:t>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4,146</w:t>
            </w:r>
          </w:p>
        </w:tc>
      </w:tr>
      <w:tr>
        <w:trPr>
          <w:trHeight w:val="248"/>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Current period net charge-offs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86"/>
              </w:rPr>
              <w:t>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of loans held for investment and loans held for sale by delinquency status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Pr>
          <w:p>
            <w:pPr>
              <w:spacing w:after="0"/>
              <w:rPr>
                <w:sz w:val="18"/>
                <w:szCs w:val="18"/>
                <w:color w:val="auto"/>
              </w:rPr>
            </w:pPr>
          </w:p>
        </w:tc>
        <w:tc>
          <w:tcPr>
            <w:tcW w:w="162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2,277,067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1,939,976</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4 – 29 calendar days past due</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71,999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43,838</w:t>
            </w:r>
          </w:p>
        </w:tc>
      </w:tr>
      <w:tr>
        <w:trPr>
          <w:trHeight w:val="230"/>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30</w:t>
            </w: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59 calendar days past due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r>
      <w:tr>
        <w:trPr>
          <w:trHeight w:val="229"/>
        </w:trPr>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7060" w:type="dxa"/>
            <w:vAlign w:val="bottom"/>
          </w:tcPr>
          <w:p>
            <w:pPr>
              <w:ind w:left="20"/>
              <w:spacing w:after="0"/>
              <w:rPr>
                <w:sz w:val="20"/>
                <w:szCs w:val="20"/>
                <w:color w:val="auto"/>
              </w:rPr>
            </w:pPr>
            <w:r>
              <w:rPr>
                <w:rFonts w:ascii="Arial" w:cs="Arial" w:eastAsia="Arial" w:hAnsi="Arial"/>
                <w:sz w:val="18"/>
                <w:szCs w:val="18"/>
                <w:color w:val="auto"/>
              </w:rPr>
              <w:t>– 89 calendar days past due</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26,866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12,044</w:t>
            </w:r>
          </w:p>
        </w:tc>
      </w:tr>
      <w:tr>
        <w:trPr>
          <w:trHeight w:val="229"/>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90</w:t>
            </w: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119 calendar days past due</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 amortized cost basis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2,433,340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2,019,884</w:t>
            </w:r>
          </w:p>
        </w:tc>
      </w:tr>
      <w:tr>
        <w:trPr>
          <w:trHeight w:val="20"/>
        </w:trPr>
        <w:tc>
          <w:tcPr>
            <w:tcW w:w="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activity in the allowance for credit losses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280" w:type="dxa"/>
            <w:vAlign w:val="bottom"/>
            <w:gridSpan w:val="3"/>
          </w:tcPr>
          <w:p>
            <w:pPr>
              <w:jc w:val="center"/>
              <w:ind w:left="873"/>
              <w:spacing w:after="0"/>
              <w:rPr>
                <w:sz w:val="20"/>
                <w:szCs w:val="20"/>
                <w:color w:val="auto"/>
              </w:rPr>
            </w:pPr>
            <w:r>
              <w:rPr>
                <w:rFonts w:ascii="Arial" w:cs="Arial" w:eastAsia="Arial" w:hAnsi="Arial"/>
                <w:sz w:val="16"/>
                <w:szCs w:val="16"/>
                <w:b w:val="1"/>
                <w:bCs w:val="1"/>
                <w:color w:val="auto"/>
                <w:w w:val="92"/>
              </w:rPr>
              <w:t>Six Months Ended</w:t>
            </w:r>
          </w:p>
        </w:tc>
        <w:tc>
          <w:tcPr>
            <w:tcW w:w="960" w:type="dxa"/>
            <w:vAlign w:val="bottom"/>
          </w:tcPr>
          <w:p>
            <w:pPr>
              <w:spacing w:after="0"/>
              <w:rPr>
                <w:sz w:val="16"/>
                <w:szCs w:val="16"/>
                <w:color w:val="auto"/>
              </w:rPr>
            </w:pPr>
          </w:p>
        </w:tc>
      </w:tr>
      <w:tr>
        <w:trPr>
          <w:trHeight w:val="213"/>
        </w:trPr>
        <w:tc>
          <w:tcPr>
            <w:tcW w:w="4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Borders>
              <w:bottom w:val="single" w:sz="8" w:color="auto"/>
            </w:tcBorders>
            <w:gridSpan w:val="3"/>
          </w:tcPr>
          <w:p>
            <w:pPr>
              <w:jc w:val="center"/>
              <w:ind w:left="873"/>
              <w:spacing w:after="0"/>
              <w:rPr>
                <w:sz w:val="20"/>
                <w:szCs w:val="20"/>
                <w:color w:val="auto"/>
              </w:rPr>
            </w:pPr>
            <w:r>
              <w:rPr>
                <w:rFonts w:ascii="Arial" w:cs="Arial" w:eastAsia="Arial" w:hAnsi="Arial"/>
                <w:sz w:val="16"/>
                <w:szCs w:val="16"/>
                <w:b w:val="1"/>
                <w:bCs w:val="1"/>
                <w:color w:val="auto"/>
                <w:w w:val="92"/>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Adjustment due to adoption of new accounting standard</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10,083</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40,183</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(78,027)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(25,840)</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 of charged-off receivables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158,289</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124,992</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ShopBrain</w:t>
      </w:r>
    </w:p>
    <w:p>
      <w:pPr>
        <w:spacing w:after="0" w:line="239"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$40.0 million, which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1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30,512</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63"/>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Fair Value</w:t>
            </w:r>
          </w:p>
        </w:tc>
        <w:tc>
          <w:tcPr>
            <w:tcW w:w="180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40" w:firstLine="648"/>
        <w:spacing w:after="0" w:line="291"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174" w:lineRule="exact"/>
        <w:rPr>
          <w:sz w:val="20"/>
          <w:szCs w:val="20"/>
          <w:color w:val="auto"/>
        </w:rPr>
      </w:pPr>
    </w:p>
    <w:p>
      <w:pPr>
        <w:ind w:right="400" w:firstLine="648"/>
        <w:spacing w:after="0" w:line="248" w:lineRule="auto"/>
        <w:rPr>
          <w:sz w:val="20"/>
          <w:szCs w:val="20"/>
          <w:color w:val="auto"/>
        </w:rPr>
      </w:pPr>
      <w:r>
        <w:rPr>
          <w:rFonts w:ascii="Arial" w:cs="Arial" w:eastAsia="Arial" w:hAnsi="Arial"/>
          <w:sz w:val="18"/>
          <w:szCs w:val="18"/>
          <w:color w:val="auto"/>
        </w:rPr>
        <w:t>The transaction costs associated with the acquisition were approximately $0.1 million and $0.2 million for the three and six months ended December 31, 2021, which are included in general and administrative expense within the interim condensed consolidated statements of operations and comprehensive loss.</w:t>
      </w:r>
    </w:p>
    <w:p>
      <w:pPr>
        <w:spacing w:after="0" w:line="209" w:lineRule="exact"/>
        <w:rPr>
          <w:sz w:val="20"/>
          <w:szCs w:val="20"/>
          <w:color w:val="auto"/>
        </w:rPr>
      </w:pPr>
    </w:p>
    <w:p>
      <w:pPr>
        <w:ind w:right="300" w:firstLine="648"/>
        <w:spacing w:after="0" w:line="248" w:lineRule="auto"/>
        <w:rPr>
          <w:sz w:val="20"/>
          <w:szCs w:val="20"/>
          <w:color w:val="auto"/>
        </w:rPr>
      </w:pPr>
      <w:r>
        <w:rPr>
          <w:rFonts w:ascii="Arial" w:cs="Arial" w:eastAsia="Arial" w:hAnsi="Arial"/>
          <w:sz w:val="18"/>
          <w:szCs w:val="18"/>
          <w:color w:val="auto"/>
        </w:rPr>
        <w:t>Pro forma adjustments would only include the additional amortization that would have been charged assuming the intangible assets had been recorded as of July 1, 2020. Such adjustments would not be material to the interim condensed consolidated statements of operations and comprehensive loss for the three and six months ended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Kite</w:t>
      </w:r>
    </w:p>
    <w:p>
      <w:pPr>
        <w:spacing w:after="0" w:line="252"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On June 1, 2021, Affirm completed the acquisition of technology and intellectual property from Manhattan Engineering, Inc. and entered into employment arrangements with certain of its employees (“the Kite acquisition”). The purchase price was comprised of $26.0 million in cash, including $9.0 million held in escrow and subject to forfeiture if certain employees terminate within a stipulated time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$24.8 million which consisted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26,000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of contingent consideration asset</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(1,241)</w:t>
            </w: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acquisition date fair value of consideration transferred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24,759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further details on our fair value methodology with respect to the contingent consideration asset, see Note 13. Fair Value of Financial Assets and Liabilities.</w:t>
      </w:r>
    </w:p>
    <w:p>
      <w:pPr>
        <w:spacing w:after="0" w:line="197"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the value of assembled workforce. The goodwill is expected to be deductible for income tax purposes.</w:t>
      </w:r>
    </w:p>
    <w:p>
      <w:pPr>
        <w:spacing w:after="0" w:line="17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allocation of the consideration paid of approximately $24.8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17,784</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24,759</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660" w:type="dxa"/>
            <w:vAlign w:val="bottom"/>
          </w:tcPr>
          <w:p>
            <w:pPr>
              <w:jc w:val="center"/>
              <w:ind w:left="15"/>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66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60" w:type="dxa"/>
            <w:vAlign w:val="bottom"/>
            <w:tcBorders>
              <w:bottom w:val="single" w:sz="8" w:color="CCEEFF"/>
            </w:tcBorders>
          </w:tcPr>
          <w:p>
            <w:pPr>
              <w:jc w:val="center"/>
              <w:ind w:left="15"/>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440" w:firstLine="648"/>
        <w:spacing w:after="0" w:line="308"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17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During the year ended June 30, 2021, we incurred transaction costs associated with the acquisition in the amount of approximately $0.2 million which are included in general and administrative expense in the consolidated statements of operations and comprehensive loss.</w:t>
      </w:r>
    </w:p>
    <w:p>
      <w:pPr>
        <w:spacing w:after="0" w:line="173"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Pro forma adjustments would only include the additional amortization that would have been charged assuming the intangible assets had been recorded as of July 1, 2019. Such adjustments would not be material to the consolidated statements of operations and comprehensive loss for the three and six months ended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Returnly</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May 1, 2021, Affirm completed a merger transaction with Returnly Technologies, Inc. (“Returnly”), a leading provider of online return experiences for direct-to-consumer brands. Prior to the merger transaction, Affirm owned approximately 1% of the outstanding shares of Returnly. By effect of the merger transaction, Affirm acquired all of the remaining outstanding shares, increasing its equity interest from approximately 1% to 100%. We have included the financial results of Returnly in our interim condensed consolidated financial statements from the date of acquisition.</w:t>
      </w:r>
    </w:p>
    <w:p>
      <w:pPr>
        <w:spacing w:after="0" w:line="198"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purchase price for the remaining interest was comprised of (i) approximately $71.5 million in cash and (ii) 2,989,697 shares of our common stock issued to the shareholders of Returnly at closing. We also issued 304,364 shares of our common stock, which are held in escrow and subject to forfeiture upon the termination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employees or if certain revenue milestones are not met. Because the future payment of the escrowed shares is contingent on continued employment, the arrangement represents stock-based compensation in the post combination period. Refer to Note 15. Equity Incentive Plans for additional information on the escrowed share arrangement.</w:t>
      </w:r>
    </w:p>
    <w:p>
      <w:pPr>
        <w:spacing w:after="0" w:line="21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acquisition date fair value of the consideration transferred for Returnly was approximately $286.0 million, which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common stock transferred</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214,475</w:t>
            </w: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acquisition date fair value of consideration transferred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285,959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acquisition date fair value of the equity interest in Returnly held by Affirm immediately before the acquisition date was $2.1 million, resulting in the recognition of a $1.6 million gain included in other (expense) income, net in the interim condensed consolidated statements of operations and comprehensive loss.</w:t>
      </w:r>
    </w:p>
    <w:p>
      <w:pPr>
        <w:spacing w:after="0" w:line="21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acquisition of Returnly was accounted for as a business combination and reflects the application of acquisition accounting in accordance with ASC 805. The acquired Returnly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Goodwill is not expected to be deductible for income tax purposes.</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the allocation of the fair value of the consideration paid and the previously held equity interest of approximately $288.1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9,585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45,900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61,230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r>
      <w:tr>
        <w:trPr>
          <w:trHeight w:val="223"/>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Net assets acquired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54,431</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233,623</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Total fair value of consideration transferred and previously held investment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288,054</w:t>
            </w:r>
          </w:p>
        </w:tc>
      </w:tr>
      <w:tr>
        <w:trPr>
          <w:trHeight w:val="21"/>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660" w:type="dxa"/>
            <w:vAlign w:val="bottom"/>
          </w:tcPr>
          <w:p>
            <w:pPr>
              <w:jc w:val="center"/>
              <w:ind w:left="14"/>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6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Merchant relationships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29,200</w:t>
            </w:r>
          </w:p>
        </w:tc>
        <w:tc>
          <w:tcPr>
            <w:tcW w:w="1660" w:type="dxa"/>
            <w:vAlign w:val="bottom"/>
          </w:tcPr>
          <w:p>
            <w:pPr>
              <w:jc w:val="center"/>
              <w:ind w:left="14"/>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fair value of the merchant relationship intangible asset was estimated by applying the income approach, which is based upon the discounted projected future cash flows attributable to the existing merchant relationships. The fair value of the developed technology intangible asset was determined by applying the replacement cost method. The fair value measurements are based on significant unobservable inputs, including management estimates and assumptions, and thus represent Level 3 measurements.</w:t>
      </w:r>
    </w:p>
    <w:p>
      <w:pPr>
        <w:spacing w:after="0" w:line="214"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During the year ended June 30, 2021, we incurred transaction costs associated with the acquisition costs in the amount of approximately $1.8 million which are included in general and administrative expense in the consolidated statements of operations and comprehensive loss.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Returnly had occurred on July 1, 2019 and combines the historical results of Affirm and Returnly.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1880" w:type="dxa"/>
            <w:vAlign w:val="bottom"/>
          </w:tcPr>
          <w:p>
            <w:pPr>
              <w:jc w:val="center"/>
              <w:ind w:right="195"/>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880" w:type="dxa"/>
            <w:vAlign w:val="bottom"/>
          </w:tcPr>
          <w:p>
            <w:pPr>
              <w:jc w:val="center"/>
              <w:ind w:right="195"/>
              <w:spacing w:after="0"/>
              <w:rPr>
                <w:sz w:val="20"/>
                <w:szCs w:val="20"/>
                <w:color w:val="auto"/>
              </w:rPr>
            </w:pPr>
            <w:r>
              <w:rPr>
                <w:rFonts w:ascii="Arial" w:cs="Arial" w:eastAsia="Arial" w:hAnsi="Arial"/>
                <w:sz w:val="16"/>
                <w:szCs w:val="16"/>
                <w:b w:val="1"/>
                <w:bCs w:val="1"/>
                <w:color w:val="auto"/>
                <w:w w:val="92"/>
              </w:rPr>
              <w:t>December 31,</w:t>
            </w:r>
          </w:p>
        </w:tc>
      </w:tr>
      <w:tr>
        <w:trPr>
          <w:trHeight w:val="209"/>
        </w:trPr>
        <w:tc>
          <w:tcPr>
            <w:tcW w:w="6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207,484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8"/>
              </w:rPr>
              <w:t>384,085</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ind w:left="1300"/>
              <w:spacing w:after="0"/>
              <w:rPr>
                <w:sz w:val="20"/>
                <w:szCs w:val="20"/>
                <w:color w:val="auto"/>
              </w:rPr>
            </w:pPr>
            <w:r>
              <w:rPr>
                <w:rFonts w:ascii="Arial" w:cs="Arial" w:eastAsia="Arial" w:hAnsi="Arial"/>
                <w:sz w:val="18"/>
                <w:szCs w:val="18"/>
                <w:color w:val="auto"/>
                <w:w w:val="92"/>
              </w:rPr>
              <w:t>(30,236)</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ind w:left="1240"/>
              <w:spacing w:after="0"/>
              <w:rPr>
                <w:sz w:val="20"/>
                <w:szCs w:val="20"/>
                <w:color w:val="auto"/>
              </w:rPr>
            </w:pPr>
            <w:r>
              <w:rPr>
                <w:rFonts w:ascii="Arial" w:cs="Arial" w:eastAsia="Arial" w:hAnsi="Arial"/>
                <w:sz w:val="18"/>
                <w:szCs w:val="18"/>
                <w:color w:val="auto"/>
                <w:w w:val="92"/>
              </w:rPr>
              <w:t>(37,943)</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PayBright</w:t>
      </w:r>
    </w:p>
    <w:p>
      <w:pPr>
        <w:spacing w:after="0" w:line="239" w:lineRule="exact"/>
        <w:rPr>
          <w:sz w:val="20"/>
          <w:szCs w:val="20"/>
          <w:color w:val="auto"/>
        </w:rPr>
      </w:pPr>
    </w:p>
    <w:p>
      <w:pPr>
        <w:ind w:right="580" w:firstLine="648"/>
        <w:spacing w:after="0" w:line="248" w:lineRule="auto"/>
        <w:rPr>
          <w:sz w:val="20"/>
          <w:szCs w:val="20"/>
          <w:color w:val="auto"/>
        </w:rPr>
      </w:pPr>
      <w:r>
        <w:rPr>
          <w:rFonts w:ascii="Arial" w:cs="Arial" w:eastAsia="Arial" w:hAnsi="Arial"/>
          <w:sz w:val="18"/>
          <w:szCs w:val="18"/>
          <w:color w:val="auto"/>
        </w:rPr>
        <w:t>On January 1, 2021, Affirm Canada Holdings Ltd. (“Affirm Canada”), a subsidiary of Affirm, and Affirm acquired all outstanding stock of PayBright, Inc., one of Canada’s leading buy now, pay later providers, for approximately $288.8 million. We have included the financial results of PayBright in our interim condensed consolidated financial statements from the date of acquisition.</w:t>
      </w:r>
    </w:p>
    <w:p>
      <w:pPr>
        <w:spacing w:after="0" w:line="209" w:lineRule="exact"/>
        <w:rPr>
          <w:sz w:val="20"/>
          <w:szCs w:val="20"/>
          <w:color w:val="auto"/>
        </w:rPr>
      </w:pPr>
    </w:p>
    <w:p>
      <w:pPr>
        <w:ind w:right="140" w:firstLine="648"/>
        <w:spacing w:after="0" w:line="241" w:lineRule="auto"/>
        <w:rPr>
          <w:sz w:val="20"/>
          <w:szCs w:val="20"/>
          <w:color w:val="auto"/>
        </w:rPr>
      </w:pPr>
      <w:r>
        <w:rPr>
          <w:rFonts w:ascii="Arial" w:cs="Arial" w:eastAsia="Arial" w:hAnsi="Arial"/>
          <w:sz w:val="18"/>
          <w:szCs w:val="18"/>
          <w:color w:val="auto"/>
        </w:rPr>
        <w:t>The purchase price was comprised of (i) approximately $114.5 million in cash, (ii) 3,622,445 shares of our common stock issued to the shareholders of PayBright at closing and (iii) 2,587,362 shares of our common stock held in escrow and subject to forfeiture if certain revenue milestones are not met. On January 12, 2021, these shares were reclassified into an aggregate of 1,811,222 shares of our Class A common stock and 1,811,222 shares of our Class B common stock issued to the shareholders of PayBright at closing and an aggregate of 1,293,681 shares of our Class A common stock and 1,293,681 shares of our Class B common stock held in escrow.</w:t>
      </w:r>
    </w:p>
    <w:p>
      <w:pPr>
        <w:spacing w:after="0" w:line="21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acquisition date fair value of the consideration transferred for PayBright was approximately $288.8 million, which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Fair value of common stock transferred</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116,989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57,275</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288,754</w:t>
            </w:r>
          </w:p>
        </w:tc>
      </w:tr>
      <w:tr>
        <w:trPr>
          <w:trHeight w:val="21"/>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60" w:firstLine="648"/>
        <w:spacing w:after="0" w:line="261" w:lineRule="auto"/>
        <w:rPr>
          <w:sz w:val="20"/>
          <w:szCs w:val="20"/>
          <w:color w:val="auto"/>
        </w:rPr>
      </w:pPr>
      <w:r>
        <w:rPr>
          <w:rFonts w:ascii="Arial" w:cs="Arial" w:eastAsia="Arial" w:hAnsi="Arial"/>
          <w:sz w:val="18"/>
          <w:szCs w:val="18"/>
          <w:color w:val="auto"/>
        </w:rPr>
        <w:t>For further details on our fair value methodology with respect to the contingent consideration, see Note 13. Fair Value of Financial Assets and Liabilities.</w:t>
      </w:r>
    </w:p>
    <w:p>
      <w:pPr>
        <w:spacing w:after="0" w:line="198" w:lineRule="exact"/>
        <w:rPr>
          <w:sz w:val="20"/>
          <w:szCs w:val="20"/>
          <w:color w:val="auto"/>
        </w:rPr>
      </w:pPr>
    </w:p>
    <w:p>
      <w:pPr>
        <w:ind w:right="320" w:firstLine="648"/>
        <w:spacing w:after="0" w:line="284" w:lineRule="auto"/>
        <w:rPr>
          <w:sz w:val="20"/>
          <w:szCs w:val="20"/>
          <w:color w:val="auto"/>
        </w:rPr>
      </w:pPr>
      <w:r>
        <w:rPr>
          <w:rFonts w:ascii="Arial" w:cs="Arial" w:eastAsia="Arial" w:hAnsi="Arial"/>
          <w:sz w:val="16"/>
          <w:szCs w:val="16"/>
          <w:color w:val="auto"/>
        </w:rPr>
        <w:t>The acquisition of PayBright was accounted for as a business combination and reflects the application of acquisition accounting in accordance with ASC 805. The acquired PayBright assets, including identifiable intangible assets and liabilities assumed, have been recorded at their estimated fair values with the excess purchase price assigned to goodwill. The goodwill was primarily attributed to future synergies from integration, new customer acquisitions, and the value of assembled workforce in Canada. Goodwill is not expected to be deductible for income tax purposes.</w:t>
      </w:r>
    </w:p>
    <w:p>
      <w:pPr>
        <w:spacing w:after="0" w:line="18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$288.8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 net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16,653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5,651</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123,685</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Funding debt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85,310</w:t>
            </w:r>
          </w:p>
        </w:tc>
      </w:tr>
      <w:tr>
        <w:trPr>
          <w:trHeight w:val="223"/>
        </w:trPr>
        <w:tc>
          <w:tcPr>
            <w:tcW w:w="9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92,105</w:t>
            </w:r>
          </w:p>
        </w:tc>
      </w:tr>
      <w:tr>
        <w:trPr>
          <w:trHeight w:val="223"/>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31,580</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257,174</w:t>
            </w:r>
          </w:p>
        </w:tc>
      </w:tr>
      <w:tr>
        <w:trPr>
          <w:trHeight w:val="223"/>
        </w:trPr>
        <w:tc>
          <w:tcPr>
            <w:tcW w:w="9680" w:type="dxa"/>
            <w:vAlign w:val="bottom"/>
          </w:tcPr>
          <w:p>
            <w:pPr>
              <w:ind w:left="140"/>
              <w:spacing w:after="0"/>
              <w:rPr>
                <w:sz w:val="20"/>
                <w:szCs w:val="20"/>
                <w:color w:val="auto"/>
              </w:rPr>
            </w:pPr>
            <w:r>
              <w:rPr>
                <w:rFonts w:ascii="Arial" w:cs="Arial" w:eastAsia="Arial" w:hAnsi="Arial"/>
                <w:sz w:val="18"/>
                <w:szCs w:val="18"/>
                <w:color w:val="auto"/>
              </w:rPr>
              <w:t>Total purchase price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288,754</w:t>
            </w:r>
          </w:p>
        </w:tc>
      </w:tr>
      <w:tr>
        <w:trPr>
          <w:trHeight w:val="20"/>
        </w:trPr>
        <w:tc>
          <w:tcPr>
            <w:tcW w:w="9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63"/>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4"/>
                <w:szCs w:val="14"/>
                <w:color w:val="auto"/>
              </w:rPr>
            </w:pPr>
          </w:p>
        </w:tc>
        <w:tc>
          <w:tcPr>
            <w:tcW w:w="1560" w:type="dxa"/>
            <w:vAlign w:val="bottom"/>
          </w:tcPr>
          <w:p>
            <w:pPr>
              <w:jc w:val="right"/>
              <w:ind w:right="336"/>
              <w:spacing w:after="0" w:line="164" w:lineRule="exact"/>
              <w:rPr>
                <w:sz w:val="20"/>
                <w:szCs w:val="20"/>
                <w:color w:val="auto"/>
              </w:rPr>
            </w:pPr>
            <w:r>
              <w:rPr>
                <w:rFonts w:ascii="Arial" w:cs="Arial" w:eastAsia="Arial" w:hAnsi="Arial"/>
                <w:sz w:val="16"/>
                <w:szCs w:val="16"/>
                <w:b w:val="1"/>
                <w:bCs w:val="1"/>
                <w:color w:val="auto"/>
              </w:rPr>
              <w:t>Useful Life</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Merchant relationships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20" w:firstLine="648"/>
        <w:spacing w:after="0" w:line="324" w:lineRule="auto"/>
        <w:rPr>
          <w:sz w:val="20"/>
          <w:szCs w:val="20"/>
          <w:color w:val="auto"/>
        </w:rPr>
      </w:pPr>
      <w:r>
        <w:rPr>
          <w:rFonts w:ascii="Arial" w:cs="Arial" w:eastAsia="Arial" w:hAnsi="Arial"/>
          <w:sz w:val="16"/>
          <w:szCs w:val="16"/>
          <w:color w:val="auto"/>
        </w:rPr>
        <w:t>During the year ended June 30, 2021, we incurred transaction costs associated with the acquisition costs in the amount of approximately $2.4 million, which are included in general and administrative expense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Information</w:t>
      </w:r>
    </w:p>
    <w:p>
      <w:pPr>
        <w:spacing w:after="0" w:line="23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following table reflects the pro forma consolidated total revenue and net loss for the periods presented as if the acquisition of PayBright had occurred on July 1, 2019 and combines the historical results of Affirm and PayBright. This supplemental unaudited pro forma information is based upon accounting estimates and judgments that we believe are reasonable and includes certain adjustments to conform accounting standards to U.S. GAAP. This supplemental unaudited pro forma financial information has been prepared for illustrative purposes only and is not necessarily indicative of what actual results would have occurred, or of results that may occur in the future.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1880" w:type="dxa"/>
            <w:vAlign w:val="bottom"/>
          </w:tcPr>
          <w:p>
            <w:pPr>
              <w:jc w:val="center"/>
              <w:ind w:right="195"/>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1880" w:type="dxa"/>
            <w:vAlign w:val="bottom"/>
          </w:tcPr>
          <w:p>
            <w:pPr>
              <w:jc w:val="center"/>
              <w:ind w:right="195"/>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68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center"/>
              <w:ind w:right="195"/>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8"/>
              </w:rPr>
              <w:t>208,715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8"/>
              </w:rPr>
              <w:t>386,675</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ind w:left="1280"/>
              <w:spacing w:after="0"/>
              <w:rPr>
                <w:sz w:val="20"/>
                <w:szCs w:val="20"/>
                <w:color w:val="auto"/>
              </w:rPr>
            </w:pPr>
            <w:r>
              <w:rPr>
                <w:rFonts w:ascii="Arial" w:cs="Arial" w:eastAsia="Arial" w:hAnsi="Arial"/>
                <w:sz w:val="18"/>
                <w:szCs w:val="18"/>
                <w:color w:val="auto"/>
                <w:w w:val="92"/>
              </w:rPr>
              <w:t>(49,720)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Pr>
          <w:p>
            <w:pPr>
              <w:ind w:left="1240"/>
              <w:spacing w:after="0"/>
              <w:rPr>
                <w:sz w:val="20"/>
                <w:szCs w:val="20"/>
                <w:color w:val="auto"/>
              </w:rPr>
            </w:pPr>
            <w:r>
              <w:rPr>
                <w:rFonts w:ascii="Arial" w:cs="Arial" w:eastAsia="Arial" w:hAnsi="Arial"/>
                <w:sz w:val="18"/>
                <w:szCs w:val="18"/>
                <w:color w:val="auto"/>
                <w:w w:val="92"/>
              </w:rPr>
              <w:t>(60,460)</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52" w:lineRule="exact"/>
        <w:rPr>
          <w:sz w:val="20"/>
          <w:szCs w:val="20"/>
          <w:color w:val="auto"/>
        </w:rPr>
      </w:pPr>
    </w:p>
    <w:p>
      <w:pPr>
        <w:jc w:val="both"/>
        <w:ind w:right="180" w:firstLine="359"/>
        <w:spacing w:after="0" w:line="263" w:lineRule="auto"/>
        <w:rPr>
          <w:sz w:val="20"/>
          <w:szCs w:val="20"/>
          <w:color w:val="auto"/>
        </w:rPr>
      </w:pPr>
      <w:r>
        <w:rPr>
          <w:rFonts w:ascii="Arial" w:cs="Arial" w:eastAsia="Arial" w:hAnsi="Arial"/>
          <w:sz w:val="18"/>
          <w:szCs w:val="18"/>
          <w:color w:val="auto"/>
        </w:rPr>
        <w:t>Our accounts receivable consist primarily of amounts due from payment processors, merchant partners, and servicing fees due from third-party loan owners. We evaluate accounts receivable estimated to be uncollectible and provide an allowance, as necessary, for doubtful accounts. This allowance was $8.7 million and $4.1 million as of December 31, 2021 and June 30,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during the six months ended December 31, 2021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516,515</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31,434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 translation</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541,399</w:t>
            </w:r>
          </w:p>
        </w:tc>
      </w:tr>
      <w:tr>
        <w:trPr>
          <w:trHeight w:val="20"/>
        </w:trPr>
        <w:tc>
          <w:tcPr>
            <w:tcW w:w="9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Refer to Note 5. Business Combinations for a description of additions to goodwill during the six months ended December 31, 2021. No impairment losses related to goodwill were recorded during the six months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7"/>
          </w:tcPr>
          <w:p>
            <w:pPr>
              <w:ind w:left="600"/>
              <w:spacing w:after="0"/>
              <w:rPr>
                <w:sz w:val="20"/>
                <w:szCs w:val="20"/>
                <w:color w:val="auto"/>
              </w:rPr>
            </w:pPr>
            <w:r>
              <w:rPr>
                <w:rFonts w:ascii="Arial" w:cs="Arial" w:eastAsia="Arial" w:hAnsi="Arial"/>
                <w:sz w:val="16"/>
                <w:szCs w:val="16"/>
                <w:b w:val="1"/>
                <w:bCs w:val="1"/>
                <w:color w:val="auto"/>
              </w:rPr>
              <w:t>December 31, 2021</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Gross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Useful</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Life (in years)</w:t>
            </w:r>
          </w:p>
        </w:tc>
        <w:tc>
          <w:tcPr>
            <w:tcW w:w="0" w:type="dxa"/>
            <w:vAlign w:val="bottom"/>
          </w:tcPr>
          <w:p>
            <w:pPr>
              <w:spacing w:after="0"/>
              <w:rPr>
                <w:sz w:val="1"/>
                <w:szCs w:val="1"/>
                <w:color w:val="auto"/>
              </w:rPr>
            </w:pPr>
          </w:p>
        </w:tc>
      </w:tr>
      <w:tr>
        <w:trPr>
          <w:trHeight w:val="226"/>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34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30,443</w:t>
            </w:r>
          </w:p>
        </w:tc>
        <w:tc>
          <w:tcPr>
            <w:tcW w:w="20" w:type="dxa"/>
            <w:vAlign w:val="bottom"/>
          </w:tcPr>
          <w:p>
            <w:pPr>
              <w:spacing w:after="0"/>
              <w:rPr>
                <w:sz w:val="19"/>
                <w:szCs w:val="19"/>
                <w:color w:val="auto"/>
              </w:rPr>
            </w:pPr>
          </w:p>
        </w:tc>
        <w:tc>
          <w:tcPr>
            <w:tcW w:w="1520" w:type="dxa"/>
            <w:vAlign w:val="bottom"/>
            <w:gridSpan w:val="3"/>
          </w:tcPr>
          <w:p>
            <w:pPr>
              <w:jc w:val="center"/>
              <w:ind w:left="10"/>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 useful lives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Trademarks and domains, indefinite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66,190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800"/>
              <w:spacing w:after="0"/>
              <w:rPr>
                <w:sz w:val="20"/>
                <w:szCs w:val="20"/>
                <w:color w:val="auto"/>
              </w:rPr>
            </w:pPr>
            <w:r>
              <w:rPr>
                <w:rFonts w:ascii="Arial" w:cs="Arial" w:eastAsia="Arial" w:hAnsi="Arial"/>
                <w:sz w:val="16"/>
                <w:szCs w:val="16"/>
                <w:b w:val="1"/>
                <w:bCs w:val="1"/>
                <w:color w:val="auto"/>
                <w:w w:val="96"/>
              </w:rPr>
              <w:t>June 30, 2021</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Remaining Useful</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Gross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3"/>
        </w:trPr>
        <w:tc>
          <w:tcPr>
            <w:tcW w:w="5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38,951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5"/>
              </w:rPr>
              <w:t>4.5</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27,246</w:t>
            </w:r>
          </w:p>
        </w:tc>
        <w:tc>
          <w:tcPr>
            <w:tcW w:w="20" w:type="dxa"/>
            <w:vAlign w:val="bottom"/>
          </w:tcPr>
          <w:p>
            <w:pPr>
              <w:spacing w:after="0"/>
              <w:rPr>
                <w:sz w:val="19"/>
                <w:szCs w:val="19"/>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color w:val="auto"/>
                <w:w w:val="95"/>
              </w:rPr>
              <w:t>2.8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3.3</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73,246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Amortization expense for intangible assets was $5.5 million and $2.2 million for the three months ended December 31, 2021 and 2020, respectively, and $11.0 million and $4.8 million for the six months ended December 31, 2021 and 2020, respectively. No impairment losses related to intangible assets were recorded during the three and six months ended December 31, 2021 and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future amortization expense of these intangible assets as of December 31, 2021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six months)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21,344</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2025</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7,252</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63,694</w:t>
            </w:r>
          </w:p>
        </w:tc>
      </w:tr>
      <w:tr>
        <w:trPr>
          <w:trHeight w:val="20"/>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 Assets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four-year expected benefit period and is valued based on the fair value of the warrants on the grant date. We recognized an asset of $270.6 million associated with the fair value of the warrants, which were fully vested as of December 31, 2021. During the three and six months ended December 31, 2021, we recorded amortization expense related to the commercial agreement asset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$17.0 million and $34.0 million, respectively, and $17.0 million and $31.3 million for the three and six months ended December 31, 2020, respectively, in our interim condensed consolidated statements of operations and comprehensive loss as a component of sales and marketing expense.</w:t>
      </w:r>
    </w:p>
    <w:p>
      <w:pPr>
        <w:spacing w:after="0" w:line="15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January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and six months ended December 31, 2021, we recorded amortization expense related to the asset of $2.1 million and $4.0 million respectively, in our interim condensed consolidated statements of operations and comprehensive loss as a component of sales and marketing expense.</w:t>
      </w:r>
    </w:p>
    <w:p>
      <w:pPr>
        <w:spacing w:after="0" w:line="2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November 2021, we entered into a commercial agreement with Amazon.com Services LLC and Amazon Payments, Inc. ("Amazon") and granted warrants in exchange for certain exclusivity and performance provisions and the benefit of acquiring new users. In connection with the agreements, we recognized an asset of $133.5 million associated with the portion of the warrants that were fully vested upon execution of the agreement. The asset is valued based on the fair value of the warrants on the grant date and represents the probable future economic benefit to be realized over the approximately</w:t>
      </w:r>
    </w:p>
    <w:p>
      <w:pPr>
        <w:spacing w:after="0" w:line="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3.2 year remaining initial term of the commercial agreement. For the three and six months ended December 31, 2021, we recognized amortization expense of $5.8 million in our interim condensed consolidated statements of operations and comprehensive loss as a component of sales and marketing expense. Refer to Note 14. Redeemable Convertible Preferred Stock and Stockholders’ Equity for further discussion of the warrants.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57,828</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Prepaid payroll taxes for stock-based compensation</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111,278</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Equity securities, at cost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30,172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11,278</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reserves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26,423</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32,761</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274,679</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153,447</w:t>
            </w: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71,562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74,952</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47,674</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Commercial agreement liability</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12,847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25,357</w:t>
            </w: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436,533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323,577</w:t>
            </w: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and will remeasure the liability to its fair value at each reporting date until the contingency is resolved. As of December 31, 2021, the fair value of the contingent consideration liability was $253.8 million. For further details on our fair value methodology with respect to the contingent consideration, see Note 13. Fair Value of Financial Assets and Liabilities.</w:t>
      </w:r>
    </w:p>
    <w:p>
      <w:pPr>
        <w:spacing w:after="0" w:line="19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 January 2021, we recognized a liability in connection with a commercial agreement with an enterprise partner of $25.9 million. During the six months ended December 31, 2021, we settled $12.8 million, or fifty percent, of this liability. The remaining fifty percent will be settled 30 days after the first year anniversary of the final prospectus date of January 12,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180 days to one year. As of December 31, 2021, we have not considered such provisions in the determination of the lease term, as it is not reasonably certain these options will be exercised. Leases have remaining terms that range from less than one year to nine years.</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$9.6 million and $9.9 million as of December 31, 2021 and June 30, 2021, respectively.</w:t>
      </w:r>
    </w:p>
    <w:p>
      <w:pPr>
        <w:spacing w:after="0" w:line="21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weighted average remaining lease term as of December 31, 2021 was 5.3 years. The discount rate used in determining the lease liability for each individual lease was derived from a corporate yield curve which corresponded with the remaining lease term as of July 1, 2020 for leases that existed at the adoption of Leases (ASC Topic 842) (“ASC 842”) and as of the lease commencement date for leases subsequently entered into or modified after July 1,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impairment expense related to leases during the three and six months ended December 31, 2021 and 2020.</w:t>
      </w:r>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Total lease expense incurred for all locations totaled $3.7 million and $7.5 million for the three and six months ended December 31, 2021, respectively, and $4.0 million and $7.8 million for the three and six months ended December 31, 2020, respectively. Total lease expense incurred for short term leases with a term 12 months or less totaled $0.2 million and $0.4 million for the three and six months ended December 31, 2021, respectively, and $0.5 million and $1.0 million for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have subleased a portion of our leased facilities. Sublease income totaled $0.9 million and $1.5 million during the three and six months ended December 31, 2021, respectively. There was no sublease income during the three and six months ended December 31, 2020.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term and discount rate information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4"/>
              </w:rPr>
              <w:t>December 31, 2021</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5.3</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20"/>
                <w:szCs w:val="20"/>
                <w:color w:val="auto"/>
              </w:rPr>
            </w:pPr>
          </w:p>
        </w:tc>
        <w:tc>
          <w:tcPr>
            <w:tcW w:w="1620" w:type="dxa"/>
            <w:vAlign w:val="bottom"/>
          </w:tcPr>
          <w:p>
            <w:pPr>
              <w:jc w:val="right"/>
              <w:ind w:right="631"/>
              <w:spacing w:after="0"/>
              <w:rPr>
                <w:sz w:val="20"/>
                <w:szCs w:val="20"/>
                <w:color w:val="auto"/>
              </w:rPr>
            </w:pPr>
            <w:r>
              <w:rPr>
                <w:rFonts w:ascii="Arial" w:cs="Arial" w:eastAsia="Arial" w:hAnsi="Arial"/>
                <w:sz w:val="18"/>
                <w:szCs w:val="18"/>
                <w:color w:val="auto"/>
              </w:rPr>
              <w:t>4.7%</w:t>
            </w:r>
          </w:p>
        </w:tc>
      </w:tr>
      <w:tr>
        <w:trPr>
          <w:trHeight w:val="553"/>
        </w:trPr>
        <w:tc>
          <w:tcPr>
            <w:tcW w:w="9440" w:type="dxa"/>
            <w:vAlign w:val="bottom"/>
          </w:tcPr>
          <w:p>
            <w:pPr>
              <w:ind w:left="660"/>
              <w:spacing w:after="0"/>
              <w:rPr>
                <w:sz w:val="20"/>
                <w:szCs w:val="20"/>
                <w:color w:val="auto"/>
              </w:rPr>
            </w:pPr>
            <w:r>
              <w:rPr>
                <w:rFonts w:ascii="Arial" w:cs="Arial" w:eastAsia="Arial" w:hAnsi="Arial"/>
                <w:sz w:val="18"/>
                <w:szCs w:val="18"/>
                <w:color w:val="auto"/>
              </w:rPr>
              <w:t>Maturities of lease liabilities as of December 31, 2021 are as follows (in thousands) for the years ended: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8"/>
        </w:trPr>
        <w:tc>
          <w:tcPr>
            <w:tcW w:w="9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six months)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16,149</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16,132</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25,702</w:t>
            </w:r>
          </w:p>
        </w:tc>
      </w:tr>
      <w:tr>
        <w:trPr>
          <w:trHeight w:val="223"/>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82,032</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71,562</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Obligation</w:t>
      </w:r>
    </w:p>
    <w:p>
      <w:pPr>
        <w:spacing w:after="0" w:line="25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The aggregate outstanding balance of loans held by third-party investors or unconsolidated VIEs was $3,746.6 million and $2,453.9 million as of December 31, 2021 and June 30, 2021, respectively, of which we have recorded a repurchase liability of $4.2 million and $2.1 million as of December 31, 2021 and June 30, 2021, respectively, within accrued expenses and other liabilities in our interim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All such liabilities arising from current legal and regulatory matters have been recorded in accrued expenses and other liabilities in our interim condensed consolidated balance sheets and these matters are immaterial, as of December 31,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and restricted cash. We maintain our cash and cash equivalents and restricted cash in accounts at regulated domestic financial institutions and conduct ongoing evaluations of the creditworthiness of the financial institutions with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exposed to default risk on both loan receivables purchased from our originating bank partners and loan receivables that are self-originated. The ultimate collectability of a substantial portion of the loan portfolio is susceptible to changes in economic and market conditions. As of December 31, 2021 and June 30, 2021, approximately 12% and 15%, respectively, of loan receivables related to customers residing in the state of California. No other states or provinces exceeded 10%.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three months ended December 31, 2021 and 2020, approximately 11% and 24%, respectively, and for the six months ended December 31, 2021 and 2020, approximately 10% and 27%, respectively, of total revenue was driven by one merchant.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Transactions with Related Parties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December 31, 2021, the outstanding balance and interest earned on such accounts is immaterial.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encompasses funding debt, convertible senior notes and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2021</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172,320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104,159</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460,289</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22,705</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102,203</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656,636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689,356</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645,998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680,602</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these proceeds from the borrowings can only be used for the purposes of facilitating loan funding and origination, with advance rates ranging from 73% to 88% of the total collateralized balance. These trusts are bankruptcy-remote special-purpose vehicles in which creditors do not have recourse against the general credit of Affirm. These revolving facilities mature between fiscal years 2024 and 2029, and subject to covenant compliance, generally permit borrowings up to 12 months prior to the final maturity date of each respective facility. As of December 31, 2021, the aggregate commitment amount of these facilities was $1,975.0 million on a revolving basis, of which $484.3 million was drawn, with $1,490.7 million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available. Some of the loans originated or purchased from the originating bank partners are pledged as collateral for borrowings in our facilities. The unpaid principal balance of these loans totaled $557.2 million and $664.1 million as of December 31, 2021 and June 30, 2021, respectively.</w:t>
      </w:r>
    </w:p>
    <w:p>
      <w:pPr>
        <w:spacing w:after="0" w:line="151"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Borrowings under these warehouse credit facilities bear interest at an annual benchmark rate of LIBOR or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0.00% to 0.75% per annum on the undrawn portion available.</w:t>
      </w:r>
    </w:p>
    <w:p>
      <w:pPr>
        <w:spacing w:after="0" w:line="203"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As of December 31, 2021,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Funding Facilities</w:t>
      </w:r>
    </w:p>
    <w:p>
      <w:pPr>
        <w:spacing w:after="0" w:line="25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 receivables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benchmark rate plus a spread ranging from 1.25% to 4.45%.</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December 31, 2021, the aggregate commitment amount of these facilities was $412.6 million on a revolving basis, of which $150.6 million was drawn, with $262.0 million remaining available. The unpaid principal balance of loans pledged to these facilities totaled $175.9 million as of December 31, 2021.</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at the PayBright subsidiary level or the Affirm Holdings level. As of December 31, 2021,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 Agreements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entered into certain sale and repurchase agreements pursuant to our retained interests in our off 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a repurchase date extension for an additional three month term at market interest rates on such extension date. As of December 31, 2021, the interest rates were 1.10% on the senior pledged securities and 2.65% on the residual certificate pledged securities. We had $21.7 million and $13.9 million in debt outstanding under our repurchase agreements disclosed within funding debt on the interim condensed consolidated balance sheets as of December 31, 2021 and June 30, 2021, respectively. The debt will be amortized through regular principal and interest payments on the pledged securities. The outstanding debt relates to $25.3 million and $16.2 million in pledged securities disclosed within securities available for sale at fair value on the interim condensed consolidated balance sheets as of December 31, 2021 and June 30,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Company. The 2026 Notes do not bear interest except in special circumstances described below, and the principal amount of the 2026 Notes does not accrete. The 2026 Notes mature on November 15, 2026.</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19" w:lineRule="exact"/>
        <w:rPr>
          <w:sz w:val="20"/>
          <w:szCs w:val="20"/>
          <w:color w:val="auto"/>
        </w:rPr>
      </w:pPr>
    </w:p>
    <w:p>
      <w:pPr>
        <w:ind w:left="580" w:right="20" w:hanging="5"/>
        <w:spacing w:after="0" w:line="259"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13" w:lineRule="exact"/>
        <w:rPr>
          <w:rFonts w:ascii="Arial" w:cs="Arial" w:eastAsia="Arial" w:hAnsi="Arial"/>
          <w:sz w:val="18"/>
          <w:szCs w:val="18"/>
          <w:color w:val="auto"/>
        </w:rPr>
      </w:pPr>
    </w:p>
    <w:p>
      <w:pPr>
        <w:jc w:val="both"/>
        <w:ind w:left="580" w:right="40" w:hanging="5"/>
        <w:spacing w:after="0" w:line="311" w:lineRule="auto"/>
        <w:tabs>
          <w:tab w:leader="none" w:pos="775"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75" w:lineRule="exact"/>
        <w:rPr>
          <w:rFonts w:ascii="Arial" w:cs="Arial" w:eastAsia="Arial" w:hAnsi="Arial"/>
          <w:sz w:val="16"/>
          <w:szCs w:val="16"/>
          <w:color w:val="auto"/>
        </w:rPr>
      </w:pPr>
    </w:p>
    <w:p>
      <w:pPr>
        <w:ind w:left="580" w:right="180" w:hanging="5"/>
        <w:spacing w:after="0" w:line="277" w:lineRule="auto"/>
        <w:tabs>
          <w:tab w:leader="none" w:pos="7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760" w:hanging="185"/>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1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0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convertible senior notes outstanding as of December 31, 2021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w w:val="94"/>
              </w:rPr>
              <w:t>Net Carrying Amount</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1,704,607</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The 2026 Notes do not bear interest. In both the three and six months ended December 31, 2021, we recognized $0.4 million, respectively, of interest expense related to the amortization of debt discount and issuance costs in the interim condensed consolidated statement of operations and comprehensive loss within other (expense) income, net. As of December 31, 2021, the remaining life of the 2026 Notes is approximately 59 months.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has a final maturity date of January 19, 2024. The facility contains certain covenants and restrictions, including certain financial maintenance covenants, and requires payment of a monthly unused commitment fee of 0.35% per annum on the undrawn balance available. We executed our right to terminate the revolving credit agreement effective December 15, 2021, no early termination penalties were incurred. We had not drawn on the facility and there was no outstanding balance to be repaid. Upon termination, we accelerated $1.2 million of issuance costs which were recorded in other (expense) income, net.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Securitization and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consolidate VIEs when we are deemed to be the primary beneficiary.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We established certain entities, deemed to be VIEs, to enter into warehouse credit facilities for the purpose of purchasing loans from our originating bank partners and funding self-originated loans. Refer to Note 10.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Securitizations</w:t>
      </w:r>
    </w:p>
    <w:p>
      <w:pPr>
        <w:spacing w:after="0" w:line="252"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VIEs can only be settled by the respective VIEs’ assets. Additionally, the assets of the VIEs can be used only to settle obligations of the VIEs.</w:t>
      </w:r>
    </w:p>
    <w:p>
      <w:pPr>
        <w:spacing w:after="0" w:line="2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5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consolidated balance sheets.</w:t>
      </w:r>
    </w:p>
    <w:p>
      <w:pPr>
        <w:spacing w:after="0" w:line="19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As of December 31, 2021, we consolidated Affirm Asset Securitization Trust 2020-Z1 (“2020-Z1”), Affirm Asset Securitization Trust 2020-A (“2020-A”), Affirm Asset Securitization Trust 2020-Z2 (“2020-Z2”), Affirm Asset Securitization Trust 2021-A (“2021-A”), and Affirm Asset Securitization Trust 2021-B (“2021-B”). Each securitization trust issued interest-bearing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$2,024.3 million. The 2020-Z1 and 2020-Z2 securitizations are secured by static pools of loans contributed at closing, whereas the 2020-A, 2021-A, and 2021-B securitization are revolving and we may contribute additional loans from time to time until the end of the revolving period. For the 2020-Z2 securitization, we purchased $27.9 million of loan receivables from our third-party loan buyers which were then contributed to the trust.</w:t>
      </w:r>
    </w:p>
    <w:p>
      <w:pPr>
        <w:spacing w:after="0" w:line="20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For each securitization, the residual certificates represent the right to receive excess cash on the loans each collection period after all fees and required distributions have been made to the note holders on the related payment date. For 2020-Z1, 2020-A, 2021-A and 2021-B, all notes were sold to third-party investors and we retained 100% of the residual certificates issued by the securitization trusts. For 2020-Z2, all notes were sold to third-party investors and we retained 93.3% of the residual certificates issued by the securitization trust, and a third-party investor holds the remaining 6.7% of the residual certificates in 2020-Z2. The residual trust certificates held by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the aggregate carrying value of financial assets and liabilities from our involvement with consolidated VIEs.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2021</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517,151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1,610,369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1,578,922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129,742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0"/>
              </w:rPr>
              <w:t>June 30, 2021</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Liabilities</w:t>
            </w:r>
          </w:p>
        </w:tc>
        <w:tc>
          <w:tcPr>
            <w:tcW w:w="320" w:type="dxa"/>
            <w:vAlign w:val="bottom"/>
          </w:tcPr>
          <w:p>
            <w:pPr>
              <w:spacing w:after="0"/>
              <w:rPr>
                <w:sz w:val="18"/>
                <w:szCs w:val="18"/>
                <w:color w:val="auto"/>
              </w:rPr>
            </w:pPr>
          </w:p>
        </w:tc>
        <w:tc>
          <w:tcPr>
            <w:tcW w:w="1480" w:type="dxa"/>
            <w:vAlign w:val="bottom"/>
          </w:tcPr>
          <w:p>
            <w:pPr>
              <w:ind w:left="220"/>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614,882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73,315</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1,115,427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2"/>
              <w:spacing w:after="0"/>
              <w:rPr>
                <w:sz w:val="20"/>
                <w:szCs w:val="20"/>
                <w:color w:val="auto"/>
              </w:rPr>
            </w:pPr>
            <w:r>
              <w:rPr>
                <w:rFonts w:ascii="Arial" w:cs="Arial" w:eastAsia="Arial" w:hAnsi="Arial"/>
                <w:sz w:val="18"/>
                <w:szCs w:val="18"/>
                <w:color w:val="auto"/>
                <w:w w:val="92"/>
              </w:rPr>
              <w:t>(63,118)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2"/>
              <w:spacing w:after="0"/>
              <w:rPr>
                <w:sz w:val="20"/>
                <w:szCs w:val="20"/>
                <w:color w:val="auto"/>
              </w:rPr>
            </w:pPr>
            <w:r>
              <w:rPr>
                <w:rFonts w:ascii="Arial" w:cs="Arial" w:eastAsia="Arial" w:hAnsi="Arial"/>
                <w:sz w:val="18"/>
                <w:szCs w:val="18"/>
                <w:color w:val="auto"/>
                <w:w w:val="87"/>
              </w:rPr>
              <w:t>10,197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As of December 31, 2021, Affirm Asset Securitization Trust 2021-Z1 (“2021-Z1”) and Affirm Asset Securitization Trust 2021-Z2 (“2021-Z2”) were unconsolidated VIEs. We did not retain significant economic exposure through our variable interests and therefore we determined that we are not the primary beneficiary as of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2021-Z1</w:t>
      </w:r>
    </w:p>
    <w:p>
      <w:pPr>
        <w:spacing w:after="0" w:line="252"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On May 5, 2021, the notes under 2021-Z1 securitization were issued as a single class: Class A in the amount of $320.0 million (the “2021-Z1 notes”). The 2021-Z1 notes bear interest at a fixed rate of 1.07% and have a maturity date of August 15, 2025. Principal and interest payments began in June 2021 and are payable monthly.</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2021-Z1 securitization is secured by a static pool of loans which were contributed at the closing date to the 2021-Z1 trust. The loans contributed at closing were facilitated through our technology platform and purchased from our originating bank partners, with an aggregate outstanding principal balance of $351.0 million. Of the loans sold to the 2021-Z1 trust, we purchased $41.4 million of loan receivables from one of our third-party loan buyers, which were contributed to the trust at closing.</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closing, we retained 5% of the 2021-Z1 notes and 86.9% of the residual certificates issued by the 2021-Z1 trust. The third-party loan contributor received 13.1% of the residual certificates at closing. On May 17, 2021, we sold a majority of the residual certificates retained at closing, comprising 81.9% of the par value, to five third-party investors. Subsequent to this sale, we retained only a 5% vertical interest in the 2021-Z1 trust via our ownership of 5% par amount of the 2021-Z1 notes and 5% par amount of the residual interests. We were required to retain these interests for compliance with U.S. risk retention rules.</w:t>
      </w:r>
    </w:p>
    <w:p>
      <w:pPr>
        <w:spacing w:after="0" w:line="21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We initially consolidated the 2021-Z1 trust at closing due to retaining a majority of the residual interest. However, upon completing the subsequent third-party sale of 81.9% of the residual certificates on May 17, 2021, we determined that we no longer had significant economic exposure through our variable interests and as such, we determined that we were no longer the primary beneficiary as of this date.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deconsolidating the 2021-Z1 trust, we recognized a gain of $16.7 million, primarily driven by the gain on sale of the loans sold to the trust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2021-Z2</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November 10, 2021, the notes under 2021-Z2 securitization were issued as a single class: Class A in the amount of $260.0 million (the “2021-Z2 notes”). The 2021-Z2 notes bear interest at a fixed rate of 1.17% and have a maturity date of November 16, 2026. Principal and interest payments began in January 2022 and are payable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2021-Z2 securitization is secured by a static pool of loans which were contributed at the closing date to the 2021-Z2 trust. The loans contributed at closing were facilitated through our technology platform and purchased from our originating bank partners, with an aggregate outstanding principal balance of $287.5 million. Of the loans sold to the 2021-Z2 trust, we purchased $192.5 million of loan receivables from one of our third-party loan buyers, which were contributed to the trust at closing.</w:t>
      </w:r>
    </w:p>
    <w:p>
      <w:pPr>
        <w:spacing w:after="0" w:line="21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At closing, we retained only a 5% vertical interest in the 2021-Z2 trust via our ownership of 5% par amount of the 2021-Z2 notes and 5% par amount of the residual interests. We were required to retain these interests for compliance with U.S. risk retention rules. The third-party loan contributor received 95% of the residual certificates at closing.</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the closing date of the 2021-Z2 trust, we recognized a gain on sales of loans sold to the trust of $6.1 million, which is included within gain on sales of loans in our interim condensed consolidated statements of operations and comprehensive loss.</w:t>
      </w:r>
    </w:p>
    <w:p>
      <w:pPr>
        <w:spacing w:after="0" w:line="19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tables present the aggregate carrying value of financial assets and liabilities for unconsolidated VIEs where we hold a variable interest but are not the primary beneficiary: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2021</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492,096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481,979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492,096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481,979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2021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305,414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304,567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304,567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Assets of unconsolidated VIEs include the carrying value for loans held in the 2021-Z1 and 2021-Z2 trust and cash held in the collection and reserve accounts established for the trust. Liabilities include the outstanding principal balance of the 2021-Z1 and 2021-Z2 notes.</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242424"/>
        </w:rPr>
        <w:t xml:space="preserve">Maximum </w:t>
      </w:r>
      <w:r>
        <w:rPr>
          <w:rFonts w:ascii="Arial" w:cs="Arial" w:eastAsia="Arial" w:hAnsi="Arial"/>
          <w:sz w:val="18"/>
          <w:szCs w:val="18"/>
          <w:color w:val="000000"/>
        </w:rPr>
        <w:t>exposure to losses represents our exposure through our continuing involvement as servicer and through our retained interests. For 2021-Z1 and 2021-Z2, this includes $25.3 million in retained notes and residual certificates disclosed within securities available for sale at fair value in our interim condensed consolidated balance sheets and $0.7 million related to our servicing asset and receivables disclosed within other assets in our interim condensed consolidated balance sheets.</w:t>
      </w:r>
    </w:p>
    <w:p>
      <w:pPr>
        <w:spacing w:after="0" w:line="214"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Additionally, we may experience a loss due to future repurchase obligations resulting from breaches in representations and warranties in our securitization and third-party sale agreements. In connection with 2021-Z1 and 2021-Z2, this amount was not material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Beneficial Interests in Unconsolidated VIEs</w:t>
      </w:r>
    </w:p>
    <w:p>
      <w:pPr>
        <w:spacing w:after="0" w:line="25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2021-Z1 and 2021-Z2 as “available for sale” and as such they are disclosed at fair value in our interim condensed consolidated balance sheets.</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See Note 12. Investments and Note 13. Fair Value of Financial Assets and Liabilities for additional information on the fair value sensitivity of the notes receivable and residual certificates. Additionally, as of December 31, 2021, we have pledged the 2021-Z1 and 2021-Z2 retained beneficial interests as collateral in connection with a repurchase agreement as described in Note 10.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Marketable securities include certain investments classified as cash and cash equivalents and securities available for sale, at fair value, and consist of the following as of each date presented within the condensed consolidated balance sheets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2021</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1,462,310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143,241</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4,241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Government bonds</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Non-US</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42,659</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194,987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Government bonds</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Non-US</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US</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80,100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Securitization notes receivable and certificates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2,179,931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202,070</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2"/>
          <w:szCs w:val="22"/>
          <w:b w:val="1"/>
          <w:bCs w:val="1"/>
          <w:color w:val="auto"/>
          <w:vertAlign w:val="superscript"/>
        </w:rPr>
      </w:pPr>
      <w:r>
        <w:rPr>
          <w:rFonts w:ascii="Arial" w:cs="Arial" w:eastAsia="Arial" w:hAnsi="Arial"/>
          <w:sz w:val="17"/>
          <w:szCs w:val="17"/>
          <w:color w:val="auto"/>
        </w:rPr>
        <w:t>These securities have been pledged as collateral in connection with sale and repurchase agreements as discussed within Note 10. Debt.</w:t>
      </w: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200" w:lineRule="exact"/>
        <w:rPr>
          <w:rFonts w:ascii="Arial" w:cs="Arial" w:eastAsia="Arial" w:hAnsi="Arial"/>
          <w:sz w:val="22"/>
          <w:szCs w:val="22"/>
          <w:b w:val="1"/>
          <w:bCs w:val="1"/>
          <w:color w:val="auto"/>
          <w:vertAlign w:val="superscript"/>
        </w:rPr>
      </w:pPr>
    </w:p>
    <w:p>
      <w:pPr>
        <w:spacing w:after="0" w:line="308" w:lineRule="exact"/>
        <w:rPr>
          <w:rFonts w:ascii="Arial" w:cs="Arial" w:eastAsia="Arial" w:hAnsi="Arial"/>
          <w:sz w:val="22"/>
          <w:szCs w:val="22"/>
          <w:b w:val="1"/>
          <w:bCs w:val="1"/>
          <w:color w:val="auto"/>
          <w:vertAlign w:val="superscript"/>
        </w:rPr>
      </w:pPr>
    </w:p>
    <w:p>
      <w:pPr>
        <w:ind w:left="5540"/>
        <w:spacing w:after="0"/>
        <w:rPr>
          <w:rFonts w:ascii="Arial" w:cs="Arial" w:eastAsia="Arial" w:hAnsi="Arial"/>
          <w:sz w:val="22"/>
          <w:szCs w:val="22"/>
          <w:b w:val="1"/>
          <w:bCs w:val="1"/>
          <w:color w:val="auto"/>
          <w:vertAlign w:val="superscript"/>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 for Sale, at Fair Value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December 31,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6"/>
                <w:szCs w:val="16"/>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center"/>
              <w:ind w:left="87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199,713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199,228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277,632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Non-US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70,464</w:t>
            </w:r>
          </w:p>
        </w:tc>
        <w:tc>
          <w:tcPr>
            <w:tcW w:w="0" w:type="dxa"/>
            <w:vAlign w:val="bottom"/>
          </w:tcPr>
          <w:p>
            <w:pPr>
              <w:spacing w:after="0"/>
              <w:rPr>
                <w:sz w:val="1"/>
                <w:szCs w:val="1"/>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80,248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left="75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80,100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Securitization notes receivable and certificates </w:t>
            </w:r>
            <w:r>
              <w:rPr>
                <w:rFonts w:ascii="Arial" w:cs="Arial" w:eastAsia="Arial" w:hAnsi="Arial"/>
                <w:sz w:val="23"/>
                <w:szCs w:val="23"/>
                <w:color w:val="auto"/>
                <w:w w:val="94"/>
                <w:vertAlign w:val="superscript"/>
              </w:rPr>
              <w:t>(2)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2"/>
              <w:spacing w:after="0"/>
              <w:rPr>
                <w:sz w:val="20"/>
                <w:szCs w:val="20"/>
                <w:color w:val="auto"/>
              </w:rPr>
            </w:pPr>
            <w:r>
              <w:rPr>
                <w:rFonts w:ascii="Arial" w:cs="Arial" w:eastAsia="Arial" w:hAnsi="Arial"/>
                <w:sz w:val="18"/>
                <w:szCs w:val="18"/>
                <w:color w:val="auto"/>
                <w:w w:val="93"/>
              </w:rPr>
              <w:t>(52)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center"/>
              <w:ind w:left="872"/>
              <w:spacing w:after="0"/>
              <w:rPr>
                <w:sz w:val="20"/>
                <w:szCs w:val="20"/>
                <w:color w:val="auto"/>
              </w:rPr>
            </w:pPr>
            <w:r>
              <w:rPr>
                <w:rFonts w:ascii="Arial" w:cs="Arial" w:eastAsia="Arial" w:hAnsi="Arial"/>
                <w:sz w:val="18"/>
                <w:szCs w:val="18"/>
                <w:color w:val="auto"/>
                <w:w w:val="93"/>
              </w:rPr>
              <w:t>(52)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674,961</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460" w:hanging="328"/>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Certificates of deposit, corporate bonds, non-US government bonds and commercial paper include $199.6 million classified as cash and cash equivalents within the interim condensed consolidated balance sheets.</w:t>
      </w:r>
    </w:p>
    <w:p>
      <w:pPr>
        <w:ind w:left="660" w:right="200" w:hanging="328"/>
        <w:spacing w:after="0" w:line="219"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These securities have been pledged as collateral in connection with sale and repurchase agreements as discussed within Note 10. Debt - Funding Debt- Repurchase Agreements.</w:t>
      </w:r>
    </w:p>
    <w:p>
      <w:pPr>
        <w:spacing w:after="0" w:line="230" w:lineRule="exact"/>
        <w:rPr>
          <w:sz w:val="20"/>
          <w:szCs w:val="20"/>
          <w:color w:val="auto"/>
        </w:rPr>
      </w:pPr>
    </w:p>
    <w:p>
      <w:pPr>
        <w:ind w:right="20" w:firstLine="648"/>
        <w:spacing w:after="0" w:line="274"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June 30, 2021 were as follows:</w:t>
      </w:r>
    </w:p>
    <w:tbl>
      <w:tblPr>
        <w:tblLayout w:type="fixed"/>
        <w:tblInd w:w="0" w:type="dxa"/>
        <w:tblCellMar>
          <w:top w:w="0" w:type="dxa"/>
          <w:left w:w="0" w:type="dxa"/>
          <w:bottom w:w="0" w:type="dxa"/>
          <w:right w:w="0" w:type="dxa"/>
        </w:tblCellMar>
      </w:tblPr>
      <w:tr>
        <w:trPr>
          <w:trHeight w:val="163"/>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63"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63"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4"/>
                <w:szCs w:val="14"/>
                <w:color w:val="auto"/>
              </w:rPr>
            </w:pPr>
          </w:p>
        </w:tc>
        <w:tc>
          <w:tcPr>
            <w:tcW w:w="1420" w:type="dxa"/>
            <w:vAlign w:val="bottom"/>
            <w:gridSpan w:val="2"/>
          </w:tcPr>
          <w:p>
            <w:pPr>
              <w:ind w:left="80"/>
              <w:spacing w:after="0" w:line="163"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4"/>
                <w:szCs w:val="14"/>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2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notes receivable and certificates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2021 and June 30, 2021,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December 31, 2021,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5"/>
          </w:tcPr>
          <w:p>
            <w:pPr>
              <w:ind w:left="38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440" w:type="dxa"/>
            <w:vAlign w:val="bottom"/>
            <w:gridSpan w:val="5"/>
          </w:tcPr>
          <w:p>
            <w:pPr>
              <w:ind w:left="240"/>
              <w:spacing w:after="0"/>
              <w:rPr>
                <w:sz w:val="20"/>
                <w:szCs w:val="20"/>
                <w:color w:val="auto"/>
              </w:rPr>
            </w:pPr>
            <w:r>
              <w:rPr>
                <w:rFonts w:ascii="Arial" w:cs="Arial" w:eastAsia="Arial" w:hAnsi="Arial"/>
                <w:sz w:val="16"/>
                <w:szCs w:val="16"/>
                <w:b w:val="1"/>
                <w:bCs w:val="1"/>
                <w:color w:val="auto"/>
              </w:rPr>
              <w:t>Greater than 12 months</w:t>
            </w:r>
          </w:p>
        </w:tc>
        <w:tc>
          <w:tcPr>
            <w:tcW w:w="1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ind w:left="60"/>
              <w:spacing w:after="0" w:line="158" w:lineRule="exact"/>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32"/>
              <w:spacing w:after="0" w:line="158" w:lineRule="exact"/>
              <w:rPr>
                <w:sz w:val="20"/>
                <w:szCs w:val="20"/>
                <w:color w:val="auto"/>
              </w:rPr>
            </w:pPr>
            <w:r>
              <w:rPr>
                <w:rFonts w:ascii="Arial" w:cs="Arial" w:eastAsia="Arial" w:hAnsi="Arial"/>
                <w:sz w:val="16"/>
                <w:szCs w:val="16"/>
                <w:b w:val="1"/>
                <w:bCs w:val="1"/>
                <w:color w:val="auto"/>
                <w:w w:val="98"/>
              </w:rPr>
              <w:t>Unrealized</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Losses</w:t>
            </w: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22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w:t>
            </w: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number of positions with unrealized losses as of December 31, 2021 totaled 107.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securities available for sale with unrealized losses for which an allowance for credit losses had not been recorded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length of time to contractual maturities of securities available for sale as of December 31,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gridSpan w:val="5"/>
          </w:tcPr>
          <w:p>
            <w:pPr>
              <w:ind w:left="380"/>
              <w:spacing w:after="0"/>
              <w:rPr>
                <w:sz w:val="20"/>
                <w:szCs w:val="20"/>
                <w:color w:val="auto"/>
              </w:rPr>
            </w:pPr>
            <w:r>
              <w:rPr>
                <w:rFonts w:ascii="Arial" w:cs="Arial" w:eastAsia="Arial" w:hAnsi="Arial"/>
                <w:sz w:val="16"/>
                <w:szCs w:val="16"/>
                <w:b w:val="1"/>
                <w:bCs w:val="1"/>
                <w:color w:val="auto"/>
              </w:rPr>
              <w:t>Less than 1 year</w:t>
            </w:r>
          </w:p>
        </w:tc>
        <w:tc>
          <w:tcPr>
            <w:tcW w:w="32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Arial" w:cs="Arial" w:eastAsia="Arial" w:hAnsi="Arial"/>
                <w:sz w:val="16"/>
                <w:szCs w:val="16"/>
                <w:b w:val="1"/>
                <w:bCs w:val="1"/>
                <w:color w:val="auto"/>
              </w:rPr>
              <w:t>1 year through 5 years</w:t>
            </w:r>
          </w:p>
        </w:tc>
        <w:tc>
          <w:tcPr>
            <w:tcW w:w="3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8"/>
                <w:szCs w:val="18"/>
                <w:color w:val="auto"/>
              </w:rPr>
            </w:pPr>
          </w:p>
        </w:tc>
        <w:tc>
          <w:tcPr>
            <w:tcW w:w="134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147,298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199,713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199,228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277,641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277,632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70,464</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US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80,100</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581,818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675,919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674,961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life of expected cash flows as of December 31, 2021.</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Gross proceeds from matured or redeemed securities for the three and six months ended December 31, 2021 were $584.9 million and $635.6 million, respectively.</w:t>
      </w:r>
    </w:p>
    <w:p>
      <w:pPr>
        <w:spacing w:after="0" w:line="197"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There were no portfolio sales or associated realized gains or losses for available for sale securities for the three and six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Non-marketable equity securities which do not have a readily determinable fair value are measured at cost less impairment, if any, and adjusted for changes resulting from observable price changes in orderly transactions for an identical or similar investment in the same issuer (the “measurement alternative”).</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Unrealized and realized gains and losses on the investment due to impairment or observable price changes in orderly transaction for an identical or similar investment of the same issuer, if any, are recognized in other (expense) income, net on our interim condensed consolidated statements of operations and comprehensive loss and a new carrying value is established for the investment upon such recognition.</w:t>
      </w:r>
    </w:p>
    <w:p>
      <w:pPr>
        <w:spacing w:after="0" w:line="19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Equity investments without a readily determinable fair value held at cost were $30.2 million and $11.3 million as of December 31, 2021 and June 30, 2021, respectively, and are included in other assets within the interim condensed consolidated balance sheets.</w:t>
      </w:r>
    </w:p>
    <w:p>
      <w:pPr>
        <w:spacing w:after="0" w:line="19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There have been no unrealized or realized gains and losses due to observable changes in orderly transactions and we did not record any impairment for the three and six months ended December 31, 2021 or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Assets and Liabilities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ASC Topic 820, “Fair Value Measurement” (“ASC 820”) establishes a fair value hierarchy that prioritizes the use of inputs used in valuation methodologies into the following three levels:</w:t>
      </w:r>
    </w:p>
    <w:p>
      <w:pPr>
        <w:spacing w:after="0" w:line="197" w:lineRule="exact"/>
        <w:rPr>
          <w:sz w:val="20"/>
          <w:szCs w:val="20"/>
          <w:color w:val="auto"/>
        </w:rPr>
      </w:pPr>
    </w:p>
    <w:p>
      <w:pPr>
        <w:ind w:left="660" w:right="40" w:hanging="328"/>
        <w:spacing w:after="0" w:line="30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 A quoted price in an</w:t>
      </w:r>
      <w:r>
        <w:rPr>
          <w:rFonts w:ascii="Arial" w:cs="Arial" w:eastAsia="Arial" w:hAnsi="Arial"/>
          <w:sz w:val="17"/>
          <w:szCs w:val="17"/>
          <w:i w:val="1"/>
          <w:iCs w:val="1"/>
          <w:color w:val="auto"/>
        </w:rPr>
        <w:t xml:space="preserve"> </w:t>
      </w:r>
      <w:r>
        <w:rPr>
          <w:rFonts w:ascii="Arial" w:cs="Arial" w:eastAsia="Arial" w:hAnsi="Arial"/>
          <w:sz w:val="17"/>
          <w:szCs w:val="17"/>
          <w:color w:val="auto"/>
        </w:rPr>
        <w:t>active market provides the most reliable evidence of fair value and shall be used to measure fair value whenever available.</w:t>
      </w:r>
    </w:p>
    <w:p>
      <w:pPr>
        <w:spacing w:after="0" w:line="173"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or liabilities in active markets; inputs to the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92" w:lineRule="exact"/>
        <w:rPr>
          <w:rFonts w:ascii="Arial" w:cs="Arial" w:eastAsia="Arial" w:hAnsi="Arial"/>
          <w:sz w:val="17"/>
          <w:szCs w:val="17"/>
          <w:color w:val="auto"/>
        </w:rPr>
      </w:pPr>
    </w:p>
    <w:p>
      <w:pPr>
        <w:jc w:val="both"/>
        <w:ind w:left="660" w:right="10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 Level 3 assets and liabilities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December 31,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1,462,310</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7,013</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175,186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175,186</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13,142</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42,659</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15,205</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194,987</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102,446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102,446</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57,322</w:t>
            </w:r>
          </w:p>
        </w:tc>
      </w:tr>
      <w:tr>
        <w:trPr>
          <w:trHeight w:val="229"/>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80,100</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25,319</w:t>
            </w:r>
          </w:p>
        </w:tc>
      </w:tr>
      <w:tr>
        <w:trPr>
          <w:trHeight w:val="223"/>
        </w:trPr>
        <w:tc>
          <w:tcPr>
            <w:tcW w:w="5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securities available for sale</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450,060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475,379</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2,178</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agreements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1,504,969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657,529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2,189,995</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8,626</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253,750</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266,577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266,577</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2021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143,241</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42,659</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Derivative agreements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18,519</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207,299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153,447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153,447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162,076</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162,076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periods ended December 31, 2021 and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(Level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Available for Sale</w:t>
      </w:r>
    </w:p>
    <w:p>
      <w:pPr>
        <w:spacing w:after="0" w:line="252"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As of December 31, 2021, we held marketable securities classified as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 (Interest Rate Cap Agreements and Constant Maturity Swaps)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2021 and June 30, 2021, derivatives instruments included interest rate cap agreements which we entered into to manage interest costs and the risk associated with variable interest rates or in certain instances to offset pricing fluctuations with third-party loan buyers. As of December 31, 2021, derivatives instruments also included a series of constant maturity swaps which were entered into for the purpose of offsetting variable cash flows related to loan sale pricing fluctuations with third-party loan buyers. Neither the interest rate caps or the constant maturity swaps have been designated as hedging instruments.</w:t>
      </w:r>
    </w:p>
    <w:p>
      <w:pPr>
        <w:spacing w:after="0" w:line="215" w:lineRule="exact"/>
        <w:rPr>
          <w:sz w:val="20"/>
          <w:szCs w:val="20"/>
          <w:color w:val="auto"/>
        </w:rPr>
      </w:pPr>
    </w:p>
    <w:p>
      <w:pPr>
        <w:jc w:val="both"/>
        <w:ind w:right="60" w:firstLine="648"/>
        <w:spacing w:after="0" w:line="275" w:lineRule="auto"/>
        <w:rPr>
          <w:sz w:val="20"/>
          <w:szCs w:val="20"/>
          <w:color w:val="auto"/>
        </w:rPr>
      </w:pPr>
      <w:r>
        <w:rPr>
          <w:rFonts w:ascii="Arial" w:cs="Arial" w:eastAsia="Arial" w:hAnsi="Arial"/>
          <w:sz w:val="17"/>
          <w:szCs w:val="17"/>
          <w:color w:val="auto"/>
        </w:rPr>
        <w:t>As of December 31, 2021 and June 30, 2021, each of the interest rate caps and constant maturity swaps are in a net asset position and classified as Level 2 within the fair value hierarchy, based on prices quoted for similar financial instruments in markets that are not active. The fair values are presented gross within other assets and offsetting collateral received by the counterparty is presented as a liability within accrued expenses and other liabilities on the interim condensed consolidated balance sheets. Any changes in the fair value of these financial instruments are reflected in other (expense)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sold loans with an unpaid balance of $2,511.9 million and $3,605.0 million for the three and six months ended December 31, 2021, respectively, and $834.9 million and $1,256.5 million for the three and six months ended December 31, 2020, respectively, for which we retained servicing rights.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December 31, 2021 and June 30, 2021, we serviced loans which we sold with a remaining unpaid principal balance of $3,746.6 million and $2,453.9 million, respectively.</w:t>
      </w:r>
    </w:p>
    <w:p>
      <w:pPr>
        <w:spacing w:after="0" w:line="19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Default Rate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earned $11.3 million and $20.8 million of servicing income for the three and six months ended December 31, 2021, respectively, and $5.2 million and $9.3 million for the three and six months ended December 31, 2020, respectively.</w:t>
      </w:r>
    </w:p>
    <w:p>
      <w:pPr>
        <w:spacing w:after="0" w:line="19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of both December 31, 2021 and June 30, 2021, the aggregate fair value of the servicing assets was measured at $2.2 million and $2.3 million, respectively and presented within other assets on the interim condensed consolidated balance sheets. As of December 31, 2021 and June 30, 2021, the aggregate fair value of the servicing liabilities was measured at $8.6 million and $4.0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Servicing Assets</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Three Months Ended December 31,</w:t>
            </w:r>
          </w:p>
        </w:tc>
        <w:tc>
          <w:tcPr>
            <w:tcW w:w="1060" w:type="dxa"/>
            <w:vAlign w:val="bottom"/>
          </w:tcPr>
          <w:p>
            <w:pPr>
              <w:spacing w:after="0"/>
              <w:rPr>
                <w:sz w:val="13"/>
                <w:szCs w:val="13"/>
                <w:color w:val="auto"/>
              </w:rPr>
            </w:pPr>
          </w:p>
        </w:tc>
        <w:tc>
          <w:tcPr>
            <w:tcW w:w="2060" w:type="dxa"/>
            <w:vAlign w:val="bottom"/>
            <w:gridSpan w:val="4"/>
          </w:tcPr>
          <w:p>
            <w:pPr>
              <w:jc w:val="right"/>
              <w:ind w:right="30"/>
              <w:spacing w:after="0" w:line="158" w:lineRule="exact"/>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0" w:type="dxa"/>
            <w:vAlign w:val="bottom"/>
            <w:gridSpan w:val="6"/>
            <w:vMerge w:val="continue"/>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3"/>
          </w:tcPr>
          <w:p>
            <w:pPr>
              <w:ind w:left="500"/>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3060" w:type="dxa"/>
            <w:vAlign w:val="bottom"/>
            <w:gridSpan w:val="2"/>
            <w:shd w:val="clear" w:color="auto" w:fill="CCEEFF"/>
          </w:tcPr>
          <w:p>
            <w:pPr>
              <w:ind w:left="680"/>
              <w:spacing w:after="0" w:line="158" w:lineRule="exact"/>
              <w:rPr>
                <w:sz w:val="20"/>
                <w:szCs w:val="20"/>
                <w:color w:val="auto"/>
              </w:rPr>
            </w:pPr>
            <w:r>
              <w:rPr>
                <w:rFonts w:ascii="Arial" w:cs="Arial" w:eastAsia="Arial" w:hAnsi="Arial"/>
                <w:sz w:val="18"/>
                <w:szCs w:val="18"/>
                <w:color w:val="auto"/>
              </w:rPr>
              <w:t>Fair value at beginning of</w:t>
            </w:r>
          </w:p>
        </w:tc>
        <w:tc>
          <w:tcPr>
            <w:tcW w:w="9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center"/>
              <w:ind w:left="274"/>
              <w:spacing w:after="0"/>
              <w:rPr>
                <w:sz w:val="20"/>
                <w:szCs w:val="20"/>
                <w:color w:val="auto"/>
              </w:rPr>
            </w:pPr>
            <w:r>
              <w:rPr>
                <w:rFonts w:ascii="Arial" w:cs="Arial" w:eastAsia="Arial" w:hAnsi="Arial"/>
                <w:sz w:val="18"/>
                <w:szCs w:val="18"/>
                <w:color w:val="auto"/>
                <w:w w:val="88"/>
              </w:rPr>
              <w:t>2,349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center"/>
              <w:ind w:left="292"/>
              <w:spacing w:after="0"/>
              <w:rPr>
                <w:sz w:val="20"/>
                <w:szCs w:val="20"/>
                <w:color w:val="auto"/>
              </w:rPr>
            </w:pPr>
            <w:r>
              <w:rPr>
                <w:rFonts w:ascii="Arial" w:cs="Arial" w:eastAsia="Arial" w:hAnsi="Arial"/>
                <w:sz w:val="18"/>
                <w:szCs w:val="18"/>
                <w:color w:val="auto"/>
                <w:w w:val="88"/>
              </w:rPr>
              <w:t>2,132</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9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gridSpan w:val="2"/>
          </w:tcPr>
          <w:p>
            <w:pPr>
              <w:ind w:left="780"/>
              <w:spacing w:after="0" w:line="176" w:lineRule="exact"/>
              <w:rPr>
                <w:sz w:val="20"/>
                <w:szCs w:val="20"/>
                <w:color w:val="auto"/>
              </w:rPr>
            </w:pPr>
            <w:r>
              <w:rPr>
                <w:rFonts w:ascii="Arial" w:cs="Arial" w:eastAsia="Arial" w:hAnsi="Arial"/>
                <w:sz w:val="18"/>
                <w:szCs w:val="18"/>
                <w:color w:val="auto"/>
              </w:rPr>
              <w:t>Initial transfers of financial</w:t>
            </w:r>
          </w:p>
        </w:tc>
        <w:tc>
          <w:tcPr>
            <w:tcW w:w="9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vMerge w:val="restart"/>
          </w:tcPr>
          <w:p>
            <w:pPr>
              <w:jc w:val="center"/>
              <w:ind w:left="294"/>
              <w:spacing w:after="0"/>
              <w:rPr>
                <w:sz w:val="20"/>
                <w:szCs w:val="20"/>
                <w:color w:val="auto"/>
              </w:rPr>
            </w:pPr>
            <w:r>
              <w:rPr>
                <w:rFonts w:ascii="Arial" w:cs="Arial" w:eastAsia="Arial" w:hAnsi="Arial"/>
                <w:sz w:val="18"/>
                <w:szCs w:val="18"/>
                <w:color w:val="auto"/>
                <w:w w:val="84"/>
              </w:rPr>
              <w:t>1,114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center"/>
              <w:ind w:left="292"/>
              <w:spacing w:after="0"/>
              <w:rPr>
                <w:sz w:val="20"/>
                <w:szCs w:val="20"/>
                <w:color w:val="auto"/>
              </w:rPr>
            </w:pPr>
            <w:r>
              <w:rPr>
                <w:rFonts w:ascii="Arial" w:cs="Arial" w:eastAsia="Arial" w:hAnsi="Arial"/>
                <w:sz w:val="18"/>
                <w:szCs w:val="18"/>
                <w:color w:val="auto"/>
                <w:w w:val="88"/>
              </w:rPr>
              <w:t>1,530</w:t>
            </w:r>
          </w:p>
        </w:tc>
        <w:tc>
          <w:tcPr>
            <w:tcW w:w="0" w:type="dxa"/>
            <w:vAlign w:val="bottom"/>
          </w:tcPr>
          <w:p>
            <w:pPr>
              <w:spacing w:after="0"/>
              <w:rPr>
                <w:sz w:val="1"/>
                <w:szCs w:val="1"/>
                <w:color w:val="auto"/>
              </w:rPr>
            </w:pPr>
          </w:p>
        </w:tc>
      </w:tr>
      <w:tr>
        <w:trPr>
          <w:trHeight w:val="229"/>
        </w:trPr>
        <w:tc>
          <w:tcPr>
            <w:tcW w:w="30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gridSpan w:val="2"/>
            <w:shd w:val="clear" w:color="auto" w:fill="CCEEFF"/>
          </w:tcPr>
          <w:p>
            <w:pPr>
              <w:ind w:left="780"/>
              <w:spacing w:after="0" w:line="176" w:lineRule="exact"/>
              <w:rPr>
                <w:sz w:val="20"/>
                <w:szCs w:val="20"/>
                <w:color w:val="auto"/>
              </w:rPr>
            </w:pPr>
            <w:r>
              <w:rPr>
                <w:rFonts w:ascii="Arial" w:cs="Arial" w:eastAsia="Arial" w:hAnsi="Arial"/>
                <w:sz w:val="18"/>
                <w:szCs w:val="18"/>
                <w:color w:val="auto"/>
              </w:rPr>
              <w:t>Subsequent changes in fair</w:t>
            </w:r>
          </w:p>
        </w:tc>
        <w:tc>
          <w:tcPr>
            <w:tcW w:w="9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254"/>
              <w:spacing w:after="0"/>
              <w:rPr>
                <w:sz w:val="20"/>
                <w:szCs w:val="20"/>
                <w:color w:val="auto"/>
              </w:rPr>
            </w:pPr>
            <w:r>
              <w:rPr>
                <w:rFonts w:ascii="Arial" w:cs="Arial" w:eastAsia="Arial" w:hAnsi="Arial"/>
                <w:sz w:val="18"/>
                <w:szCs w:val="18"/>
                <w:color w:val="auto"/>
                <w:w w:val="94"/>
              </w:rPr>
              <w:t>(1,285)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272"/>
              <w:spacing w:after="0"/>
              <w:rPr>
                <w:sz w:val="20"/>
                <w:szCs w:val="20"/>
                <w:color w:val="auto"/>
              </w:rPr>
            </w:pPr>
            <w:r>
              <w:rPr>
                <w:rFonts w:ascii="Arial" w:cs="Arial" w:eastAsia="Arial" w:hAnsi="Arial"/>
                <w:sz w:val="18"/>
                <w:szCs w:val="18"/>
                <w:color w:val="auto"/>
                <w:w w:val="94"/>
              </w:rPr>
              <w:t>(1,739)</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value</w:t>
            </w: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ind w:left="680"/>
              <w:spacing w:after="0"/>
              <w:rPr>
                <w:sz w:val="20"/>
                <w:szCs w:val="20"/>
                <w:color w:val="auto"/>
              </w:rPr>
            </w:pPr>
            <w:r>
              <w:rPr>
                <w:rFonts w:ascii="Arial" w:cs="Arial" w:eastAsia="Arial" w:hAnsi="Arial"/>
                <w:sz w:val="18"/>
                <w:szCs w:val="18"/>
                <w:color w:val="auto"/>
              </w:rPr>
              <w:t>Fair value at end of period</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88"/>
              </w:rPr>
              <w:t>2,178</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8"/>
              </w:rPr>
              <w:t>1,923</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820" w:type="dxa"/>
            <w:vAlign w:val="bottom"/>
            <w:gridSpan w:val="13"/>
          </w:tcPr>
          <w:p>
            <w:pPr>
              <w:ind w:left="660"/>
              <w:spacing w:after="0"/>
              <w:rPr>
                <w:sz w:val="20"/>
                <w:szCs w:val="20"/>
                <w:color w:val="auto"/>
              </w:rPr>
            </w:pPr>
            <w:r>
              <w:rPr>
                <w:rFonts w:ascii="Arial" w:cs="Arial" w:eastAsia="Arial" w:hAnsi="Arial"/>
                <w:sz w:val="18"/>
                <w:szCs w:val="18"/>
                <w:color w:val="auto"/>
                <w:w w:val="97"/>
              </w:rPr>
              <w:t>The following table summarizes the activity related to the aggregate fair value of our servicing liabilities (in thousands):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Servicing Liabilities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0" w:type="dxa"/>
            <w:vAlign w:val="bottom"/>
            <w:gridSpan w:val="6"/>
            <w:vMerge w:val="restart"/>
          </w:tcPr>
          <w:p>
            <w:pPr>
              <w:ind w:left="180"/>
              <w:spacing w:after="0"/>
              <w:rPr>
                <w:sz w:val="20"/>
                <w:szCs w:val="20"/>
                <w:color w:val="auto"/>
              </w:rPr>
            </w:pPr>
            <w:r>
              <w:rPr>
                <w:rFonts w:ascii="Arial" w:cs="Arial" w:eastAsia="Arial" w:hAnsi="Arial"/>
                <w:sz w:val="16"/>
                <w:szCs w:val="16"/>
                <w:b w:val="1"/>
                <w:bCs w:val="1"/>
                <w:color w:val="auto"/>
              </w:rPr>
              <w:t>Three Months Ended December 31,</w:t>
            </w:r>
          </w:p>
        </w:tc>
        <w:tc>
          <w:tcPr>
            <w:tcW w:w="1060" w:type="dxa"/>
            <w:vAlign w:val="bottom"/>
          </w:tcPr>
          <w:p>
            <w:pPr>
              <w:spacing w:after="0"/>
              <w:rPr>
                <w:sz w:val="13"/>
                <w:szCs w:val="13"/>
                <w:color w:val="auto"/>
              </w:rPr>
            </w:pPr>
          </w:p>
        </w:tc>
        <w:tc>
          <w:tcPr>
            <w:tcW w:w="2060" w:type="dxa"/>
            <w:vAlign w:val="bottom"/>
            <w:gridSpan w:val="4"/>
          </w:tcPr>
          <w:p>
            <w:pPr>
              <w:jc w:val="right"/>
              <w:ind w:right="30"/>
              <w:spacing w:after="0" w:line="158" w:lineRule="exact"/>
              <w:rPr>
                <w:sz w:val="20"/>
                <w:szCs w:val="20"/>
                <w:color w:val="auto"/>
              </w:rPr>
            </w:pPr>
            <w:r>
              <w:rPr>
                <w:rFonts w:ascii="Arial" w:cs="Arial" w:eastAsia="Arial" w:hAnsi="Arial"/>
                <w:sz w:val="16"/>
                <w:szCs w:val="16"/>
                <w:b w:val="1"/>
                <w:bCs w:val="1"/>
                <w:color w:val="auto"/>
              </w:rPr>
              <w:t>Six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0" w:type="dxa"/>
            <w:vAlign w:val="bottom"/>
            <w:gridSpan w:val="6"/>
            <w:vMerge w:val="continue"/>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gridSpan w:val="3"/>
          </w:tcPr>
          <w:p>
            <w:pPr>
              <w:ind w:left="500"/>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3040" w:type="dxa"/>
            <w:vAlign w:val="bottom"/>
            <w:shd w:val="clear" w:color="auto" w:fill="CCEEFF"/>
          </w:tcPr>
          <w:p>
            <w:pPr>
              <w:ind w:left="680"/>
              <w:spacing w:after="0" w:line="158" w:lineRule="exact"/>
              <w:rPr>
                <w:sz w:val="20"/>
                <w:szCs w:val="20"/>
                <w:color w:val="auto"/>
              </w:rPr>
            </w:pPr>
            <w:r>
              <w:rPr>
                <w:rFonts w:ascii="Arial" w:cs="Arial" w:eastAsia="Arial" w:hAnsi="Arial"/>
                <w:sz w:val="18"/>
                <w:szCs w:val="18"/>
                <w:color w:val="auto"/>
              </w:rPr>
              <w:t>Fair value at beginning of</w:t>
            </w:r>
          </w:p>
        </w:tc>
        <w:tc>
          <w:tcPr>
            <w:tcW w:w="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center"/>
              <w:ind w:left="274"/>
              <w:spacing w:after="0"/>
              <w:rPr>
                <w:sz w:val="20"/>
                <w:szCs w:val="20"/>
                <w:color w:val="auto"/>
              </w:rPr>
            </w:pPr>
            <w:r>
              <w:rPr>
                <w:rFonts w:ascii="Arial" w:cs="Arial" w:eastAsia="Arial" w:hAnsi="Arial"/>
                <w:sz w:val="18"/>
                <w:szCs w:val="18"/>
                <w:color w:val="auto"/>
                <w:w w:val="88"/>
              </w:rPr>
              <w:t>3,961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center"/>
              <w:ind w:left="292"/>
              <w:spacing w:after="0"/>
              <w:rPr>
                <w:sz w:val="20"/>
                <w:szCs w:val="20"/>
                <w:color w:val="auto"/>
              </w:rPr>
            </w:pPr>
            <w:r>
              <w:rPr>
                <w:rFonts w:ascii="Arial" w:cs="Arial" w:eastAsia="Arial" w:hAnsi="Arial"/>
                <w:sz w:val="18"/>
                <w:szCs w:val="18"/>
                <w:color w:val="auto"/>
                <w:w w:val="88"/>
              </w:rPr>
              <w:t>1,540</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9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60" w:type="dxa"/>
            <w:vAlign w:val="bottom"/>
            <w:gridSpan w:val="2"/>
          </w:tcPr>
          <w:p>
            <w:pPr>
              <w:ind w:left="780"/>
              <w:spacing w:after="0" w:line="176" w:lineRule="exact"/>
              <w:rPr>
                <w:sz w:val="20"/>
                <w:szCs w:val="20"/>
                <w:color w:val="auto"/>
              </w:rPr>
            </w:pPr>
            <w:r>
              <w:rPr>
                <w:rFonts w:ascii="Arial" w:cs="Arial" w:eastAsia="Arial" w:hAnsi="Arial"/>
                <w:sz w:val="18"/>
                <w:szCs w:val="18"/>
                <w:color w:val="auto"/>
              </w:rPr>
              <w:t>Initial transfers of financial</w:t>
            </w:r>
          </w:p>
        </w:tc>
        <w:tc>
          <w:tcPr>
            <w:tcW w:w="9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6,749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vMerge w:val="restart"/>
          </w:tcPr>
          <w:p>
            <w:pPr>
              <w:jc w:val="center"/>
              <w:ind w:left="274"/>
              <w:spacing w:after="0"/>
              <w:rPr>
                <w:sz w:val="20"/>
                <w:szCs w:val="20"/>
                <w:color w:val="auto"/>
              </w:rPr>
            </w:pPr>
            <w:r>
              <w:rPr>
                <w:rFonts w:ascii="Arial" w:cs="Arial" w:eastAsia="Arial" w:hAnsi="Arial"/>
                <w:sz w:val="18"/>
                <w:szCs w:val="18"/>
                <w:color w:val="auto"/>
                <w:w w:val="88"/>
              </w:rPr>
              <w:t>8,724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vMerge w:val="restart"/>
          </w:tcPr>
          <w:p>
            <w:pPr>
              <w:jc w:val="center"/>
              <w:ind w:left="292"/>
              <w:spacing w:after="0"/>
              <w:rPr>
                <w:sz w:val="20"/>
                <w:szCs w:val="20"/>
                <w:color w:val="auto"/>
              </w:rPr>
            </w:pPr>
            <w:r>
              <w:rPr>
                <w:rFonts w:ascii="Arial" w:cs="Arial" w:eastAsia="Arial" w:hAnsi="Arial"/>
                <w:sz w:val="18"/>
                <w:szCs w:val="18"/>
                <w:color w:val="auto"/>
                <w:w w:val="88"/>
              </w:rPr>
              <w:t>3,213</w:t>
            </w:r>
          </w:p>
        </w:tc>
        <w:tc>
          <w:tcPr>
            <w:tcW w:w="0" w:type="dxa"/>
            <w:vAlign w:val="bottom"/>
          </w:tcPr>
          <w:p>
            <w:pPr>
              <w:spacing w:after="0"/>
              <w:rPr>
                <w:sz w:val="1"/>
                <w:szCs w:val="1"/>
                <w:color w:val="auto"/>
              </w:rPr>
            </w:pPr>
          </w:p>
        </w:tc>
      </w:tr>
      <w:tr>
        <w:trPr>
          <w:trHeight w:val="230"/>
        </w:trPr>
        <w:tc>
          <w:tcPr>
            <w:tcW w:w="306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60" w:type="dxa"/>
            <w:vAlign w:val="bottom"/>
            <w:gridSpan w:val="2"/>
            <w:shd w:val="clear" w:color="auto" w:fill="CCEEFF"/>
          </w:tcPr>
          <w:p>
            <w:pPr>
              <w:ind w:left="780"/>
              <w:spacing w:after="0" w:line="176" w:lineRule="exact"/>
              <w:rPr>
                <w:sz w:val="20"/>
                <w:szCs w:val="20"/>
                <w:color w:val="auto"/>
              </w:rPr>
            </w:pPr>
            <w:r>
              <w:rPr>
                <w:rFonts w:ascii="Arial" w:cs="Arial" w:eastAsia="Arial" w:hAnsi="Arial"/>
                <w:sz w:val="18"/>
                <w:szCs w:val="18"/>
                <w:color w:val="auto"/>
              </w:rPr>
              <w:t>Subsequent changes in fair</w:t>
            </w:r>
          </w:p>
        </w:tc>
        <w:tc>
          <w:tcPr>
            <w:tcW w:w="9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left="254"/>
              <w:spacing w:after="0"/>
              <w:rPr>
                <w:sz w:val="20"/>
                <w:szCs w:val="20"/>
                <w:color w:val="auto"/>
              </w:rPr>
            </w:pPr>
            <w:r>
              <w:rPr>
                <w:rFonts w:ascii="Arial" w:cs="Arial" w:eastAsia="Arial" w:hAnsi="Arial"/>
                <w:sz w:val="18"/>
                <w:szCs w:val="18"/>
                <w:color w:val="auto"/>
                <w:w w:val="94"/>
              </w:rPr>
              <w:t>(4,059)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272"/>
              <w:spacing w:after="0"/>
              <w:rPr>
                <w:sz w:val="20"/>
                <w:szCs w:val="20"/>
                <w:color w:val="auto"/>
              </w:rPr>
            </w:pPr>
            <w:r>
              <w:rPr>
                <w:rFonts w:ascii="Arial" w:cs="Arial" w:eastAsia="Arial" w:hAnsi="Arial"/>
                <w:sz w:val="18"/>
                <w:szCs w:val="18"/>
                <w:color w:val="auto"/>
                <w:w w:val="94"/>
              </w:rPr>
              <w:t>(1,927)</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value</w:t>
            </w:r>
          </w:p>
        </w:tc>
        <w:tc>
          <w:tcPr>
            <w:tcW w:w="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ind w:left="680"/>
              <w:spacing w:after="0"/>
              <w:rPr>
                <w:sz w:val="20"/>
                <w:szCs w:val="20"/>
                <w:color w:val="auto"/>
              </w:rPr>
            </w:pPr>
            <w:r>
              <w:rPr>
                <w:rFonts w:ascii="Arial" w:cs="Arial" w:eastAsia="Arial" w:hAnsi="Arial"/>
                <w:sz w:val="18"/>
                <w:szCs w:val="18"/>
                <w:color w:val="auto"/>
              </w:rPr>
              <w:t>Fair value at end of period</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274"/>
              <w:spacing w:after="0"/>
              <w:rPr>
                <w:sz w:val="20"/>
                <w:szCs w:val="20"/>
                <w:color w:val="auto"/>
              </w:rPr>
            </w:pPr>
            <w:r>
              <w:rPr>
                <w:rFonts w:ascii="Arial" w:cs="Arial" w:eastAsia="Arial" w:hAnsi="Arial"/>
                <w:sz w:val="18"/>
                <w:szCs w:val="18"/>
                <w:color w:val="auto"/>
                <w:w w:val="88"/>
              </w:rPr>
              <w:t>8,626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292"/>
              <w:spacing w:after="0"/>
              <w:rPr>
                <w:sz w:val="20"/>
                <w:szCs w:val="20"/>
                <w:color w:val="auto"/>
              </w:rPr>
            </w:pPr>
            <w:r>
              <w:rPr>
                <w:rFonts w:ascii="Arial" w:cs="Arial" w:eastAsia="Arial" w:hAnsi="Arial"/>
                <w:sz w:val="18"/>
                <w:szCs w:val="18"/>
                <w:color w:val="auto"/>
                <w:w w:val="88"/>
              </w:rPr>
              <w:t>2,826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ind w:left="520"/>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6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0.86 %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0.93 %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0.88 %</w:t>
            </w:r>
          </w:p>
        </w:tc>
      </w:tr>
      <w:tr>
        <w:trPr>
          <w:trHeight w:val="230"/>
        </w:trPr>
        <w:tc>
          <w:tcPr>
            <w:tcW w:w="29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default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29"/>
        </w:trPr>
        <w:tc>
          <w:tcPr>
            <w:tcW w:w="296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30"/>
        </w:trPr>
        <w:tc>
          <w:tcPr>
            <w:tcW w:w="296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Net default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24.22 %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41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5"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pacing w:after="0" w:line="1"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The following table presents quantitative information about the significant unobservable inputs used for our Level 3 fair value measurement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servicing assets and liabilities as of June 30,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284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ind w:left="520"/>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0.70 %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0.81 %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default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2.71 %</w:t>
            </w:r>
          </w:p>
        </w:tc>
      </w:tr>
      <w:tr>
        <w:trPr>
          <w:trHeight w:val="230"/>
        </w:trPr>
        <w:tc>
          <w:tcPr>
            <w:tcW w:w="2940" w:type="dxa"/>
            <w:vAlign w:val="bottom"/>
          </w:tcPr>
          <w:p>
            <w:pPr>
              <w:spacing w:after="0"/>
              <w:rPr>
                <w:sz w:val="20"/>
                <w:szCs w:val="20"/>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Net default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0.80 %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8.42 %</w:t>
            </w:r>
          </w:p>
        </w:tc>
        <w:tc>
          <w:tcPr>
            <w:tcW w:w="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414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1"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Pr>
          <w:p>
            <w:pPr>
              <w:spacing w:after="0"/>
              <w:rPr>
                <w:sz w:val="18"/>
                <w:szCs w:val="18"/>
                <w:color w:val="auto"/>
              </w:rPr>
            </w:pPr>
          </w:p>
        </w:tc>
        <w:tc>
          <w:tcPr>
            <w:tcW w:w="162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2021</w:t>
            </w: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Net default rate assumption:</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26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r>
      <w:tr>
        <w:trPr>
          <w:trHeight w:val="230"/>
        </w:trPr>
        <w:tc>
          <w:tcPr>
            <w:tcW w:w="726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Net default rate assumption:</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Adequate compensation assumption:</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29"/>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r>
      <w:tr>
        <w:trPr>
          <w:trHeight w:val="229"/>
        </w:trPr>
        <w:tc>
          <w:tcPr>
            <w:tcW w:w="726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7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72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(263)</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52"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performance fee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6"/>
                <w:szCs w:val="16"/>
                <w:b w:val="1"/>
                <w:bCs w:val="1"/>
                <w:color w:val="auto"/>
              </w:rPr>
              <w:t>Performance Fee Liability</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00" w:type="dxa"/>
            <w:vAlign w:val="bottom"/>
            <w:gridSpan w:val="5"/>
            <w:vMerge w:val="restart"/>
          </w:tcPr>
          <w:p>
            <w:pPr>
              <w:ind w:left="200"/>
              <w:spacing w:after="0"/>
              <w:rPr>
                <w:sz w:val="20"/>
                <w:szCs w:val="20"/>
                <w:color w:val="auto"/>
              </w:rPr>
            </w:pPr>
            <w:r>
              <w:rPr>
                <w:rFonts w:ascii="Arial" w:cs="Arial" w:eastAsia="Arial" w:hAnsi="Arial"/>
                <w:sz w:val="16"/>
                <w:szCs w:val="16"/>
                <w:b w:val="1"/>
                <w:bCs w:val="1"/>
                <w:color w:val="auto"/>
              </w:rPr>
              <w:t>Three Months Ended December 31,</w:t>
            </w:r>
          </w:p>
        </w:tc>
        <w:tc>
          <w:tcPr>
            <w:tcW w:w="1540" w:type="dxa"/>
            <w:vAlign w:val="bottom"/>
          </w:tcPr>
          <w:p>
            <w:pPr>
              <w:spacing w:after="0"/>
              <w:rPr>
                <w:sz w:val="13"/>
                <w:szCs w:val="13"/>
                <w:color w:val="auto"/>
              </w:rPr>
            </w:pPr>
          </w:p>
        </w:tc>
        <w:tc>
          <w:tcPr>
            <w:tcW w:w="1620" w:type="dxa"/>
            <w:vAlign w:val="bottom"/>
            <w:gridSpan w:val="4"/>
          </w:tcPr>
          <w:p>
            <w:pPr>
              <w:ind w:left="220"/>
              <w:spacing w:after="0" w:line="158" w:lineRule="exact"/>
              <w:rPr>
                <w:sz w:val="20"/>
                <w:szCs w:val="20"/>
                <w:color w:val="auto"/>
              </w:rPr>
            </w:pPr>
            <w:r>
              <w:rPr>
                <w:rFonts w:ascii="Arial" w:cs="Arial" w:eastAsia="Arial" w:hAnsi="Arial"/>
                <w:sz w:val="16"/>
                <w:szCs w:val="16"/>
                <w:b w:val="1"/>
                <w:bCs w:val="1"/>
                <w:color w:val="auto"/>
                <w:w w:val="99"/>
              </w:rPr>
              <w:t>Six Months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00" w:type="dxa"/>
            <w:vAlign w:val="bottom"/>
            <w:gridSpan w:val="5"/>
            <w:vMerge w:val="continue"/>
          </w:tcPr>
          <w:p>
            <w:pPr>
              <w:spacing w:after="0"/>
              <w:rPr>
                <w:sz w:val="18"/>
                <w:szCs w:val="18"/>
                <w:color w:val="auto"/>
              </w:rPr>
            </w:pPr>
          </w:p>
        </w:tc>
        <w:tc>
          <w:tcPr>
            <w:tcW w:w="154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jc w:val="center"/>
              <w:ind w:left="310"/>
              <w:spacing w:after="0" w:line="156" w:lineRule="exact"/>
              <w:rPr>
                <w:sz w:val="20"/>
                <w:szCs w:val="20"/>
                <w:color w:val="auto"/>
              </w:rPr>
            </w:pPr>
            <w:r>
              <w:rPr>
                <w:rFonts w:ascii="Arial" w:cs="Arial" w:eastAsia="Arial" w:hAnsi="Arial"/>
                <w:sz w:val="18"/>
                <w:szCs w:val="18"/>
                <w:color w:val="auto"/>
                <w:w w:val="92"/>
              </w:rPr>
              <w:t>Fair value at beginning of</w:t>
            </w: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1,290</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9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780"/>
              <w:spacing w:after="0"/>
              <w:rPr>
                <w:sz w:val="20"/>
                <w:szCs w:val="20"/>
                <w:color w:val="auto"/>
              </w:rPr>
            </w:pPr>
            <w:r>
              <w:rPr>
                <w:rFonts w:ascii="Arial" w:cs="Arial" w:eastAsia="Arial" w:hAnsi="Arial"/>
                <w:sz w:val="18"/>
                <w:szCs w:val="18"/>
                <w:color w:val="auto"/>
              </w:rPr>
              <w:t>Purchases of loans</w:t>
            </w:r>
          </w:p>
        </w:tc>
        <w:tc>
          <w:tcPr>
            <w:tcW w:w="9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87"/>
              </w:rPr>
              <w:t>Subsequent changes in</w:t>
            </w:r>
          </w:p>
        </w:tc>
        <w:tc>
          <w:tcPr>
            <w:tcW w:w="9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90"/>
              </w:rPr>
              <w:t>(593)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w:t>
            </w:r>
          </w:p>
        </w:tc>
        <w:tc>
          <w:tcPr>
            <w:tcW w:w="9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jc w:val="center"/>
              <w:ind w:left="350"/>
              <w:spacing w:after="0"/>
              <w:rPr>
                <w:sz w:val="20"/>
                <w:szCs w:val="20"/>
                <w:color w:val="auto"/>
              </w:rPr>
            </w:pPr>
            <w:r>
              <w:rPr>
                <w:rFonts w:ascii="Arial" w:cs="Arial" w:eastAsia="Arial" w:hAnsi="Arial"/>
                <w:sz w:val="18"/>
                <w:szCs w:val="18"/>
                <w:color w:val="auto"/>
                <w:w w:val="90"/>
              </w:rPr>
              <w:t>Fair value at end of period</w:t>
            </w: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1,530</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w:t>
            </w:r>
          </w:p>
        </w:tc>
      </w:tr>
    </w:tbl>
    <w:p>
      <w:pPr>
        <w:spacing w:after="0" w:line="32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June 30,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 Held by Third-Parties in Consolidated VIEs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Refer to Note 11. Securitization and Variable Interest Entities for a description of the 2020-Z2 securitization trust. 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residual trust certificates held by third-parties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16"/>
                <w:szCs w:val="16"/>
                <w:color w:val="auto"/>
              </w:rPr>
            </w:pPr>
          </w:p>
        </w:tc>
        <w:tc>
          <w:tcPr>
            <w:tcW w:w="1740" w:type="dxa"/>
            <w:vAlign w:val="bottom"/>
          </w:tcPr>
          <w:p>
            <w:pPr>
              <w:ind w:left="12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880" w:type="dxa"/>
            <w:vAlign w:val="bottom"/>
          </w:tcPr>
          <w:p>
            <w:pPr>
              <w:spacing w:after="0"/>
              <w:rPr>
                <w:sz w:val="18"/>
                <w:szCs w:val="18"/>
                <w:color w:val="auto"/>
              </w:rPr>
            </w:pPr>
          </w:p>
        </w:tc>
        <w:tc>
          <w:tcPr>
            <w:tcW w:w="2740" w:type="dxa"/>
            <w:vAlign w:val="bottom"/>
            <w:gridSpan w:val="3"/>
          </w:tcPr>
          <w:p>
            <w:pPr>
              <w:ind w:left="660"/>
              <w:spacing w:after="0"/>
              <w:rPr>
                <w:sz w:val="20"/>
                <w:szCs w:val="20"/>
                <w:color w:val="auto"/>
              </w:rPr>
            </w:pPr>
            <w:r>
              <w:rPr>
                <w:rFonts w:ascii="Arial" w:cs="Arial" w:eastAsia="Arial" w:hAnsi="Arial"/>
                <w:sz w:val="16"/>
                <w:szCs w:val="16"/>
                <w:b w:val="1"/>
                <w:bCs w:val="1"/>
                <w:color w:val="auto"/>
              </w:rPr>
              <w:t>December 31, 2021</w:t>
            </w:r>
          </w:p>
        </w:tc>
        <w:tc>
          <w:tcPr>
            <w:tcW w:w="2620" w:type="dxa"/>
            <w:vAlign w:val="bottom"/>
            <w:gridSpan w:val="2"/>
          </w:tcPr>
          <w:p>
            <w:pPr>
              <w:ind w:left="660"/>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58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Fair value at beginning of period</w:t>
            </w:r>
          </w:p>
        </w:tc>
        <w:tc>
          <w:tcPr>
            <w:tcW w:w="8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center"/>
              <w:ind w:left="1232"/>
              <w:spacing w:after="0"/>
              <w:rPr>
                <w:sz w:val="20"/>
                <w:szCs w:val="20"/>
                <w:color w:val="auto"/>
              </w:rPr>
            </w:pPr>
            <w:r>
              <w:rPr>
                <w:rFonts w:ascii="Arial" w:cs="Arial" w:eastAsia="Arial" w:hAnsi="Arial"/>
                <w:sz w:val="18"/>
                <w:szCs w:val="18"/>
                <w:color w:val="auto"/>
                <w:w w:val="86"/>
              </w:rPr>
              <w:t>914</w:t>
            </w:r>
          </w:p>
        </w:tc>
      </w:tr>
      <w:tr>
        <w:trPr>
          <w:trHeight w:val="230"/>
        </w:trPr>
        <w:tc>
          <w:tcPr>
            <w:tcW w:w="5880" w:type="dxa"/>
            <w:vAlign w:val="bottom"/>
          </w:tcPr>
          <w:p>
            <w:pPr>
              <w:ind w:left="780"/>
              <w:spacing w:after="0"/>
              <w:rPr>
                <w:sz w:val="20"/>
                <w:szCs w:val="20"/>
                <w:color w:val="auto"/>
              </w:rPr>
            </w:pPr>
            <w:r>
              <w:rPr>
                <w:rFonts w:ascii="Arial" w:cs="Arial" w:eastAsia="Arial" w:hAnsi="Arial"/>
                <w:sz w:val="18"/>
                <w:szCs w:val="18"/>
                <w:color w:val="auto"/>
              </w:rPr>
              <w:t>Repayments</w:t>
            </w:r>
          </w:p>
        </w:tc>
        <w:tc>
          <w:tcPr>
            <w:tcW w:w="8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jc w:val="center"/>
              <w:ind w:left="1212"/>
              <w:spacing w:after="0"/>
              <w:rPr>
                <w:sz w:val="20"/>
                <w:szCs w:val="20"/>
                <w:color w:val="auto"/>
              </w:rPr>
            </w:pPr>
            <w:r>
              <w:rPr>
                <w:rFonts w:ascii="Arial" w:cs="Arial" w:eastAsia="Arial" w:hAnsi="Arial"/>
                <w:sz w:val="18"/>
                <w:szCs w:val="18"/>
                <w:color w:val="auto"/>
                <w:w w:val="95"/>
              </w:rPr>
              <w:t>(403)</w:t>
            </w:r>
          </w:p>
        </w:tc>
      </w:tr>
      <w:tr>
        <w:trPr>
          <w:trHeight w:val="230"/>
        </w:trPr>
        <w:tc>
          <w:tcPr>
            <w:tcW w:w="58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Subsequent changes in fair value</w:t>
            </w:r>
          </w:p>
        </w:tc>
        <w:tc>
          <w:tcPr>
            <w:tcW w:w="8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1232"/>
              <w:spacing w:after="0"/>
              <w:rPr>
                <w:sz w:val="20"/>
                <w:szCs w:val="20"/>
                <w:color w:val="auto"/>
              </w:rPr>
            </w:pPr>
            <w:r>
              <w:rPr>
                <w:rFonts w:ascii="Arial" w:cs="Arial" w:eastAsia="Arial" w:hAnsi="Arial"/>
                <w:sz w:val="18"/>
                <w:szCs w:val="18"/>
                <w:color w:val="auto"/>
                <w:w w:val="86"/>
              </w:rPr>
              <w:t>108</w:t>
            </w:r>
          </w:p>
        </w:tc>
      </w:tr>
      <w:tr>
        <w:trPr>
          <w:trHeight w:val="223"/>
        </w:trPr>
        <w:tc>
          <w:tcPr>
            <w:tcW w:w="5880" w:type="dxa"/>
            <w:vAlign w:val="bottom"/>
          </w:tcPr>
          <w:p>
            <w:pPr>
              <w:ind w:left="680"/>
              <w:spacing w:after="0"/>
              <w:rPr>
                <w:sz w:val="20"/>
                <w:szCs w:val="20"/>
                <w:color w:val="auto"/>
              </w:rPr>
            </w:pPr>
            <w:r>
              <w:rPr>
                <w:rFonts w:ascii="Arial" w:cs="Arial" w:eastAsia="Arial" w:hAnsi="Arial"/>
                <w:sz w:val="18"/>
                <w:szCs w:val="18"/>
                <w:color w:val="auto"/>
              </w:rPr>
              <w:t>Fair value at end of period</w:t>
            </w:r>
          </w:p>
        </w:tc>
        <w:tc>
          <w:tcPr>
            <w:tcW w:w="8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center"/>
              <w:ind w:left="1232"/>
              <w:spacing w:after="0"/>
              <w:rPr>
                <w:sz w:val="20"/>
                <w:szCs w:val="20"/>
                <w:color w:val="auto"/>
              </w:rPr>
            </w:pPr>
            <w:r>
              <w:rPr>
                <w:rFonts w:ascii="Arial" w:cs="Arial" w:eastAsia="Arial" w:hAnsi="Arial"/>
                <w:sz w:val="18"/>
                <w:szCs w:val="18"/>
                <w:color w:val="auto"/>
                <w:w w:val="86"/>
              </w:rPr>
              <w:t>619</w:t>
            </w: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held by third-parties as of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ind w:left="460"/>
              <w:spacing w:after="0"/>
              <w:rPr>
                <w:sz w:val="20"/>
                <w:szCs w:val="20"/>
                <w:color w:val="auto"/>
              </w:rPr>
            </w:pPr>
            <w:r>
              <w:rPr>
                <w:rFonts w:ascii="Arial" w:cs="Arial" w:eastAsia="Arial" w:hAnsi="Arial"/>
                <w:sz w:val="16"/>
                <w:szCs w:val="16"/>
                <w:b w:val="1"/>
                <w:bCs w:val="1"/>
                <w:color w:val="auto"/>
              </w:rPr>
              <w:t>Maximum</w:t>
            </w:r>
          </w:p>
        </w:tc>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bl>
    <w:p>
      <w:pPr>
        <w:spacing w:after="0" w:line="323" w:lineRule="exact"/>
        <w:rPr>
          <w:sz w:val="20"/>
          <w:szCs w:val="20"/>
          <w:color w:val="auto"/>
        </w:rPr>
      </w:pPr>
    </w:p>
    <w:p>
      <w:pPr>
        <w:ind w:right="100" w:firstLine="648"/>
        <w:spacing w:after="0" w:line="274"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certificates held by third-party investor(s) given hypothetical changes in significant unobservable inputs (in thousands):</w:t>
      </w: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4"/>
              </w:rPr>
              <w:t>December 31, 2021</w:t>
            </w:r>
          </w:p>
        </w:tc>
      </w:tr>
      <w:tr>
        <w:trPr>
          <w:trHeight w:val="212"/>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9"/>
        </w:trPr>
        <w:tc>
          <w:tcPr>
            <w:tcW w:w="944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Retained Beneficial Interests in Unconsolidated VIEs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2021, the Company held notes receivable and residual trust certificates with an aggregate fair value of $25.3 million in connection with the 2021-Z1 and 2021-Z2 securitizations, which are both unconsolidated securitizations. The balances correspond to the 5% economic risk retention the Company is required to maintain as the securitization sponsor. Refer to Note 11. Securitization and Variable Interest Entities for a further description of the 2021-Z1 and 2021-Z2 securitization trusts.</w:t>
      </w:r>
    </w:p>
    <w:p>
      <w:pPr>
        <w:spacing w:after="0" w:line="214"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impairment, are reflected in other comprehensive income (loss) on the interim condensed consolidated statements of operations and comprehensive loss. Declines in fair value due to credit are reflected in other (expense)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fair value of the residual trust certificates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Fair value at beginning of period</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Additions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Cash received (due to payments or sales)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Change in unrealized gain (loss)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Accrued interest</w:t>
      </w:r>
    </w:p>
    <w:p>
      <w:pPr>
        <w:spacing w:after="0" w:line="23" w:lineRule="exact"/>
        <w:rPr>
          <w:sz w:val="20"/>
          <w:szCs w:val="20"/>
          <w:color w:val="auto"/>
        </w:rPr>
      </w:pPr>
    </w:p>
    <w:p>
      <w:pPr>
        <w:ind w:left="680" w:right="880" w:firstLine="108"/>
        <w:spacing w:after="0" w:line="339" w:lineRule="auto"/>
        <w:rPr>
          <w:sz w:val="20"/>
          <w:szCs w:val="20"/>
          <w:color w:val="auto"/>
        </w:rPr>
      </w:pPr>
      <w:r>
        <w:rPr>
          <w:rFonts w:ascii="Arial" w:cs="Arial" w:eastAsia="Arial" w:hAnsi="Arial"/>
          <w:sz w:val="18"/>
          <w:szCs w:val="18"/>
          <w:color w:val="auto"/>
        </w:rPr>
        <w:t>Reversal of (impairment on) securities available for sale Fair value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Pr>
          <w:p>
            <w:pPr>
              <w:spacing w:after="0"/>
              <w:rPr>
                <w:sz w:val="16"/>
                <w:szCs w:val="16"/>
                <w:color w:val="auto"/>
              </w:rPr>
            </w:pPr>
          </w:p>
        </w:tc>
        <w:tc>
          <w:tcPr>
            <w:tcW w:w="1560" w:type="dxa"/>
            <w:vAlign w:val="bottom"/>
          </w:tcPr>
          <w:p>
            <w:pPr>
              <w:jc w:val="right"/>
              <w:ind w:right="131"/>
              <w:spacing w:after="0"/>
              <w:rPr>
                <w:sz w:val="20"/>
                <w:szCs w:val="20"/>
                <w:color w:val="auto"/>
              </w:rPr>
            </w:pPr>
            <w:r>
              <w:rPr>
                <w:rFonts w:ascii="Arial" w:cs="Arial" w:eastAsia="Arial" w:hAnsi="Arial"/>
                <w:sz w:val="16"/>
                <w:szCs w:val="16"/>
                <w:b w:val="1"/>
                <w:bCs w:val="1"/>
                <w:color w:val="auto"/>
                <w:w w:val="95"/>
              </w:rPr>
              <w:t>Six Months Ended</w:t>
            </w:r>
          </w:p>
        </w:tc>
      </w:tr>
      <w:tr>
        <w:trPr>
          <w:trHeight w:val="213"/>
        </w:trPr>
        <w:tc>
          <w:tcPr>
            <w:tcW w:w="2460" w:type="dxa"/>
            <w:vAlign w:val="bottom"/>
            <w:gridSpan w:val="3"/>
          </w:tcPr>
          <w:p>
            <w:pPr>
              <w:ind w:left="520"/>
              <w:spacing w:after="0"/>
              <w:rPr>
                <w:sz w:val="20"/>
                <w:szCs w:val="20"/>
                <w:color w:val="auto"/>
              </w:rPr>
            </w:pPr>
            <w:r>
              <w:rPr>
                <w:rFonts w:ascii="Arial" w:cs="Arial" w:eastAsia="Arial" w:hAnsi="Arial"/>
                <w:sz w:val="16"/>
                <w:szCs w:val="16"/>
                <w:b w:val="1"/>
                <w:bCs w:val="1"/>
                <w:color w:val="auto"/>
              </w:rPr>
              <w:t>December 31, 2021</w:t>
            </w:r>
          </w:p>
        </w:tc>
        <w:tc>
          <w:tcPr>
            <w:tcW w:w="2360" w:type="dxa"/>
            <w:vAlign w:val="bottom"/>
            <w:gridSpan w:val="2"/>
          </w:tcPr>
          <w:p>
            <w:pPr>
              <w:jc w:val="right"/>
              <w:ind w:right="431"/>
              <w:spacing w:after="0"/>
              <w:rPr>
                <w:sz w:val="20"/>
                <w:szCs w:val="20"/>
                <w:color w:val="auto"/>
              </w:rPr>
            </w:pPr>
            <w:r>
              <w:rPr>
                <w:rFonts w:ascii="Arial" w:cs="Arial" w:eastAsia="Arial" w:hAnsi="Arial"/>
                <w:sz w:val="16"/>
                <w:szCs w:val="16"/>
                <w:b w:val="1"/>
                <w:bCs w:val="1"/>
                <w:color w:val="auto"/>
              </w:rPr>
              <w:t>December 31, 2021</w:t>
            </w:r>
          </w:p>
        </w:tc>
      </w:tr>
      <w:tr>
        <w:trPr>
          <w:trHeight w:val="225"/>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13,744</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16,170</w:t>
            </w:r>
          </w:p>
        </w:tc>
      </w:tr>
      <w:tr>
        <w:trPr>
          <w:trHeight w:val="229"/>
        </w:trPr>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13,695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13,695</w:t>
            </w:r>
          </w:p>
        </w:tc>
      </w:tr>
      <w:tr>
        <w:trPr>
          <w:trHeight w:val="229"/>
        </w:trPr>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(4,384)</w:t>
            </w:r>
          </w:p>
        </w:tc>
      </w:tr>
      <w:tr>
        <w:trPr>
          <w:trHeight w:val="230"/>
        </w:trPr>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7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25,319</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25,319</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-1071245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-770890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-479425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-4070985</wp:posOffset>
            </wp:positionH>
            <wp:positionV relativeFrom="paragraph">
              <wp:posOffset>-187960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5700" w:space="720"/>
            <w:col w:w="4820"/>
          </w:cols>
          <w:pgMar w:left="320" w:top="125" w:right="339" w:bottom="1440" w:gutter="0" w:footer="0" w:header="0"/>
          <w:type w:val="continuous"/>
        </w:sectPr>
      </w:pPr>
    </w:p>
    <w:p>
      <w:pPr>
        <w:spacing w:after="0" w:line="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as of December 31,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1.28%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20.25%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1.96%</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1.55%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0.84%</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11.31%</w:t>
            </w:r>
          </w:p>
        </w:tc>
      </w:tr>
    </w:tbl>
    <w:p>
      <w:pPr>
        <w:spacing w:after="0" w:line="310" w:lineRule="exact"/>
        <w:rPr>
          <w:sz w:val="20"/>
          <w:szCs w:val="20"/>
          <w:color w:val="auto"/>
        </w:rPr>
      </w:pPr>
    </w:p>
    <w:p>
      <w:pPr>
        <w:ind w:right="560" w:firstLine="648"/>
        <w:spacing w:after="0" w:line="274"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0"/>
        </w:trPr>
        <w:tc>
          <w:tcPr>
            <w:tcW w:w="944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Our acquisition of PayBright included consideration transferred and shares held in escrow, contingent upon the achievement of future milestones. We classified the contingent consideration as a liability. The acquisition date fair value of the contingent consideration liability was estimated using a Monte Carlo simulation in which the fair value is equal to the estimated number of shares to be released from escrow, which are determined based on simulated revenue, multiplied by the simulated share price, discounted at the risk-free rate. The liability is remeasured to its fair value at each reporting date, utilizing a Monte Carlo simulation for periods in which actual revenues are unknown, until the contingency is resolved. The change in fair value of the contingent consideration at each reporting date is recognized as a component of other (expense) income, net in the interim condensed consolidated statements of operations and comprehensive loss for the respective period.</w:t>
      </w:r>
    </w:p>
    <w:p>
      <w:pPr>
        <w:spacing w:after="0" w:line="20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the activity related to the fair value of the PayBright contingent consideration during the three and six months ended December 31,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c>
          <w:tcPr>
            <w:tcW w:w="1900" w:type="dxa"/>
            <w:vAlign w:val="bottom"/>
          </w:tcPr>
          <w:p>
            <w:pPr>
              <w:jc w:val="right"/>
              <w:ind w:right="353"/>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 2021</w:t>
            </w:r>
          </w:p>
        </w:tc>
        <w:tc>
          <w:tcPr>
            <w:tcW w:w="260" w:type="dxa"/>
            <w:vAlign w:val="bottom"/>
          </w:tcPr>
          <w:p>
            <w:pPr>
              <w:spacing w:after="0"/>
              <w:rPr>
                <w:sz w:val="18"/>
                <w:szCs w:val="18"/>
                <w:color w:val="auto"/>
              </w:rPr>
            </w:pPr>
          </w:p>
        </w:tc>
        <w:tc>
          <w:tcPr>
            <w:tcW w:w="1900" w:type="dxa"/>
            <w:vAlign w:val="bottom"/>
          </w:tcPr>
          <w:p>
            <w:pPr>
              <w:jc w:val="right"/>
              <w:ind w:right="333"/>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153,447</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Subsequent changes in fair value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107,567</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253,750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253,750</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PayBright contingent consideration are the discount rate, equity volatility, and revenue volatility.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contingent consideration as of December 31, 2021:</w:t>
      </w:r>
    </w:p>
    <w:tbl>
      <w:tblPr>
        <w:tblLayout w:type="fixed"/>
        <w:tblInd w:w="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tcPr>
          <w:p>
            <w:pPr>
              <w:ind w:left="360"/>
              <w:spacing w:after="0"/>
              <w:rPr>
                <w:sz w:val="20"/>
                <w:szCs w:val="20"/>
                <w:color w:val="auto"/>
              </w:rPr>
            </w:pPr>
            <w:r>
              <w:rPr>
                <w:rFonts w:ascii="Arial" w:cs="Arial" w:eastAsia="Arial" w:hAnsi="Arial"/>
                <w:sz w:val="16"/>
                <w:szCs w:val="16"/>
                <w:b w:val="1"/>
                <w:bCs w:val="1"/>
                <w:color w:val="auto"/>
              </w:rPr>
              <w:t>Maximum</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13.00%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13.00%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Equity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19.00%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68.00%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Kite acquisition included $9.0 million of cash held in escrow, the release of which is determined based on employee retention. The acquisition date fair value of the contingent consideration was estimated using a probability-weighted approach in which the likelihoods of potential employee retention outcomes were applied to the respective payout amounts and discounted to present value. The contingent consideration asset will be remeasured to fair value at each reporting date based on the remaining amount held in escrow, passage of time, and any changes in expectations regarding employee retention outcomes until the contingency is resolved. The change in fair value of the contingent consideration asset at each reporting date is recognized as a component of other (expense) income, net in the interim condensed consolidated statements of operations and comprehensive loss for the respective period. For the three and six months ended December 31, 2021, the change in fair value of the contingent consideration asset related to the Kite acquisition was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Share Liability</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During the fiscal year ended June 30,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profit share liability during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6"/>
                <w:szCs w:val="16"/>
                <w:color w:val="auto"/>
              </w:rPr>
            </w:pPr>
          </w:p>
        </w:tc>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2021</w:t>
            </w:r>
          </w:p>
        </w:tc>
        <w:tc>
          <w:tcPr>
            <w:tcW w:w="16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December 31, 2021</w:t>
            </w:r>
          </w:p>
        </w:tc>
      </w:tr>
      <w:tr>
        <w:trPr>
          <w:trHeight w:val="22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88"/>
              </w:rPr>
              <w:t>2,464</w:t>
            </w:r>
          </w:p>
        </w:tc>
      </w:tr>
      <w:tr>
        <w:trPr>
          <w:trHeight w:val="229"/>
        </w:trPr>
        <w:tc>
          <w:tcPr>
            <w:tcW w:w="7760" w:type="dxa"/>
            <w:vAlign w:val="bottom"/>
          </w:tcPr>
          <w:p>
            <w:pPr>
              <w:ind w:left="140"/>
              <w:spacing w:after="0"/>
              <w:rPr>
                <w:sz w:val="20"/>
                <w:szCs w:val="20"/>
                <w:color w:val="auto"/>
              </w:rPr>
            </w:pPr>
            <w:r>
              <w:rPr>
                <w:rFonts w:ascii="Arial" w:cs="Arial" w:eastAsia="Arial" w:hAnsi="Arial"/>
                <w:sz w:val="18"/>
                <w:szCs w:val="18"/>
                <w:color w:val="auto"/>
              </w:rPr>
              <w:t>Facilitation of loans</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left="873"/>
              <w:spacing w:after="0"/>
              <w:rPr>
                <w:sz w:val="20"/>
                <w:szCs w:val="20"/>
                <w:color w:val="auto"/>
              </w:rPr>
            </w:pPr>
            <w:r>
              <w:rPr>
                <w:rFonts w:ascii="Arial" w:cs="Arial" w:eastAsia="Arial" w:hAnsi="Arial"/>
                <w:sz w:val="18"/>
                <w:szCs w:val="18"/>
                <w:color w:val="auto"/>
                <w:w w:val="88"/>
              </w:rPr>
              <w:t>3,574</w:t>
            </w:r>
          </w:p>
        </w:tc>
      </w:tr>
      <w:tr>
        <w:trPr>
          <w:trHeight w:val="229"/>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performance</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left="873"/>
              <w:spacing w:after="0"/>
              <w:rPr>
                <w:sz w:val="20"/>
                <w:szCs w:val="20"/>
                <w:color w:val="auto"/>
              </w:rPr>
            </w:pPr>
            <w:r>
              <w:rPr>
                <w:rFonts w:ascii="Arial" w:cs="Arial" w:eastAsia="Arial" w:hAnsi="Arial"/>
                <w:sz w:val="18"/>
                <w:szCs w:val="18"/>
                <w:color w:val="auto"/>
                <w:w w:val="91"/>
              </w:rPr>
              <w:t>(1,011)</w:t>
            </w:r>
          </w:p>
        </w:tc>
      </w:tr>
      <w:tr>
        <w:trPr>
          <w:trHeight w:val="230"/>
        </w:trPr>
        <w:tc>
          <w:tcPr>
            <w:tcW w:w="77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53"/>
              <w:spacing w:after="0"/>
              <w:rPr>
                <w:sz w:val="20"/>
                <w:szCs w:val="20"/>
                <w:color w:val="auto"/>
              </w:rPr>
            </w:pPr>
            <w:r>
              <w:rPr>
                <w:rFonts w:ascii="Arial" w:cs="Arial" w:eastAsia="Arial" w:hAnsi="Arial"/>
                <w:sz w:val="18"/>
                <w:szCs w:val="18"/>
                <w:color w:val="auto"/>
                <w:w w:val="94"/>
              </w:rPr>
              <w:t>(2,975)</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88"/>
              </w:rPr>
              <w:t>2,052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profit sharing liability as of December 31, 2021:</w:t>
      </w:r>
    </w:p>
    <w:tbl>
      <w:tblPr>
        <w:tblLayout w:type="fixed"/>
        <w:tblInd w:w="0" w:type="dxa"/>
        <w:tblCellMar>
          <w:top w:w="0" w:type="dxa"/>
          <w:left w:w="0" w:type="dxa"/>
          <w:bottom w:w="0" w:type="dxa"/>
          <w:right w:w="0" w:type="dxa"/>
        </w:tblCellMar>
      </w:tblP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Arial" w:cs="Arial" w:eastAsia="Arial" w:hAnsi="Arial"/>
                <w:sz w:val="16"/>
                <w:szCs w:val="16"/>
                <w:b w:val="1"/>
                <w:bCs w:val="1"/>
                <w:color w:val="auto"/>
              </w:rPr>
              <w:t>Minimum</w:t>
            </w:r>
          </w:p>
        </w:tc>
        <w:tc>
          <w:tcPr>
            <w:tcW w:w="1740" w:type="dxa"/>
            <w:vAlign w:val="bottom"/>
            <w:gridSpan w:val="2"/>
          </w:tcPr>
          <w:p>
            <w:pPr>
              <w:ind w:left="440"/>
              <w:spacing w:after="0"/>
              <w:rPr>
                <w:sz w:val="20"/>
                <w:szCs w:val="20"/>
                <w:color w:val="auto"/>
              </w:rPr>
            </w:pPr>
            <w:r>
              <w:rPr>
                <w:rFonts w:ascii="Arial" w:cs="Arial" w:eastAsia="Arial" w:hAnsi="Arial"/>
                <w:sz w:val="16"/>
                <w:szCs w:val="16"/>
                <w:b w:val="1"/>
                <w:bCs w:val="1"/>
                <w:color w:val="auto"/>
              </w:rPr>
              <w:t>Maximum</w:t>
            </w:r>
          </w:p>
        </w:tc>
        <w:tc>
          <w:tcPr>
            <w:tcW w:w="162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Program profitability</w:t>
            </w: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Arial" w:cs="Arial" w:eastAsia="Arial" w:hAnsi="Arial"/>
                <w:sz w:val="18"/>
                <w:szCs w:val="18"/>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presents the fair value hierarchy for financial assets and liabilities not recorded at fair value as of December 31, 2021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Loans held for sale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Loans held for investment,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Liabilities: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payable</w:t>
      </w:r>
    </w:p>
    <w:p>
      <w:pPr>
        <w:spacing w:after="0" w:line="23" w:lineRule="exact"/>
        <w:rPr>
          <w:sz w:val="20"/>
          <w:szCs w:val="20"/>
          <w:color w:val="auto"/>
        </w:rPr>
      </w:pPr>
    </w:p>
    <w:p>
      <w:pPr>
        <w:ind w:left="20" w:right="620"/>
        <w:spacing w:after="0" w:line="281" w:lineRule="auto"/>
        <w:rPr>
          <w:sz w:val="20"/>
          <w:szCs w:val="20"/>
          <w:color w:val="auto"/>
        </w:rPr>
      </w:pPr>
      <w:r>
        <w:rPr>
          <w:rFonts w:ascii="Arial" w:cs="Arial" w:eastAsia="Arial" w:hAnsi="Arial"/>
          <w:sz w:val="17"/>
          <w:szCs w:val="17"/>
          <w:color w:val="auto"/>
        </w:rPr>
        <w:t>Payable to third-party loan owners Accrued interest payable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expenses and other liabilities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7"/>
          <w:szCs w:val="17"/>
          <w:color w:val="auto"/>
        </w:rPr>
        <w:t>Notes issued by securitization trusts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Funding debt</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Carrying Amount</w:t>
            </w:r>
          </w:p>
        </w:tc>
        <w:tc>
          <w:tcPr>
            <w:tcW w:w="100" w:type="dxa"/>
            <w:vAlign w:val="bottom"/>
            <w:vMerge w:val="restart"/>
          </w:tcPr>
          <w:p>
            <w:pPr>
              <w:spacing w:after="0"/>
              <w:rPr>
                <w:sz w:val="16"/>
                <w:szCs w:val="16"/>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Level 2</w:t>
            </w:r>
          </w:p>
        </w:tc>
        <w:tc>
          <w:tcPr>
            <w:tcW w:w="10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Level 3</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14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441"/>
        </w:trPr>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27,394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27,394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27,394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2,267,230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2,206,786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2,206,786</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134,571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134,571</w:t>
            </w:r>
          </w:p>
        </w:tc>
        <w:tc>
          <w:tcPr>
            <w:tcW w:w="0" w:type="dxa"/>
            <w:vAlign w:val="bottom"/>
          </w:tcPr>
          <w:p>
            <w:pPr>
              <w:spacing w:after="0"/>
              <w:rPr>
                <w:sz w:val="1"/>
                <w:szCs w:val="1"/>
                <w:color w:val="auto"/>
              </w:rPr>
            </w:pPr>
          </w:p>
        </w:tc>
      </w:tr>
      <w:tr>
        <w:trPr>
          <w:trHeight w:val="230"/>
        </w:trPr>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96,994</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96,994</w:t>
            </w: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2,526,189</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258,959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2,206,786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2,465,745</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45,589</w:t>
            </w:r>
          </w:p>
        </w:tc>
        <w:tc>
          <w:tcPr>
            <w:tcW w:w="100" w:type="dxa"/>
            <w:vAlign w:val="bottom"/>
          </w:tcPr>
          <w:p>
            <w:pPr>
              <w:spacing w:after="0"/>
              <w:rPr>
                <w:sz w:val="24"/>
                <w:szCs w:val="24"/>
                <w:color w:val="auto"/>
              </w:rPr>
            </w:pP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45,589</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45,589</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71,515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71,515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169,956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169,956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1,704,607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1,569,895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1,569,895</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1,577,264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1,576,600</w:t>
            </w:r>
          </w:p>
        </w:tc>
        <w:tc>
          <w:tcPr>
            <w:tcW w:w="0" w:type="dxa"/>
            <w:vAlign w:val="bottom"/>
          </w:tcPr>
          <w:p>
            <w:pPr>
              <w:spacing w:after="0"/>
              <w:rPr>
                <w:sz w:val="1"/>
                <w:szCs w:val="1"/>
                <w:color w:val="auto"/>
              </w:rPr>
            </w:pPr>
          </w:p>
        </w:tc>
      </w:tr>
      <w:tr>
        <w:trPr>
          <w:trHeight w:val="230"/>
        </w:trPr>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656,636</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656,641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656,641</w:t>
            </w:r>
          </w:p>
        </w:tc>
        <w:tc>
          <w:tcPr>
            <w:tcW w:w="0" w:type="dxa"/>
            <w:vAlign w:val="bottom"/>
          </w:tcPr>
          <w:p>
            <w:pPr>
              <w:spacing w:after="0"/>
              <w:rPr>
                <w:sz w:val="1"/>
                <w:szCs w:val="1"/>
                <w:color w:val="auto"/>
              </w:rPr>
            </w:pPr>
          </w:p>
        </w:tc>
      </w:tr>
      <w:tr>
        <w:trPr>
          <w:trHeight w:val="223"/>
        </w:trPr>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4,228,188</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1,855,352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2,237,465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4,092,817</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-2254250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-1962785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-1671320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-1353820</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-1062355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-770890</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-479425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80"/>
          </w:cols>
          <w:pgMar w:left="320" w:top="125" w:right="339" w:bottom="1440" w:gutter="0" w:footer="0" w:header="0"/>
          <w:type w:val="continuous"/>
        </w:sectPr>
      </w:pPr>
    </w:p>
    <w:p>
      <w:pPr>
        <w:spacing w:after="0" w:line="393" w:lineRule="exact"/>
        <w:rPr>
          <w:sz w:val="20"/>
          <w:szCs w:val="20"/>
          <w:color w:val="auto"/>
        </w:rPr>
      </w:pPr>
    </w:p>
    <w:p>
      <w:pPr>
        <w:ind w:left="660" w:right="60" w:hanging="328"/>
        <w:spacing w:after="0" w:line="227"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presents the fair value hierarchy for financial assets and liabilities not recorded at fair value as of June 30,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6"/>
                <w:szCs w:val="1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6"/>
                <w:szCs w:val="16"/>
                <w:color w:val="auto"/>
              </w:rPr>
            </w:pPr>
          </w:p>
        </w:tc>
        <w:tc>
          <w:tcPr>
            <w:tcW w:w="1280" w:type="dxa"/>
            <w:vAlign w:val="bottom"/>
          </w:tcPr>
          <w:p>
            <w:pPr>
              <w:jc w:val="right"/>
              <w:ind w:right="91"/>
              <w:spacing w:after="0"/>
              <w:rPr>
                <w:sz w:val="20"/>
                <w:szCs w:val="20"/>
                <w:color w:val="auto"/>
              </w:rPr>
            </w:pPr>
            <w:r>
              <w:rPr>
                <w:rFonts w:ascii="Arial" w:cs="Arial" w:eastAsia="Arial" w:hAnsi="Arial"/>
                <w:sz w:val="16"/>
                <w:szCs w:val="16"/>
                <w:b w:val="1"/>
                <w:bCs w:val="1"/>
                <w:color w:val="auto"/>
                <w:w w:val="94"/>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1,883,364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91,575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91,575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171,250</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2,180,415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275,855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1,883,364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2,159,219</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57,758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57,758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57,758</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third-party loan owners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1,176,673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1,184,663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1,184,663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689,356</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2,138,119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1,876,134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2,146,109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Redeemable Convertible Preferred Stock and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September 2020, we issued 21,836,687 shares of Series G redeemable convertible preferred stock at $19.93 per share for an aggregate purchase amount of $434.9 million. These shares had a liquidation preference of $435.1 million. As part of this equity financing round, the convertible notes converted into 4,444,321 shares of Series G-1 redeemable convertible preferred stock. These shares had a liquidation preference of $75.3 million prior to conversion.</w:t>
      </w:r>
    </w:p>
    <w:p>
      <w:pPr>
        <w:spacing w:after="0" w:line="214"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On January 12, 2021, prior to our initial public offering, all outstanding shares of redeemable convertible preferred stock were converted into shares of our common stock on a one-to-one basis and their carrying value of $1,327.3 million was reclassified into stockholders' deficit. Following this conversion, we amended and restated our certificate of incorporation to effect a reclassification of each share of our outstanding common stock into ½ share of Class A common stock and ½ share of Class B common stock, with cash paid for fractional shares. As of December 31, 2021 and June 30, 2021, there were no shares of redeemable convertible preferred stock issued and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December 31, 2021</w:t>
            </w:r>
          </w:p>
        </w:tc>
        <w:tc>
          <w:tcPr>
            <w:tcW w:w="180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outstanding under stock option plan</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44,708,748</w:t>
            </w:r>
          </w:p>
        </w:tc>
        <w:tc>
          <w:tcPr>
            <w:tcW w:w="14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58,417,514</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for future grant under stock option plan</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43,607,734</w:t>
            </w: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29,793,755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88,316,482</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88,211,269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warrants are included as a component of additional paid in capital within the consolidated balance sheets.</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November 2021, we granted warrants to purchase 22,000,000 shares of common stock in connection with a commercial agreement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In connection with the portion of these warrants that were fully vested upon execution, we recognized a commercial agreement asset of $133.5 million as of December 31, 2021. Refer to Note 6. Balance Sheet Components for more information on the asset and related amortization during the period. The remaining grant-date fair value of the warrants will be recognized within our condensed consolidated statements of operations and comprehensive loss as a component of sales and marketing expense as the warrants vest, based upon Amazon’s satisfaction of the vesting conditions. During the three and six months ended December 31, 2021, a total of $70.6 million was recognized within sales and marketing expense, which included $5.8 million in amortization expense of the commercial agreement asset and $64.9 million in expense based upon the grant-date fair value for the warrant shares that vested during the period.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Stock Plan</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Under our Amended and Restated 2012 Stock Plan (the “Plan”), we may grant incentive and nonqualified stock options, restricted stock, and restricted stock units (“RSUs”) to employees, officers, directors, and consultants. As of December 31, 2021, the maximum number of shares of common stock which may be issued under the Plan is 118,374,202 Class A shares. As of December 31, 2021 and June 30, 2021, there were 43,607,734 and 29,793,755 shares of Class A common stock, respectively, available for future grants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stock option activity for the six months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31,662,750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6.30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(11,789,663)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(1,021,152)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18,851,935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December 31, 2021</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6.16</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1,051,026</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11,128,720</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Vested and exercisable, and expected to vest thereafter</w:t>
            </w:r>
            <w:r>
              <w:rPr>
                <w:rFonts w:ascii="Arial" w:cs="Arial" w:eastAsia="Arial" w:hAnsi="Arial"/>
                <w:sz w:val="20"/>
                <w:szCs w:val="20"/>
                <w:color w:val="auto"/>
                <w:vertAlign w:val="superscript"/>
              </w:rPr>
              <w:t>(1)</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18,313,310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6.87</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1,610,832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6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When an employee exercises stock options, we collect and remit taxes on the employee’s behalf to applicable taxing authorities. As of December 31, 2021 and June 30, 2021, the balance of equity exercise taxes payable was $1.3 million and $23.7 million, respectively, which is included in accounts payable on the interim 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with Early Exercise Rights</w:t>
      </w:r>
    </w:p>
    <w:p>
      <w:pPr>
        <w:spacing w:after="0" w:line="25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accordance with the Plan, we allow for early exercise of stock options while retaining the right to repurchase any unvested options upon termination at the original exercise price. The proceeds received from early exercise of stock options has been recorded within accrued expenses and other liabilities on the interim condensed consolidated balance sheets. As of December 31, 2021, the early exercise liability totaled $0.4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Award</w:t>
      </w:r>
    </w:p>
    <w:p>
      <w:pPr>
        <w:spacing w:after="0" w:line="25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Company's Board of Directors approved a long-term, multi-year performance-based stock option grant providing Mr. Levchin with the opportunity to earn the right to purchase up to 12,500,000 shares of the Company's Class A common stock (the “Value Creation Award”). We recognize stock-based compensation on these awards using an accelerated attribution method over the requisite service period, and only if performance-based conditions are considered probable of being satisfied. During the three and six months ended December 31, 2021, we incurred stock-based compensation expense of $42.3 million and $85 million, respectively, associated with the Value Creation Award as a component of general and administrative expense within the interim condensed consolidated statements of operations and comprehensive loss.</w:t>
      </w:r>
    </w:p>
    <w:p>
      <w:pPr>
        <w:spacing w:after="0" w:line="20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2021, unrecognized compensation expense related to the Value Creation Award was approximately $263.6 million. The period over which such compensation expense will be recognized is approximately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We record stock-based compensation expense for performance-based equity awards on an accelerated attribution method over the requisite service period, which is generally four years, and only if performance-based conditions are considered probable of being satisfied.</w:t>
      </w:r>
    </w:p>
    <w:p>
      <w:pPr>
        <w:spacing w:after="0" w:line="21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RSUs granted after IPO are subject to a service-based vesting condition. We record stock-based compensation expense for service-based RSUs on a straight-line basis over the requisite service period, which is generally four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December 31, 2021, we awarded 2,835,938 RSUs to certain employees under the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RSU activity during the six months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8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14,242,111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2,835,938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(2,657,905)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(1,074,592)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13,345,552</w:t>
            </w:r>
          </w:p>
        </w:tc>
        <w:tc>
          <w:tcPr>
            <w:tcW w:w="36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of December 31, 2021, unrecognized compensation expense related to unvested RSUs was approximately $517.2 million. The weighted-average period over which such compensation expense will be recognized is approximately three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November 18, 2020, our Board of Directors adopted and approved the 2020 Employee Stock Purchase Plan (ESPP). A total of 9.1 million shares of Class A common stock were reserved and available for issuance under the ESPP as of December 31, 2021. The ESPP provides for six-month offering periods beginning December 1 and June 1 of each year, with the first offering period beginning December 1, 2021. At the end of each offering period, ESPP participants may purchase shares of our Class A common stock at a price per share equal to 85% of the lesser of (1) the fair market value of the Class A common stock on first day of the offering period (the grant date) or (2) the fair market value of the Class A common stock on the on the last day of the offering period (the purchase date). We use the Black-Scholes-Merton option pricing model to measure the fair value of the purchase rights issued under the ESPP. We record stock-based compensation expense on a straight-line basis over the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Borders>
              <w:bottom w:val="single" w:sz="8" w:color="CCEEFF"/>
            </w:tcBorders>
          </w:tcPr>
          <w:p>
            <w:pPr>
              <w:spacing w:after="0"/>
              <w:rPr>
                <w:sz w:val="18"/>
                <w:szCs w:val="18"/>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w w:val="97"/>
              </w:rPr>
              <w:t>Six Months Ended December 31,</w:t>
            </w:r>
          </w:p>
        </w:tc>
      </w:tr>
      <w:tr>
        <w:trPr>
          <w:trHeight w:val="212"/>
        </w:trPr>
        <w:tc>
          <w:tcPr>
            <w:tcW w:w="43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jc w:val="right"/>
              <w:ind w:right="89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61,947</w:t>
            </w:r>
          </w:p>
        </w:tc>
        <w:tc>
          <w:tcPr>
            <w:tcW w:w="120" w:type="dxa"/>
            <w:vAlign w:val="bottom"/>
          </w:tcPr>
          <w:p>
            <w:pPr>
              <w:spacing w:after="0"/>
              <w:rPr>
                <w:sz w:val="19"/>
                <w:szCs w:val="19"/>
                <w:color w:val="auto"/>
              </w:rPr>
            </w:pP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3,097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129,689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6,301</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w w:val="98"/>
              </w:rPr>
              <w:t>Total stock-based compensation in operating expenses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88,537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6,521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181,726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12,724</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101,920</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w:t>
            </w:r>
          </w:p>
        </w:tc>
      </w:tr>
      <w:tr>
        <w:trPr>
          <w:trHeight w:val="21"/>
        </w:trPr>
        <w:tc>
          <w:tcPr>
            <w:tcW w:w="4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the grant date fair value based on the probability of achievement of the revenue targets at each reporting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the three and six months ended December 31, 2021, we recorded income tax expense of $0.3 million and $0.4 million, respectively, which was primarily attributable to various U.S state and foreign income taxes and the tax amortization of certain intangibles. For three and six months ended December 31, 2020, we recorded income tax expense of $0.1 million and $0.2 million, respectively, which was primarily attributable to the effects of foreign income taxes on our Canadian subsidiary and various U.S state income taxes.</w:t>
      </w:r>
    </w:p>
    <w:p>
      <w:pPr>
        <w:spacing w:after="0" w:line="214"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As of December 31, 2021, we continue to recognize a full valuation allowance against our U.S. federal and state as well as the majority of our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prior three fiscal years. The presence of a three-year cumulative loss limits the ability to consider other subjective evidence, such as our expectations of future taxable income and projections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 Attributable to Common Stockholders</w:t>
      </w:r>
    </w:p>
    <w:p>
      <w:pPr>
        <w:spacing w:after="0" w:line="256"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On January 12, 2021, we amended and restated our certificate of incorporation to effect a reclassification of each share of our outstanding common stock into ½ share of Class A common stock and ½ share of Class B common stock, with cash paid for fractional shares. Therefore, we have two classes of common stock: Class A common stock and Class B common stock. The rights, including the dividends and distributions, of the holders of our Class A and Class B common stock are identical, except with respect to voting. Additionally, the conversion of all outstanding shares of redeemable convertible preferred stock into shares of our common stock occurred immediately prior to the reclassification.</w:t>
      </w:r>
    </w:p>
    <w:p>
      <w:pPr>
        <w:spacing w:after="0" w:line="20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for Class A and Class B common stock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spacing w:after="0"/>
              <w:rPr>
                <w:sz w:val="18"/>
                <w:szCs w:val="18"/>
                <w:color w:val="auto"/>
              </w:rPr>
            </w:pPr>
          </w:p>
        </w:tc>
        <w:tc>
          <w:tcPr>
            <w:tcW w:w="3120" w:type="dxa"/>
            <w:vAlign w:val="bottom"/>
            <w:gridSpan w:val="6"/>
          </w:tcPr>
          <w:p>
            <w:pPr>
              <w:ind w:left="80"/>
              <w:spacing w:after="0"/>
              <w:rPr>
                <w:sz w:val="20"/>
                <w:szCs w:val="20"/>
                <w:color w:val="auto"/>
              </w:rPr>
            </w:pPr>
            <w:r>
              <w:rPr>
                <w:rFonts w:ascii="Arial" w:cs="Arial" w:eastAsia="Arial" w:hAnsi="Arial"/>
                <w:sz w:val="16"/>
                <w:szCs w:val="16"/>
                <w:b w:val="1"/>
                <w:bCs w:val="1"/>
                <w:color w:val="auto"/>
                <w:w w:val="98"/>
              </w:rPr>
              <w:t>Three Months Ended December 31, 2021</w:t>
            </w:r>
          </w:p>
        </w:tc>
        <w:tc>
          <w:tcPr>
            <w:tcW w:w="140" w:type="dxa"/>
            <w:vAlign w:val="bottom"/>
          </w:tcPr>
          <w:p>
            <w:pPr>
              <w:spacing w:after="0"/>
              <w:rPr>
                <w:sz w:val="18"/>
                <w:szCs w:val="18"/>
                <w:color w:val="auto"/>
              </w:rPr>
            </w:pPr>
          </w:p>
        </w:tc>
        <w:tc>
          <w:tcPr>
            <w:tcW w:w="284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w w:val="91"/>
              </w:rPr>
              <w:t>Six Months Ended December 31, 2021</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Class A</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Class A</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2"/>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(134,099)</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(134,099)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(134,099)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214,335,757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67,198,131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194,918,082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78,670,012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Total-basic</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214,335,757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67,198,131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194,918,082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78,670,012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214,335,757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67,198,131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194,918,082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78,670,012</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Total-diluted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214,335,757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67,198,131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194,918,082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78,670,012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attributable to common stockholders: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for common stock (in thousands, except share and per share data):</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Six Months Ended December</w:t>
            </w:r>
          </w:p>
        </w:tc>
      </w:tr>
      <w:tr>
        <w:trPr>
          <w:trHeight w:val="213"/>
        </w:trPr>
        <w:tc>
          <w:tcPr>
            <w:tcW w:w="6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1"/>
              </w:rPr>
              <w:t>December 31, 2020</w:t>
            </w: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11"/>
              <w:spacing w:after="0"/>
              <w:rPr>
                <w:sz w:val="20"/>
                <w:szCs w:val="20"/>
                <w:color w:val="auto"/>
              </w:rPr>
            </w:pPr>
            <w:r>
              <w:rPr>
                <w:rFonts w:ascii="Arial" w:cs="Arial" w:eastAsia="Arial" w:hAnsi="Arial"/>
                <w:sz w:val="16"/>
                <w:szCs w:val="16"/>
                <w:b w:val="1"/>
                <w:bCs w:val="1"/>
                <w:color w:val="auto"/>
              </w:rPr>
              <w:t>31, 2020</w:t>
            </w: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(30,556)</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(30,556)</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(26,610)</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(30,556)</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conversion of convertible debt</w:t>
            </w: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(30,106)</w:t>
            </w: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Interest on convertible debt prior to conversion</w:t>
            </w:r>
          </w:p>
        </w:tc>
        <w:tc>
          <w:tcPr>
            <w:tcW w:w="22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discount prior to conversion</w:t>
            </w: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(26,610)</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(58,472)</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70,801,521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67,795,598</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Total-basic</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70,801,521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67,795,598</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w:t>
            </w: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70,801,521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67,795,598</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common shares attributable to convertible debt prior to conversion</w:t>
            </w: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1,739,082</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Total-diluted</w:t>
            </w:r>
          </w:p>
        </w:tc>
        <w:tc>
          <w:tcPr>
            <w:tcW w:w="22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70,801,521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69,534,680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per share attributable to common stockholders:</w:t>
            </w: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r>
    </w:tbl>
    <w:p>
      <w:pPr>
        <w:spacing w:after="0" w:line="310"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60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w w:val="92"/>
              </w:rPr>
              <w:t>As of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1800" w:type="dxa"/>
            <w:vAlign w:val="bottom"/>
          </w:tcPr>
          <w:p>
            <w:pPr>
              <w:jc w:val="right"/>
              <w:ind w:right="65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ind w:right="651"/>
              <w:spacing w:after="0"/>
              <w:rPr>
                <w:sz w:val="20"/>
                <w:szCs w:val="20"/>
                <w:color w:val="auto"/>
              </w:rPr>
            </w:pPr>
            <w:r>
              <w:rPr>
                <w:rFonts w:ascii="Arial" w:cs="Arial" w:eastAsia="Arial" w:hAnsi="Arial"/>
                <w:sz w:val="16"/>
                <w:szCs w:val="16"/>
                <w:b w:val="1"/>
                <w:bCs w:val="1"/>
                <w:color w:val="auto"/>
              </w:rPr>
              <w:t>2020</w:t>
            </w:r>
          </w:p>
        </w:tc>
      </w:tr>
      <w:tr>
        <w:trPr>
          <w:trHeight w:val="232"/>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18,851,935</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36,108,658</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800" w:type="dxa"/>
            <w:vAlign w:val="bottom"/>
          </w:tcPr>
          <w:p>
            <w:pPr>
              <w:jc w:val="right"/>
              <w:spacing w:after="0"/>
              <w:rPr>
                <w:sz w:val="20"/>
                <w:szCs w:val="20"/>
                <w:color w:val="auto"/>
              </w:rPr>
            </w:pPr>
            <w:r>
              <w:rPr>
                <w:rFonts w:ascii="Arial" w:cs="Arial" w:eastAsia="Arial" w:hAnsi="Arial"/>
                <w:sz w:val="18"/>
                <w:szCs w:val="18"/>
                <w:color w:val="auto"/>
              </w:rPr>
              <w:t>13,345,552</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13,500,657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6,075,005</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706,065</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Employee stock purchase plan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123,093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6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148,396,979</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38,395,585</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198,712,359</w:t>
            </w:r>
          </w:p>
        </w:tc>
      </w:tr>
      <w:tr>
        <w:trPr>
          <w:trHeight w:val="20"/>
        </w:trPr>
        <w:tc>
          <w:tcPr>
            <w:tcW w:w="75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Segments and Geographical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3800" w:type="dxa"/>
            <w:vAlign w:val="bottom"/>
            <w:gridSpan w:val="6"/>
          </w:tcPr>
          <w:p>
            <w:pPr>
              <w:ind w:left="620"/>
              <w:spacing w:after="0"/>
              <w:rPr>
                <w:sz w:val="20"/>
                <w:szCs w:val="20"/>
                <w:color w:val="auto"/>
              </w:rPr>
            </w:pPr>
            <w:r>
              <w:rPr>
                <w:rFonts w:ascii="Arial" w:cs="Arial" w:eastAsia="Arial" w:hAnsi="Arial"/>
                <w:sz w:val="16"/>
                <w:szCs w:val="16"/>
                <w:b w:val="1"/>
                <w:bCs w:val="1"/>
                <w:color w:val="auto"/>
              </w:rPr>
              <w:t>Three Months Ended December 31,</w:t>
            </w:r>
          </w:p>
        </w:tc>
        <w:tc>
          <w:tcPr>
            <w:tcW w:w="280" w:type="dxa"/>
            <w:vAlign w:val="bottom"/>
          </w:tcPr>
          <w:p>
            <w:pPr>
              <w:spacing w:after="0"/>
              <w:rPr>
                <w:sz w:val="18"/>
                <w:szCs w:val="18"/>
                <w:color w:val="auto"/>
              </w:rPr>
            </w:pPr>
          </w:p>
        </w:tc>
        <w:tc>
          <w:tcPr>
            <w:tcW w:w="290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7"/>
              </w:rPr>
              <w:t>Six Months Ended December 31,</w:t>
            </w:r>
          </w:p>
        </w:tc>
      </w:tr>
      <w:tr>
        <w:trPr>
          <w:trHeight w:val="210"/>
        </w:trPr>
        <w:tc>
          <w:tcPr>
            <w:tcW w:w="426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350,486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378,185</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361,011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378,019</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52"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following table sets forth our long-lived assets, consisting of property, equipment and software, net and operating lease right-of-use assets, by geographic area (in thousands):</w:t>
      </w: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Pr>
          <w:p>
            <w:pPr>
              <w:spacing w:after="0"/>
              <w:rPr>
                <w:sz w:val="18"/>
                <w:szCs w:val="18"/>
                <w:color w:val="auto"/>
              </w:rPr>
            </w:pPr>
          </w:p>
        </w:tc>
        <w:tc>
          <w:tcPr>
            <w:tcW w:w="1620" w:type="dxa"/>
            <w:vAlign w:val="bottom"/>
          </w:tcPr>
          <w:p>
            <w:pPr>
              <w:jc w:val="right"/>
              <w:ind w:right="412"/>
              <w:spacing w:after="0"/>
              <w:rPr>
                <w:sz w:val="20"/>
                <w:szCs w:val="20"/>
                <w:color w:val="auto"/>
              </w:rPr>
            </w:pPr>
            <w:r>
              <w:rPr>
                <w:rFonts w:ascii="Arial" w:cs="Arial" w:eastAsia="Arial" w:hAnsi="Arial"/>
                <w:sz w:val="16"/>
                <w:szCs w:val="16"/>
                <w:b w:val="1"/>
                <w:bCs w:val="1"/>
                <w:color w:val="auto"/>
              </w:rPr>
              <w:t>June 30, 2021</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118,076</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56"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Company has evaluated the impact of events that have occurred subsequent to December 31, 2021, through the date of the interim condensed consolidated financial statements were filed with the SEC. There were no significant subsequent events identified other than the matters described below.</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Credit Facility</w:t>
      </w:r>
    </w:p>
    <w:p>
      <w:pPr>
        <w:spacing w:after="0" w:line="212" w:lineRule="exact"/>
        <w:rPr>
          <w:sz w:val="20"/>
          <w:szCs w:val="20"/>
          <w:color w:val="auto"/>
        </w:rPr>
      </w:pPr>
    </w:p>
    <w:p>
      <w:pPr>
        <w:ind w:right="20" w:firstLine="648"/>
        <w:spacing w:after="0" w:line="256" w:lineRule="auto"/>
        <w:rPr>
          <w:sz w:val="20"/>
          <w:szCs w:val="20"/>
          <w:color w:val="auto"/>
        </w:rPr>
      </w:pPr>
      <w:r>
        <w:rPr>
          <w:rFonts w:ascii="Arial" w:cs="Arial" w:eastAsia="Arial" w:hAnsi="Arial"/>
          <w:sz w:val="16"/>
          <w:szCs w:val="16"/>
          <w:color w:val="auto"/>
        </w:rPr>
        <w:t>On February 4, 2022, we entered into a revolving credit agreement with a syndicate of commercial banks for a $165.0 million unsecured revolving credit facility, maturing on February 4, 2025.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 1.0% per annum, in each case, plus an applicable margin of 0.85% per annum. The facility contains certain covenants and restrictions, including certain financial maintenance covenants, and requires payment of a monthly unused commitment fee of 0.20% per annum on the undrawn balance available. There are no borrowings outstanding under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2021 included in our Annual Report on Form 10-K (our “Annual Report”).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point-of-sale solutions allow consumers to pay for purchases in fixed amounts without deferred interest, hidden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6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3"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12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achieved significant growth in recent periods. Our total revenue, net was approximately $361.0 million and $630.4 million for the three and six months ended December 31, 2021, respectively, and $204.0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million and $378.0 million for the three and six months ended December 31, 2020, respectively. We incurred net losses of $159.7 million and $466.4 million for the three and six months ended December 31, 2021, respectively, and $26.6 million and $30.6 million for the three and six months ended December 31, 2020,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combination of our differentiated product offering, efficient go-to-market strategy, and strong monetization engine has resulted in fast growth.</w:t>
      </w:r>
    </w:p>
    <w:p>
      <w:pPr>
        <w:spacing w:after="0" w:line="221" w:lineRule="exact"/>
        <w:rPr>
          <w:sz w:val="20"/>
          <w:szCs w:val="20"/>
          <w:color w:val="auto"/>
        </w:rPr>
      </w:pPr>
    </w:p>
    <w:p>
      <w:pPr>
        <w:ind w:left="660" w:right="280" w:hanging="328"/>
        <w:spacing w:after="0" w:line="286" w:lineRule="auto"/>
        <w:tabs>
          <w:tab w:leader="none" w:pos="655"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Rapid GMV growth. </w:t>
      </w:r>
      <w:r>
        <w:rPr>
          <w:rFonts w:ascii="Arial" w:cs="Arial" w:eastAsia="Arial" w:hAnsi="Arial"/>
          <w:sz w:val="17"/>
          <w:szCs w:val="17"/>
          <w:color w:val="auto"/>
        </w:rPr>
        <w:t>We grew our Gross Merchandise Volume (“GMV”) by approximately 115% period-over-period to $4.5 billion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December 31, 2021 from $2.1 billion during the three months ended December 31, 2020. During the six months ended December 31, 2021, GMV was $7.2 billion, which represented 102% growth over the six months ended December 31, 2020.</w:t>
      </w:r>
    </w:p>
    <w:p>
      <w:pPr>
        <w:spacing w:after="0" w:line="124" w:lineRule="exact"/>
        <w:rPr>
          <w:rFonts w:ascii="Arial" w:cs="Arial" w:eastAsia="Arial" w:hAnsi="Arial"/>
          <w:sz w:val="17"/>
          <w:szCs w:val="17"/>
          <w:b w:val="1"/>
          <w:bCs w:val="1"/>
          <w:i w:val="1"/>
          <w:iCs w:val="1"/>
          <w:color w:val="auto"/>
        </w:rPr>
      </w:pPr>
    </w:p>
    <w:p>
      <w:pPr>
        <w:ind w:left="660" w:right="16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Increased consumer engagement. </w:t>
      </w:r>
      <w:r>
        <w:rPr>
          <w:rFonts w:ascii="Arial" w:cs="Arial" w:eastAsia="Arial" w:hAnsi="Arial"/>
          <w:sz w:val="18"/>
          <w:szCs w:val="18"/>
          <w:color w:val="auto"/>
        </w:rPr>
        <w:t>The number of active consumers on our platform grew by 6.7 million consumers from December 31, 2020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an increase of 150%, to a total of 11.2 million.</w:t>
      </w:r>
    </w:p>
    <w:p>
      <w:pPr>
        <w:spacing w:after="0" w:line="129" w:lineRule="exact"/>
        <w:rPr>
          <w:rFonts w:ascii="Arial" w:cs="Arial" w:eastAsia="Arial" w:hAnsi="Arial"/>
          <w:sz w:val="18"/>
          <w:szCs w:val="18"/>
          <w:b w:val="1"/>
          <w:bCs w:val="1"/>
          <w:i w:val="1"/>
          <w:iCs w:val="1"/>
          <w:color w:val="auto"/>
        </w:rPr>
      </w:pPr>
    </w:p>
    <w:p>
      <w:pPr>
        <w:ind w:left="660" w:right="100" w:hanging="328"/>
        <w:spacing w:after="0" w:line="263"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Expanded merchant network. </w:t>
      </w:r>
      <w:r>
        <w:rPr>
          <w:rFonts w:ascii="Arial" w:cs="Arial" w:eastAsia="Arial" w:hAnsi="Arial"/>
          <w:sz w:val="18"/>
          <w:szCs w:val="18"/>
          <w:color w:val="auto"/>
        </w:rPr>
        <w:t>We have also continued to scale the breadth and reach of our platform. From December 31, 2020 to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our merchant base expanded by 2,030% to 168,030 active merchants due primarily to continued expansion to merchants related to the Shopify partnership.</w:t>
      </w:r>
    </w:p>
    <w:p>
      <w:pPr>
        <w:spacing w:after="0" w:line="15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Our business is designed to scale efficiently. Our partnerships with banks and other funding relationships have allowed us to remain equity capital efficient. Since July 1, 2016, we have processed approximately $24.7 billion of GMV on our platform. As of December 31, 2021, we had over $8.8 billion in funding capacity from a diverse set of capital partners, including through our warehouse facilities, securitization trusts, and forward flow arrangements, an increase of $2.3 billion from $6.5 billion as of June 30, 2021.</w:t>
      </w:r>
    </w:p>
    <w:p>
      <w:pPr>
        <w:spacing w:after="0" w:line="1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Through the diversity of these funding relationships, the equity capital required to build our total platform portfolio has remained stable at approximately 4% of the total platform portfolio from June 30, 2021 to December 31, 2021. This metric measures the equity intensity of our business or the amount of capital used in relation to the scale of our enterprise. We define our total platform portfolio as the unpaid principal balance outstanding of all loans facilitated through our platform as of the balance sheet date, including both those loans held for investment and those loans owned by third-parties. This amount totaled $6.3 billion and $4.7 billion as of December 31, 2021 and June 30, 2021, respectively. Additionally, we define the equity capital required as the balance of loans held for investment plus loans held for sale less funding debt and notes issued by securitization trusts, per our interim condensed consolidated balance sheet. This amount totaled $229.7 million and $178.1 million as of December 31, 2021 and June 30, 2021, respectively. Equity capital required as a percent of the last twelve months’ GMV was 2% as of both December 31, 2021 and June 30, 2021.</w:t>
      </w:r>
    </w:p>
    <w:p>
      <w:pPr>
        <w:spacing w:after="0" w:line="1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that our continued success will depend on many factors, including our ability to attract additional merchant partners, retain our existing merchant partners, and grow and develop our relationships with new and existing merchant partners (including our relationship with Amazon), help our merchants grow their revenue on our platform, and develop new innovative solutions to establish the ubiquity of our network and breadth of our platform. For a further discussion of trends, uncertainties and other factors that could impact our operating results, see the section entitled “Risk Factors” in Item 1A,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0% APR financing products. For both the three and six months ended December 31, 2021, 0% APR financing represented 44% of total GMV facilitated through our platform. For both the three and six months ended December 31, 2020, 0% APR financing represented 46% of total GMV facilitated through our platform.</w:t>
      </w:r>
    </w:p>
    <w:p>
      <w:pPr>
        <w:spacing w:after="0" w:line="13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our originating bank partners or the origination of a loan.</w:t>
      </w:r>
    </w:p>
    <w:p>
      <w:pPr>
        <w:spacing w:after="0" w:line="121"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98"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When a consumer applies for a loan through our platform, the loan is underwritten using our proprietary risk model. Once approved for the loan, the consumer then selects his/her preferred repayment option. The substantial majority of these loans are funded and issued by our originating bank partners.</w:t>
      </w:r>
    </w:p>
    <w:p>
      <w:pPr>
        <w:spacing w:after="0" w:line="14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substantial majority of the loans facilitated through our platform are originated through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our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w:t>
      </w:r>
    </w:p>
    <w:p>
      <w:pPr>
        <w:spacing w:after="0" w:line="13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also able to originate loans directly under our lending, servicing, and brokering licenses in Canada and across various states in the U.S. through our consolidated subsidiaries. For the three and six months ended December 31, 2021, we originated approximately $293.4 million and $429.7 million of loans in Canada, respectively, compared to approximately $61.3 million for both the three and six months ended December 31, 2020. For the three and six months ended December 31, 2021, we directly originated $728.3 million and $1,114.6 million of loans in the U.S. pursuant to our state licenses, compared to approximately $72.6 million for both the three and six months ended December 31, 2020. For the three and six months ended December 31, 2021, we self-originated 23% and 22% of total loans through our state and other licenses, respectively, compared to 6% and 4% for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Funding Sources</w:t>
      </w:r>
    </w:p>
    <w:p>
      <w:pPr>
        <w:spacing w:after="0" w:line="19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2"/>
              </w:rPr>
              <w:t>Three Months Ended</w:t>
            </w:r>
          </w:p>
        </w:tc>
        <w:tc>
          <w:tcPr>
            <w:tcW w:w="500" w:type="dxa"/>
            <w:vAlign w:val="bottom"/>
          </w:tcPr>
          <w:p>
            <w:pPr>
              <w:spacing w:after="0"/>
              <w:rPr>
                <w:sz w:val="16"/>
                <w:szCs w:val="16"/>
                <w:color w:val="auto"/>
              </w:rPr>
            </w:pPr>
          </w:p>
        </w:tc>
        <w:tc>
          <w:tcPr>
            <w:tcW w:w="1760" w:type="dxa"/>
            <w:vAlign w:val="bottom"/>
            <w:gridSpan w:val="2"/>
          </w:tcPr>
          <w:p>
            <w:pPr>
              <w:jc w:val="center"/>
              <w:ind w:left="357"/>
              <w:spacing w:after="0"/>
              <w:rPr>
                <w:sz w:val="20"/>
                <w:szCs w:val="20"/>
                <w:color w:val="auto"/>
              </w:rPr>
            </w:pPr>
            <w:r>
              <w:rPr>
                <w:rFonts w:ascii="Arial" w:cs="Arial" w:eastAsia="Arial" w:hAnsi="Arial"/>
                <w:sz w:val="16"/>
                <w:szCs w:val="16"/>
                <w:b w:val="1"/>
                <w:bCs w:val="1"/>
                <w:color w:val="auto"/>
                <w:w w:val="92"/>
              </w:rPr>
              <w:t>Six Months Ended</w:t>
            </w:r>
          </w:p>
        </w:tc>
        <w:tc>
          <w:tcPr>
            <w:tcW w:w="960" w:type="dxa"/>
            <w:vAlign w:val="bottom"/>
          </w:tcPr>
          <w:p>
            <w:pPr>
              <w:spacing w:after="0"/>
              <w:rPr>
                <w:sz w:val="16"/>
                <w:szCs w:val="16"/>
                <w:color w:val="auto"/>
              </w:rPr>
            </w:pPr>
          </w:p>
        </w:tc>
      </w:t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left="577"/>
              <w:spacing w:after="0"/>
              <w:rPr>
                <w:sz w:val="20"/>
                <w:szCs w:val="20"/>
                <w:color w:val="auto"/>
              </w:rPr>
            </w:pPr>
            <w:r>
              <w:rPr>
                <w:rFonts w:ascii="Arial" w:cs="Arial" w:eastAsia="Arial" w:hAnsi="Arial"/>
                <w:sz w:val="16"/>
                <w:szCs w:val="16"/>
                <w:b w:val="1"/>
                <w:bCs w:val="1"/>
                <w:color w:val="auto"/>
                <w:w w:val="90"/>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left="377"/>
              <w:spacing w:after="0"/>
              <w:rPr>
                <w:sz w:val="20"/>
                <w:szCs w:val="20"/>
                <w:color w:val="auto"/>
              </w:rPr>
            </w:pPr>
            <w:r>
              <w:rPr>
                <w:rFonts w:ascii="Arial" w:cs="Arial" w:eastAsia="Arial" w:hAnsi="Arial"/>
                <w:sz w:val="16"/>
                <w:szCs w:val="16"/>
                <w:b w:val="1"/>
                <w:bCs w:val="1"/>
                <w:color w:val="auto"/>
                <w:w w:val="90"/>
              </w:rPr>
              <w:t>December 31,</w:t>
            </w:r>
          </w:p>
        </w:tc>
        <w:tc>
          <w:tcPr>
            <w:tcW w:w="96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w w:val="89"/>
              </w:rPr>
              <w:t>2020</w:t>
            </w:r>
          </w:p>
        </w:tc>
      </w:tr>
      <w:tr>
        <w:trPr>
          <w:trHeight w:val="184"/>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Merchandise Volume (GMV)</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4,457,574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2,075,112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7,170,513</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3,551,041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GMV</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three months ended December 31, 2021, GMV was $4.5 billion, which represented an increase of approximately 115% as compared to $2.1 billion for the three months ended December 31, 2020. For the six months ended December 31, 2021, GMV was $7.2 billion, which represents an increase of approximately 102% as compared to $3.6 billion for the six months ended December 31, 2020.</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202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December 31, 2021</w:t>
            </w:r>
          </w:p>
        </w:tc>
        <w:tc>
          <w:tcPr>
            <w:tcW w:w="182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0"/>
              </w:rPr>
              <w:t>June 30, 2021</w:t>
            </w:r>
          </w:p>
        </w:tc>
        <w:tc>
          <w:tcPr>
            <w:tcW w:w="174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December 31, 2020</w:t>
            </w:r>
          </w:p>
        </w:tc>
      </w:tr>
      <w:tr>
        <w:trPr>
          <w:trHeight w:val="184"/>
        </w:trPr>
        <w:tc>
          <w:tcPr>
            <w:tcW w:w="5660" w:type="dxa"/>
            <w:vAlign w:val="bottom"/>
          </w:tcPr>
          <w:p>
            <w:pPr>
              <w:spacing w:after="0"/>
              <w:rPr>
                <w:sz w:val="16"/>
                <w:szCs w:val="16"/>
                <w:color w:val="auto"/>
              </w:rPr>
            </w:pPr>
          </w:p>
        </w:tc>
        <w:tc>
          <w:tcPr>
            <w:tcW w:w="5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thousands, except per consumer data)</w:t>
            </w:r>
          </w:p>
        </w:tc>
      </w:tr>
      <w:tr>
        <w:trPr>
          <w:trHeight w:val="23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Consumers</w:t>
            </w:r>
          </w:p>
        </w:tc>
        <w:tc>
          <w:tcPr>
            <w:tcW w:w="20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11,231</w:t>
            </w:r>
          </w:p>
        </w:tc>
        <w:tc>
          <w:tcPr>
            <w:tcW w:w="18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Transactions per Active Consumer (x)</w:t>
            </w:r>
          </w:p>
        </w:tc>
        <w:tc>
          <w:tcPr>
            <w:tcW w:w="2020" w:type="dxa"/>
            <w:vAlign w:val="bottom"/>
          </w:tcPr>
          <w:p>
            <w:pPr>
              <w:jc w:val="right"/>
              <w:ind w:right="217"/>
              <w:spacing w:after="0"/>
              <w:rPr>
                <w:sz w:val="20"/>
                <w:szCs w:val="20"/>
                <w:color w:val="auto"/>
              </w:rPr>
            </w:pPr>
            <w:r>
              <w:rPr>
                <w:rFonts w:ascii="Arial" w:cs="Arial" w:eastAsia="Arial" w:hAnsi="Arial"/>
                <w:sz w:val="18"/>
                <w:szCs w:val="18"/>
                <w:color w:val="auto"/>
              </w:rPr>
              <w:t>2.5</w:t>
            </w:r>
          </w:p>
        </w:tc>
        <w:tc>
          <w:tcPr>
            <w:tcW w:w="182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Consumers</w:t>
      </w:r>
    </w:p>
    <w:p>
      <w:pPr>
        <w:spacing w:after="0" w:line="18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December 31, 2021, we had 11.2 million active consumers, representing an increase of approximately 58% compared to 7.1 million at June 30, 2021, and approximately 150% compared to 4.5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per Active Consumer</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December 31, 2021, we had approximately 2.5 transactions per active consumer, an increase of 11% compared to June 30, 2021, and approximately 15% compared to December 31, 2020. Transactions per active consumer includes incremental transactions completed by active consumers on the PayBright and Returnly platforms during the twelve months prior to the measurement date and prior to the acquisitions of PayBright and Returnly by Affirm.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8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The percentage of equity capital required to fund our total platform portfolio has remained relatively flat at approximately 4% from June 30, 2021 to December 31, 2021. The mix of on-balance sheet and off-balance sheet funding is a function of both how we choose to allocate loan volume and the available supply of capital, both of which may also impact our results in any given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9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mix of products that our merchants offer and our consumers purchase in any period affects our operating results. In addition, shifts in volume among merchants in any period also affects our operating results. These mix impacts affect GMV, revenue, our financial results, and our key operating metric performance for that period. Differences in product mix relate to different loan durations, APR mix, and varying proportion of 0% APR versus interest-bearing financings. Differences in merchant mix relate to the variations in the product and economic terms of the commercial agreements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will vary. In addition, our commercial agreement with Shopify to offer Shop Pay Installments powered by Affirm and our recent Split Pay offering, a short-term payment plan with 0% APR, will continue to increase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Investment</w:t>
      </w:r>
    </w:p>
    <w:p>
      <w:pPr>
        <w:spacing w:after="0" w:line="18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rely on the strength of our merchant relationships and positive user experience to develop our consumer brand and grow the ubiquity of our platform. During the three and six months ended December 31, 2021, we increased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acquiring new merchants. We are focused on the effectiveness of sales and marketing spending and will continue to be strategic in maintaining efficient consumer and merchant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We experience seasonal fluctuations in our revenue as a result of consumer spending patterns. Historically, our revenue has been the strongest during the second quarter of our fiscal year due to increases in retail commerce occurring through the holiday season. Adverse events that occur during these months could have a disproportionate effect on our financial results for the fiscal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COVID-19 pandemic has had, and continues to have, a significant impact on the U.S. economy and the markets in which we operate. Our positive performance during this period demonstrates the value and effectiveness of our platform, the resiliency of our business model, and the capabilities of our risk management and underwriting approach. As we enter a new phase of the pandemic, our focus will turn to both changing macro-economic conditions and individual consumer spending habits. As we observe new behavior, we will rely on our flexible and robust risk infrastructure to make appropriate decisions for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Merchant Partners</w:t>
      </w:r>
    </w:p>
    <w:p>
      <w:pPr>
        <w:spacing w:after="0" w:line="18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a diversified set of merchant partners across industries, which allows us to capitalize on industry tailwinds and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As we move past the period of extended lock-downs due to COVID-19, we have observed strong changes in consumer preferences. Industries impacted by the lock-down such as travel and hospitality have seen a strong resurgence and have either replaced or offset the spending decreases we experienced in the aforementioned categories.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Risk Model</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continued decreases across both charge-offs and delinquencies. As macroeconomic conditions improved, the embedded flexibility of the model allowed our risk tolerances to return closer to pre-pandemic levels while still maintaining low losses. Our proprietary risk model was not designed to take into account the longer-term impacts of social, economic, and financial disruptions caused by the COVID-19 pandemic, and while we continue to make refinements to our risk model as new information becomes available to us, any changes to our risk model may be ineffective and the performance of our risk model may decline.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Resilient Allowance Model</w:t>
      </w:r>
    </w:p>
    <w:p>
      <w:pPr>
        <w:spacing w:after="0" w:line="1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of loans held for investment to a high of 14.8% as of March 31, 2020. In the months subsequent to this and during fiscal year 2021, we saw stronger than expected repayment history in the portfolio and increased credit quality of loans held on our balance sheet from credit tightening, resulting in a release of the allowance over time. As the economic reopening and recovery continues, we believe our allowance model is well equipped to forecast expected loss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resulting from both the shifting product mix of loans on our balance sheet as well as a return to pre-pandemic credit levels over time. The allowance for credit losses as a percentage of loans held for investment increased from 5.8% as of June 30, 2021 to 6.5% as of December 31, 2021 due to a shift in the composition of loans retained on balance sheet. Should macroeconomic factors or expected losses change, we may increase or decrease the allowance for credit losses.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Merchant partners are charged a fee on each transaction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order to continue to expand our consumer base, we may originate loans under certain merchant arrangements that we do not expect to achieve positive revenue. In these instances, the loss is recorded as sales and marketing expense. During the three and six months ended December 31, 2020, we generated 49% and 51% of our revenue from merchant network fees, respectively. During both the three and six months ended December 31, 2021, we generated 35% of our revenue from merchant network fees.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w:t>
      </w:r>
    </w:p>
    <w:p>
      <w:pPr>
        <w:spacing w:after="0" w:line="18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6"/>
          <w:szCs w:val="16"/>
          <w:color w:val="auto"/>
        </w:rPr>
        <w:t>A smaller portion of our revenue comes from our Virtual Card product. We have an agreement with an issuer processor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which is ultimately funded and maintained by us.</w:t>
      </w:r>
    </w:p>
    <w:p>
      <w:pPr>
        <w:spacing w:after="0" w:line="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originating bank partner then originates a loan to the consumer once the transaction is confirmed by the merchant. The non-integrated merchants are charged interchange fees by the issuer processor for virtual debit card transactions, as with all debit card purchases,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 This revenue is recognized as a percentage of both our loan volume transacted on the payment processor network and net interchange income, and this revenue is presented net of associated processing fees. We generated 7% of our revenue from virtual card network fees for both the three and six months ended December 31, 2021, and 5% and 4% of our revenue from virtual card network fees for the three and six months ended December 31,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also earn revenue through interest earned on loans facilitated by our platform.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These discounts and premiums are accreted or amortized over the life of the loan using the effective interest method and represented 40% and 37% of total interest income for the three and six months ended December 31, 2021, respectively, compared to 30% and 29% for the three and six months ended December 31, 2020. During the three and six months ended December 31, 2021, we generated 38% and 41% of our revenue from interest income, respectively. During the three and six months ended December 31, 2020, we generated 36% and 34% of our revenue from interest income,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18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sell a portion of the loans we originate or purchase from our originating bank partners to third-party investors. We recognize a gain or loss on sale of such loans as the difference between the proceeds received, adjusted for initial recognition of servicing assets and liabilities obtained at the date of sale, and the carrying value of the loan. During the three and six months ended December 31, 2021, we recognized a decrease of $3.5 million and $2.2 million in gain on sales of loans due to the net impact of the servicing assets and liabilities of the loans sold, respectively. During the three and six months ended December 31, 2020, we generated 7% and 8% of our revenue from gain on sales of loans, respectively. During the three and six months ended December 31, 2021, we generated 16% and 14% of our revenue from gain on sales of loans,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earn a specified fee from providing professional services to manage loan portfolios on behalf of our third-party loan owners. Under the servicing agreements with our third-party loan owners, we are entitled to collect servicing fees on the loans that we service, which are paid monthly based upon an annual fixed percentage of the outstanding loan portfolio balance. During the three and six months ended December 31, 2020, we generated 3% and 2% of our revenue from servicing fees, respectively. During both the three and six months ended December 31, 2021, we generated 3% of our revenue from servicing fees.</w:t>
      </w:r>
    </w:p>
    <w:p>
      <w:pPr>
        <w:spacing w:after="0" w:line="147"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We expect our revenue may vary from period to period based on, among other things, the timing of onboarding and size of new merchants, the mix of 0% APR loans versus interest-bearing loans with simple interest, loan funding strategy and mix, type and mix of products that our merchants offer to their customers, the rate of repeat transactions, transaction volume, and seasonality of or fluctuations in usage of our platform.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12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As of December 31, 2021, we had 2,071 employees, compared to 1,641 employees as of June 30, 2021. We increased our headcount and personnel related costs across our business in order to support our growth expansion strategy. We expect headcount to continue to increase during fiscal year 2022 given our focus on growth and expansion.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8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purchase certain loans from our originating bank partners that are processed through our platform and our originating bank partner puts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Provision for credit losses consists of amounts charged against income during the period to maintain an allowance for credit losses. Our allowance for credit losses represents our estimate of the credit losses inherent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loans held for investment and is based on a variety of factors, including the composition and quality of the portfolio, loan specific information gathered through our collection efforts, current economic conditions, future reasonable and supportable forecasts, and our historical net charge-off and loss experience. These costs are incurred on a per loan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Funding costs consist of the interest expense we incur on our borrowings and amortization of fees and other costs incurred in connection with funding the purchases and originations of loans. Excluding the amortization of debt issuance costs, which totaled $1.3 million and $2.4 million for the three and six months ended December 31, 2020, respectively, and $4.3 million and $9.6 million for the three and six months ended December 31, 2021, respectively, we incur an expense based on the dollar amount of loans pledged to our debt funding sources.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Processing and servicing expense consists primarily of payment processing fees, third-party customer support and collection expense salaries and personnel-related costs of our customer care team, platform fees,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Platform fees are revenue sharing fees paid to our e-commerce platform partners. Processing and servicing expenses are predominantly per transaction processing fees and third-party staffing fees that generally increase with consumer contact.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which totaled $24.9 million and $46.0 million for the three and six months ended December 31, 2020, respectively, and $53.4 million and $103.9 million for the three and six months ended December 31, 2021, respectively.</w:t>
      </w:r>
    </w:p>
    <w:p>
      <w:pPr>
        <w:spacing w:after="0" w:line="146"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Additionally, for the three and six months ended December 31, 2020, $2.4 million and $7.5 million, respectively, of salaries and personnel costs that relate to the creation of internally-developed software were capitalized into property, equipment and software, net on the interim condensed consolidated balance sheets, and amortized into technology and data analytics expense over the useful life of the developed software. This amortization expense totaled $2.2 million and $4.8 million for the three and six months ended December 31, 2020, respectively. For the three and six months ended December 31, 2021, $34.0 million and $60.8 million, respectively, of salaries and personnel costs that relate to the creation of internally-developed software were capitalized into property, equipment and software, net on our interim condensed consolidated balance sheets, and we recorded amortization expense of $5.3 million and $8.9 million for the three and six months ended December 31, 2021, respectively. Additional technology and data analytics expenses include platform infrastructure and hosting costs, third-party data acquisition expenses, and expenses related to the maintenance of existing technology assets and our technology platform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 In July 2020, we recognized an asset in connection with a commercial agreement with Shopify in which we granted warrants in exchange for their promotion of the Affirm platform with potential new merchant partners. This asset represents the probable future economic benefit to be realized over the four-year expected benefit period and is valued based on the fair value of the warrants at the grant date. This value is amortized on a straight-line basis over the four-year expected benefit period into sales and marketing expense, due to the nature of the expected benefit. In November 2021, we entered into a commercial agreement with Amazon and granted warrants in exchange for certain exclusivity provisions and the benefit of acquiring new users. In connection with the agreements, we recognized an asset associated with the portion of the warrants that were fully vested upon execution of the agreement. The asset is valued based on the fair value of the warrants on the grant date and represents the probable future economic benefit to be realized over the approximately 3.2 year remaining initial term of the commercial agreement. For both the three and six months ended December 31, 2021, we recognized $70.6 million of expenses related to the warrants within sales and marketing expense, which included the amortization expense of the commercial agreement asset and the expense based upon the grant-date fair value for the warrant shares that vested during the period. For the three and six months ended December 31, 2021, warrants and stock appreciation rights comprised 61% and 44% of sales and marketing expenses, respectively, compared to 50% and 51% for the three and six months ended December 31, 2020, respectively.</w:t>
      </w:r>
    </w:p>
    <w:p>
      <w:pPr>
        <w:spacing w:after="0" w:line="14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Additionally, in order to continue to expand our consumer base, we may originate certain loans via our wholly-owned subsidiaries with zero or below market interest rates under certain merchant arrangements that we do not expect to achieve positive revenue. In these instances, the par value of the loans originated is in excess of the fair market value of such loans, which results in a loss. These losses are recorded as sales and marketing expense. These losses totaled $9.6 million and $14.7 million, respectively, during the three and six months ended December 31, 2021, compared to $1.0 million for both the three and six months ended December 31, 2020, respectively. We expect that our sales and marketing expense will continue to increase as we expand our sales and marketing efforts to drive our growth, expansion, and diversification.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15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continue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Other (expense) income, net consists of interest earned on our money market funds included in cash and cash equivalents and restricted cash, interest earned on securities available for sale, gains and losses incurred on both our interest rate caps, amortization of convertible debt issuance costs, and fair value adjustments resulting from changes in the fair value of our contingent consideration liability, primarily driven by changes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Our income tax expense consists of U.S. federal and state income taxes, Canadian federal and provincial income taxes, and income taxes attributable to other foreign jurisdictions.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tables set forth selected interim condensed consolidated statements of operations and comprehensive loss data for each of the periods presented in dollars: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December 31,</w:t>
            </w:r>
          </w:p>
        </w:tc>
        <w:tc>
          <w:tcPr>
            <w:tcW w:w="380" w:type="dxa"/>
            <w:vAlign w:val="bottom"/>
          </w:tcPr>
          <w:p>
            <w:pPr>
              <w:spacing w:after="0"/>
              <w:rPr>
                <w:sz w:val="18"/>
                <w:szCs w:val="18"/>
                <w:color w:val="auto"/>
              </w:rPr>
            </w:pPr>
          </w:p>
        </w:tc>
        <w:tc>
          <w:tcPr>
            <w:tcW w:w="284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w w:val="94"/>
              </w:rPr>
              <w:t>Six Months Ended December 31,</w:t>
            </w:r>
          </w:p>
        </w:tc>
      </w:tr>
      <w:tr>
        <w:trPr>
          <w:trHeight w:val="210"/>
        </w:trPr>
        <w:tc>
          <w:tcPr>
            <w:tcW w:w="2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r>
      <w:tr>
        <w:trPr>
          <w:trHeight w:val="184"/>
        </w:trPr>
        <w:tc>
          <w:tcPr>
            <w:tcW w:w="2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1"/>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Merchant network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127,087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99,630</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219,331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192,895</w:t>
            </w:r>
          </w:p>
        </w:tc>
      </w:tr>
      <w:tr>
        <w:trPr>
          <w:trHeight w:val="229"/>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Virtual card network revenue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r>
      <w:tr>
        <w:trPr>
          <w:trHeight w:val="223"/>
        </w:trPr>
        <w:tc>
          <w:tcPr>
            <w:tcW w:w="4440" w:type="dxa"/>
            <w:vAlign w:val="bottom"/>
            <w:gridSpan w:val="2"/>
          </w:tcPr>
          <w:p>
            <w:pPr>
              <w:ind w:left="260"/>
              <w:spacing w:after="0"/>
              <w:rPr>
                <w:sz w:val="20"/>
                <w:szCs w:val="20"/>
                <w:color w:val="auto"/>
              </w:rPr>
            </w:pPr>
            <w:r>
              <w:rPr>
                <w:rFonts w:ascii="Arial" w:cs="Arial" w:eastAsia="Arial" w:hAnsi="Arial"/>
                <w:sz w:val="18"/>
                <w:szCs w:val="18"/>
                <w:color w:val="auto"/>
              </w:rPr>
              <w:t>Total network revenue</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153,645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110,450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265,284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209,673</w:t>
            </w:r>
          </w:p>
        </w:tc>
      </w:tr>
      <w:tr>
        <w:trPr>
          <w:trHeight w:val="229"/>
        </w:trPr>
        <w:tc>
          <w:tcPr>
            <w:tcW w:w="44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128,094</w:t>
            </w:r>
          </w:p>
        </w:tc>
      </w:tr>
      <w:tr>
        <w:trPr>
          <w:trHeight w:val="229"/>
        </w:trPr>
        <w:tc>
          <w:tcPr>
            <w:tcW w:w="44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Gain on sales of loans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57,690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30,994</w:t>
            </w:r>
          </w:p>
        </w:tc>
      </w:tr>
      <w:tr>
        <w:trPr>
          <w:trHeight w:val="230"/>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Servicing income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r>
      <w:tr>
        <w:trPr>
          <w:trHeight w:val="223"/>
        </w:trPr>
        <w:tc>
          <w:tcPr>
            <w:tcW w:w="4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Total Revenue,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361,011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204,041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630,396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378,019</w:t>
            </w:r>
          </w:p>
        </w:tc>
      </w:tr>
      <w:tr>
        <w:trPr>
          <w:trHeight w:val="210"/>
        </w:trPr>
        <w:tc>
          <w:tcPr>
            <w:tcW w:w="44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23"/>
                <w:szCs w:val="23"/>
                <w:b w:val="1"/>
                <w:bCs w:val="1"/>
                <w:color w:val="auto"/>
                <w:vertAlign w:val="superscript"/>
              </w:rPr>
              <w:t>(2)</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Loss on loan purchase commitment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65,265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67,768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116,943</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133,636</w:t>
            </w:r>
          </w:p>
        </w:tc>
      </w:tr>
      <w:tr>
        <w:trPr>
          <w:trHeight w:val="230"/>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41,452</w:t>
            </w:r>
          </w:p>
        </w:tc>
      </w:tr>
      <w:tr>
        <w:trPr>
          <w:trHeight w:val="230"/>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Funding costs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34,453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22,412</w:t>
            </w:r>
          </w:p>
        </w:tc>
      </w:tr>
      <w:tr>
        <w:trPr>
          <w:trHeight w:val="230"/>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Processing and servicing</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30,300</w:t>
            </w:r>
          </w:p>
        </w:tc>
      </w:tr>
      <w:tr>
        <w:trPr>
          <w:trHeight w:val="229"/>
        </w:trPr>
        <w:tc>
          <w:tcPr>
            <w:tcW w:w="4440" w:type="dxa"/>
            <w:vAlign w:val="bottom"/>
            <w:gridSpan w:val="2"/>
          </w:tcPr>
          <w:p>
            <w:pPr>
              <w:ind w:left="140"/>
              <w:spacing w:after="0"/>
              <w:rPr>
                <w:sz w:val="20"/>
                <w:szCs w:val="20"/>
                <w:color w:val="auto"/>
              </w:rPr>
            </w:pPr>
            <w:r>
              <w:rPr>
                <w:rFonts w:ascii="Arial" w:cs="Arial" w:eastAsia="Arial" w:hAnsi="Arial"/>
                <w:sz w:val="18"/>
                <w:szCs w:val="18"/>
                <w:color w:val="auto"/>
              </w:rPr>
              <w:t>Technology and data analytics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173,002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75,402</w:t>
            </w:r>
          </w:p>
        </w:tc>
      </w:tr>
      <w:tr>
        <w:trPr>
          <w:trHeight w:val="230"/>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61,694</w:t>
            </w:r>
          </w:p>
        </w:tc>
      </w:tr>
      <w:tr>
        <w:trPr>
          <w:trHeight w:val="230"/>
        </w:trPr>
        <w:tc>
          <w:tcPr>
            <w:tcW w:w="4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277,496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73,189</w:t>
            </w:r>
          </w:p>
        </w:tc>
      </w:tr>
      <w:tr>
        <w:trPr>
          <w:trHeight w:val="22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557,211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230,813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992,667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438,085</w:t>
            </w:r>
          </w:p>
        </w:tc>
      </w:tr>
      <w:tr>
        <w:trPr>
          <w:trHeight w:val="223"/>
        </w:trPr>
        <w:tc>
          <w:tcPr>
            <w:tcW w:w="4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(362,271)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(60,066)</w:t>
            </w:r>
          </w:p>
        </w:tc>
      </w:tr>
      <w:tr>
        <w:trPr>
          <w:trHeight w:val="22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29,685</w:t>
            </w:r>
          </w:p>
        </w:tc>
      </w:tr>
      <w:tr>
        <w:trPr>
          <w:trHeight w:val="223"/>
        </w:trPr>
        <w:tc>
          <w:tcPr>
            <w:tcW w:w="4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(465,903)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(30,381)</w:t>
            </w:r>
          </w:p>
        </w:tc>
      </w:tr>
      <w:tr>
        <w:trPr>
          <w:trHeight w:val="22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4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(159,735)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(466,350)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(30,556)</w:t>
            </w:r>
          </w:p>
        </w:tc>
      </w:tr>
      <w:tr>
        <w:trPr>
          <w:trHeight w:val="21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(1,461)</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Unrealized gain (loss) on securities available for sale, net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Other Comprehensive Income (Loss)</w:t>
            </w: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1,684</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1,814</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(2,397)</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(468,747)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(28,337)</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2240" w:type="dxa"/>
            <w:vAlign w:val="bottom"/>
            <w:tcBorders>
              <w:bottom w:val="single" w:sz="8" w:color="auto"/>
            </w:tcBorders>
          </w:tcPr>
          <w:p>
            <w:pPr>
              <w:spacing w:after="0"/>
              <w:rPr>
                <w:sz w:val="22"/>
                <w:szCs w:val="22"/>
                <w:color w:val="auto"/>
              </w:rPr>
            </w:pPr>
          </w:p>
        </w:tc>
        <w:tc>
          <w:tcPr>
            <w:tcW w:w="2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88" w:lineRule="exact"/>
        <w:rPr>
          <w:sz w:val="20"/>
          <w:szCs w:val="20"/>
          <w:color w:val="auto"/>
        </w:rPr>
      </w:pPr>
    </w:p>
    <w:p>
      <w:pPr>
        <w:ind w:left="340" w:right="20" w:hanging="332"/>
        <w:spacing w:after="0" w:line="234"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3540" w:type="dxa"/>
            <w:vAlign w:val="bottom"/>
            <w:gridSpan w:val="6"/>
          </w:tcPr>
          <w:p>
            <w:pPr>
              <w:ind w:left="500"/>
              <w:spacing w:after="0"/>
              <w:rPr>
                <w:sz w:val="20"/>
                <w:szCs w:val="20"/>
                <w:color w:val="auto"/>
              </w:rPr>
            </w:pPr>
            <w:r>
              <w:rPr>
                <w:rFonts w:ascii="Arial" w:cs="Arial" w:eastAsia="Arial" w:hAnsi="Arial"/>
                <w:sz w:val="16"/>
                <w:szCs w:val="16"/>
                <w:b w:val="1"/>
                <w:bCs w:val="1"/>
                <w:color w:val="auto"/>
              </w:rPr>
              <w:t>Three Months Ended December 31,</w:t>
            </w:r>
          </w:p>
        </w:tc>
        <w:tc>
          <w:tcPr>
            <w:tcW w:w="380" w:type="dxa"/>
            <w:vAlign w:val="bottom"/>
          </w:tcPr>
          <w:p>
            <w:pPr>
              <w:spacing w:after="0"/>
              <w:rPr>
                <w:sz w:val="18"/>
                <w:szCs w:val="18"/>
                <w:color w:val="auto"/>
              </w:rPr>
            </w:pPr>
          </w:p>
        </w:tc>
        <w:tc>
          <w:tcPr>
            <w:tcW w:w="286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w w:val="95"/>
              </w:rPr>
              <w:t>Six Months Ended December 31,</w:t>
            </w:r>
          </w:p>
        </w:tc>
      </w:tr>
      <w:tr>
        <w:trPr>
          <w:trHeight w:val="210"/>
        </w:trPr>
        <w:tc>
          <w:tcPr>
            <w:tcW w:w="44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2020</w:t>
            </w:r>
          </w:p>
        </w:tc>
      </w:tr>
      <w:tr>
        <w:trPr>
          <w:trHeight w:val="184"/>
        </w:trPr>
        <w:tc>
          <w:tcPr>
            <w:tcW w:w="4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0"/>
              </w:rPr>
              <w:t>56,035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w w:val="92"/>
              </w:rPr>
              <w:t>Additions from loans purchased or originated, net of refunds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121,603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center"/>
              <w:ind w:left="534"/>
              <w:spacing w:after="0"/>
              <w:rPr>
                <w:sz w:val="20"/>
                <w:szCs w:val="20"/>
                <w:color w:val="auto"/>
              </w:rPr>
            </w:pPr>
            <w:r>
              <w:rPr>
                <w:rFonts w:ascii="Arial" w:cs="Arial" w:eastAsia="Arial" w:hAnsi="Arial"/>
                <w:sz w:val="18"/>
                <w:szCs w:val="18"/>
                <w:color w:val="auto"/>
                <w:w w:val="90"/>
              </w:rPr>
              <w:t>72,094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198,873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130,237</w:t>
            </w:r>
          </w:p>
        </w:tc>
      </w:tr>
      <w:tr>
        <w:trPr>
          <w:trHeight w:val="22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(54,965)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92"/>
              </w:rPr>
              <w:t>(22,448)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(37,218)</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(72,335)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14"/>
              <w:spacing w:after="0"/>
              <w:rPr>
                <w:sz w:val="20"/>
                <w:szCs w:val="20"/>
                <w:color w:val="auto"/>
              </w:rPr>
            </w:pPr>
            <w:r>
              <w:rPr>
                <w:rFonts w:ascii="Arial" w:cs="Arial" w:eastAsia="Arial" w:hAnsi="Arial"/>
                <w:sz w:val="18"/>
                <w:szCs w:val="18"/>
                <w:color w:val="auto"/>
                <w:w w:val="89"/>
              </w:rPr>
              <w:t>(34,110)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(50,107)</w:t>
            </w: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8"/>
                <w:szCs w:val="18"/>
                <w:color w:val="auto"/>
                <w:w w:val="90"/>
              </w:rPr>
              <w:t>71,571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-187960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282892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2892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spacing w:after="0"/>
        <w:tabs>
          <w:tab w:leader="none" w:pos="320" w:val="left"/>
        </w:tabs>
        <w:rPr>
          <w:sz w:val="20"/>
          <w:szCs w:val="20"/>
          <w:color w:val="auto"/>
        </w:rPr>
      </w:pP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8"/>
          <w:szCs w:val="18"/>
          <w:color w:val="auto"/>
        </w:rPr>
        <w:t>Amounts include stock-based compensation as follows:</w:t>
      </w:r>
    </w:p>
    <w:p>
      <w:pPr>
        <w:sectPr>
          <w:pgSz w:w="11900" w:h="16838" w:orient="portrait"/>
          <w:cols w:equalWidth="0" w:num="1">
            <w:col w:w="11240"/>
          </w:cols>
          <w:pgMar w:left="320" w:top="125" w:right="339" w:bottom="1440" w:gutter="0" w:footer="0" w:header="0"/>
        </w:sectPr>
      </w:pPr>
    </w:p>
    <w:p>
      <w:pPr>
        <w:spacing w:after="0" w:line="45" w:lineRule="exact"/>
        <w:rPr>
          <w:sz w:val="20"/>
          <w:szCs w:val="20"/>
          <w:color w:val="auto"/>
        </w:rPr>
      </w:pPr>
    </w:p>
    <w:p>
      <w:pPr>
        <w:ind w:left="484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23495</wp:posOffset>
            </wp:positionV>
            <wp:extent cx="21863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86305" cy="8890"/>
                    </a:xfrm>
                    <a:prstGeom prst="rect">
                      <a:avLst/>
                    </a:prstGeom>
                    <a:noFill/>
                  </pic:spPr>
                </pic:pic>
              </a:graphicData>
            </a:graphic>
          </wp:anchor>
        </w:drawing>
      </w:r>
    </w:p>
    <w:p>
      <w:pPr>
        <w:spacing w:after="0" w:line="31" w:lineRule="exact"/>
        <w:rPr>
          <w:sz w:val="20"/>
          <w:szCs w:val="20"/>
          <w:color w:val="auto"/>
        </w:rPr>
      </w:pPr>
    </w:p>
    <w:p>
      <w:pPr>
        <w:ind w:left="5060"/>
        <w:spacing w:after="0"/>
        <w:tabs>
          <w:tab w:leader="none" w:pos="680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23495</wp:posOffset>
            </wp:positionV>
            <wp:extent cx="2125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31" w:lineRule="exact"/>
        <w:rPr>
          <w:sz w:val="20"/>
          <w:szCs w:val="20"/>
          <w:color w:val="auto"/>
        </w:rPr>
      </w:pPr>
    </w:p>
    <w:p>
      <w:pPr>
        <w:ind w:left="60"/>
        <w:spacing w:after="0"/>
        <w:tabs>
          <w:tab w:leader="none" w:pos="17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6" w:lineRule="exact"/>
        <w:rPr>
          <w:sz w:val="20"/>
          <w:szCs w:val="20"/>
          <w:color w:val="auto"/>
        </w:rPr>
      </w:pPr>
    </w:p>
    <w:p>
      <w:pPr>
        <w:sectPr>
          <w:pgSz w:w="11900" w:h="16838" w:orient="portrait"/>
          <w:cols w:equalWidth="0" w:num="2">
            <w:col w:w="7720" w:space="720"/>
            <w:col w:w="2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980" w:type="dxa"/>
            <w:vAlign w:val="bottom"/>
            <w:tcBorders>
              <w:top w:val="single" w:sz="8" w:color="auto"/>
            </w:tcBorders>
            <w:gridSpan w:val="3"/>
            <w:shd w:val="clear" w:color="auto" w:fill="CCEEFF"/>
          </w:tcPr>
          <w:p>
            <w:pPr>
              <w:jc w:val="right"/>
              <w:ind w:right="31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61,947</w:t>
            </w:r>
          </w:p>
        </w:tc>
        <w:tc>
          <w:tcPr>
            <w:tcW w:w="10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129,689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6,301</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w w:val="98"/>
              </w:rPr>
              <w:t>Total stock-based compensation in operating expenses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181,726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12,724</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206,799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w:t>
            </w:r>
          </w:p>
        </w:tc>
      </w:tr>
      <w:tr>
        <w:trPr>
          <w:trHeight w:val="21"/>
        </w:trPr>
        <w:tc>
          <w:tcPr>
            <w:tcW w:w="4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December 31, 2021 and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w w:val="98"/>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Six Months Ended December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0"/>
              </w:rPr>
              <w:t>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94"/>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92"/>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Merchant network</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127,087</w:t>
            </w:r>
          </w:p>
        </w:tc>
        <w:tc>
          <w:tcPr>
            <w:tcW w:w="8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99,630</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494"/>
              <w:spacing w:after="0"/>
              <w:rPr>
                <w:sz w:val="20"/>
                <w:szCs w:val="20"/>
                <w:color w:val="auto"/>
              </w:rPr>
            </w:pPr>
            <w:r>
              <w:rPr>
                <w:rFonts w:ascii="Arial" w:cs="Arial" w:eastAsia="Arial" w:hAnsi="Arial"/>
                <w:sz w:val="18"/>
                <w:szCs w:val="18"/>
                <w:color w:val="auto"/>
              </w:rPr>
              <w:t>27,457</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219,331</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192,895</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472"/>
              <w:spacing w:after="0"/>
              <w:rPr>
                <w:sz w:val="20"/>
                <w:szCs w:val="20"/>
                <w:color w:val="auto"/>
              </w:rPr>
            </w:pPr>
            <w:r>
              <w:rPr>
                <w:rFonts w:ascii="Arial" w:cs="Arial" w:eastAsia="Arial" w:hAnsi="Arial"/>
                <w:sz w:val="18"/>
                <w:szCs w:val="18"/>
                <w:color w:val="auto"/>
              </w:rPr>
              <w:t>26,436</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line="176" w:lineRule="exact"/>
              <w:rPr>
                <w:sz w:val="20"/>
                <w:szCs w:val="20"/>
                <w:color w:val="auto"/>
              </w:rPr>
            </w:pPr>
            <w:r>
              <w:rPr>
                <w:rFonts w:ascii="Arial" w:cs="Arial" w:eastAsia="Arial" w:hAnsi="Arial"/>
                <w:sz w:val="18"/>
                <w:szCs w:val="18"/>
                <w:color w:val="auto"/>
              </w:rPr>
              <w:t>Virtual card network</w:t>
            </w: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26,558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8"/>
                <w:szCs w:val="18"/>
                <w:color w:val="auto"/>
              </w:rPr>
              <w:t>15,738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45,953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vMerge w:val="restart"/>
          </w:tcPr>
          <w:p>
            <w:pPr>
              <w:jc w:val="right"/>
              <w:ind w:right="472"/>
              <w:spacing w:after="0"/>
              <w:rPr>
                <w:sz w:val="20"/>
                <w:szCs w:val="20"/>
                <w:color w:val="auto"/>
              </w:rPr>
            </w:pPr>
            <w:r>
              <w:rPr>
                <w:rFonts w:ascii="Arial" w:cs="Arial" w:eastAsia="Arial" w:hAnsi="Arial"/>
                <w:sz w:val="18"/>
                <w:szCs w:val="18"/>
                <w:color w:val="auto"/>
              </w:rPr>
              <w:t>29,175</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Total network 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43,195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55,611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138,355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494"/>
              <w:spacing w:after="0"/>
              <w:rPr>
                <w:sz w:val="20"/>
                <w:szCs w:val="20"/>
                <w:color w:val="auto"/>
              </w:rPr>
            </w:pPr>
            <w:r>
              <w:rPr>
                <w:rFonts w:ascii="Arial" w:cs="Arial" w:eastAsia="Arial" w:hAnsi="Arial"/>
                <w:sz w:val="18"/>
                <w:szCs w:val="18"/>
                <w:color w:val="auto"/>
              </w:rPr>
              <w:t>64,498</w:t>
            </w:r>
          </w:p>
        </w:tc>
        <w:tc>
          <w:tcPr>
            <w:tcW w:w="76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255,657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2"/>
              <w:spacing w:after="0"/>
              <w:rPr>
                <w:sz w:val="20"/>
                <w:szCs w:val="20"/>
                <w:color w:val="auto"/>
              </w:rPr>
            </w:pPr>
            <w:r>
              <w:rPr>
                <w:rFonts w:ascii="Arial" w:cs="Arial" w:eastAsia="Arial" w:hAnsi="Arial"/>
                <w:sz w:val="18"/>
                <w:szCs w:val="18"/>
                <w:color w:val="auto"/>
              </w:rPr>
              <w:t>127,563</w:t>
            </w: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sales of loans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43,130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57,675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Servicing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ind w:right="494"/>
              <w:spacing w:after="0"/>
              <w:rPr>
                <w:sz w:val="20"/>
                <w:szCs w:val="20"/>
                <w:color w:val="auto"/>
              </w:rPr>
            </w:pPr>
            <w:r>
              <w:rPr>
                <w:rFonts w:ascii="Arial" w:cs="Arial" w:eastAsia="Arial" w:hAnsi="Arial"/>
                <w:sz w:val="18"/>
                <w:szCs w:val="18"/>
                <w:color w:val="auto"/>
              </w:rPr>
              <w:t>6,147</w:t>
            </w: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ind w:right="472"/>
              <w:spacing w:after="0"/>
              <w:rPr>
                <w:sz w:val="20"/>
                <w:szCs w:val="20"/>
                <w:color w:val="auto"/>
              </w:rPr>
            </w:pPr>
            <w:r>
              <w:rPr>
                <w:rFonts w:ascii="Arial" w:cs="Arial" w:eastAsia="Arial" w:hAnsi="Arial"/>
                <w:sz w:val="18"/>
                <w:szCs w:val="18"/>
                <w:color w:val="auto"/>
              </w:rPr>
              <w:t>11,528</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48"/>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color w:val="auto"/>
              </w:rPr>
              <w:t>156,970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630,396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rPr>
              <w:t>252,377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-1422400</wp:posOffset>
            </wp:positionV>
            <wp:extent cx="603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-1422400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-1422400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-1422400</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Total Revenue, net </w:t>
      </w:r>
      <w:r>
        <w:rPr>
          <w:rFonts w:ascii="Arial" w:cs="Arial" w:eastAsia="Arial" w:hAnsi="Arial"/>
          <w:sz w:val="17"/>
          <w:szCs w:val="17"/>
          <w:color w:val="auto"/>
        </w:rPr>
        <w:t>for the three and six months ended December 31, 2021 increased by $157.0 million or 77% and $252.4 million or 67%,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three and six months ended December 31, 2020. The increase is primarily due to an increase of $2,382.5 million or 115% and $3,619.5 million or 102% in GMV on our platform during the quarter, from $2,075.1 million and $3,551.0 million for the three and six months ended December 31, 2020, respectively, to $4,457.6 million and $7,171 million for the three and six months ended December 31, 2021, respectively. This increase in GMV was driven by the strong network effects of the expansion of our active merchant base from 7,890 as of December 31, 2020 to 168,030 as of December 31, 2021, an increase in active consumers from 4.5 million as of December 31, 2020 to 11.2 million as of December 31, 2021, and an increase in average transactions per consumer from 2.2 as of December 31, 2020 to 2.5 as of December 31, 2021.</w:t>
      </w:r>
    </w:p>
    <w:p>
      <w:pPr>
        <w:spacing w:after="0" w:line="13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Merchant network revenue </w:t>
      </w:r>
      <w:r>
        <w:rPr>
          <w:rFonts w:ascii="Arial" w:cs="Arial" w:eastAsia="Arial" w:hAnsi="Arial"/>
          <w:sz w:val="17"/>
          <w:szCs w:val="17"/>
          <w:color w:val="auto"/>
        </w:rPr>
        <w:t>for the three and six months ended December 31, 2021 increased by $27.5 million or 28% and $26.4 million or 14%,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and six months ended December 31, 2020, respectively. Merchant network revenue as a percentage of GMV for the three months ended December 31, 2021 decreased to 2.9% compared to 4.8% for the three months ended December 31, 2020, and decreased to 3.1% for the six months ended December 31, 2020 to 5.4% compared to the six months ended December 31, 2021.</w:t>
      </w:r>
    </w:p>
    <w:p>
      <w:pPr>
        <w:spacing w:after="0" w:line="144"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AOV of our loans, and typically decreases with shorter duration and higher APR loans. Specifically, long-term 0% APR loans typically carry higher merchant fees as a percentage of GMV and have higher AOVs.</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6"/>
          <w:szCs w:val="16"/>
          <w:color w:val="auto"/>
        </w:rPr>
        <w:t>The increase in merchant network revenue during the three and six month period was primarily driven by an increase in GMV, partially offset by reductions in the concentration of long-term 0% APR loans, our highest merchant fee category. For the three and six months ended December 31, 2021, approximately 11% and 10%, respectively, of total revenue was driven by our largest merchant partner by merchant network revenue, Peloton, for which we facilitate long-term 0% APR loans with a higher merchant fee, compared with 24% and 27% of total revenue in the comparative periods. More broadly, for both the three and six months ended December 31, 2021, loans with term lengths greater than 12 months accounted for 21% of GMV, compared to 31% and 34% for the three and six months ended December 31, 2020, respectively, primarily due to the increased adoption of our Split Pay product. AOV was lower at $365 and $379 for the three and six months ended December 31, 2021, respectively, compared to $541 and $585 for the three and six months ended December 31, 2020, respectively, primarily due to the increased adoption of our Split Pay product.</w:t>
      </w:r>
    </w:p>
    <w:p>
      <w:pPr>
        <w:spacing w:after="0" w:line="13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Additionally, we recorded reductions to merchant network revenue of $28.7 million and $42.2 million for the three and six months ended December 31, 2021, respectively, associated with the creation of discounts upon origination of loans with par values in excess of the fair value of such loans, which was not material during the three and six months ended December 31, 2020. These reductions to merchant network revenue are primarily due to our Split Pay product and our 0% APR lending programs outside of the United States.</w:t>
      </w:r>
    </w:p>
    <w:p>
      <w:pPr>
        <w:spacing w:after="0" w:line="16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for the three and six months ended December 31, 2021 increased by $15.7 million or 145% and $29.2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174%, compared to the three and six months ended December 31, 2020, respectively. This increase was driven by an increase in GMV processed through our issuer processor of 133% and 160% for the three and six months December 31, 2021, respectively, due to increased activity on our virtual card-enabled mobile application as well as growth in existing and new merchants integrated using our virtual card platform.</w:t>
      </w:r>
    </w:p>
    <w:p>
      <w:pPr>
        <w:spacing w:after="0" w:line="13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for the three and six months ended December 31, 2021 increased by $64.5 million or 87% and $127.6 million or 100%,</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three and six months ended December 31, 2020. Generally, interest income is correlated with the changes in the average balance of loans held for investment, as we recognize interest on loans held for investment using the effective interest method over the life of the loan. The average balance of loans held for investment increased by 41% to $2,335.2 million, and by 54% to $2,223.9 million for the three and six months ended December 31, 2021, respectively, compared to the same period in the prior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an annualized percentage of average loans held for investment, total interest income increased from approximately 18% during the three months ended December 31, 2020 to 24% during the three months ended December 31, 2021. This change was driven by a decrease in the average proportion of 0% APR loans being held on our interim condensed consolidated balance sheet as a percentage of the total loans held for investment, which decreased from 49% and 45% during the three and six months ended December 31, 2020 to 41% and 41% during the three and six months ended December 31, 2021. The shift was largely due to increased concentration of loans with large enterprise merchant partners; those loans tend to be interest-bearing.</w:t>
      </w:r>
    </w:p>
    <w:p>
      <w:pPr>
        <w:spacing w:after="0" w:line="15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While we do recognize interest income on 0% APR loans via the amortization of the loan discount, short term 0% APR loans (Split Pay) carry higher annualized discounts as percentages of annualized loan balances than longer term loans, and thus amortize more discount into interest income as percentages of unpaid principal balance than longer term loans. Therefore, the change in the mix of 0% APR loans held for investment is also contributing to the increase in interest income as an annualized percentage of average loans held for investment. The total amortization of discounts on loans held for investment increased by $32.5 million or 145% and $56.2 million or 151% for the three and six months ended December 31, 2021, respectively, compared with the three and six months ended December 31, 2020, and represented 40% and 37% of total interest income for the three and six months ended December 31, 2021, compared to 30% and 29% for the three and six months ended December 31, 2020, respectively. This increase included the amortization of discounts arising from self-originated loans held for investment of $38.0 million and $46.6 million during the three and six months ended December 31, 2021, respectively, which was $1.9 million for both the three and six months ended December 31, 2020.</w:t>
      </w:r>
    </w:p>
    <w:p>
      <w:pPr>
        <w:spacing w:after="0" w:line="13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Gain on sales of loans </w:t>
      </w:r>
      <w:r>
        <w:rPr>
          <w:rFonts w:ascii="Arial" w:cs="Arial" w:eastAsia="Arial" w:hAnsi="Arial"/>
          <w:sz w:val="18"/>
          <w:szCs w:val="18"/>
          <w:color w:val="auto"/>
        </w:rPr>
        <w:t>for the three and six months ended December 31, 2021 increased by $43.1 million or 296%, and $57.7 million or 186%,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December 31, 2020. We sold loans with an unpaid balance of $834.9 million and $1,256.5 million for the three and six months ended December 31, 2020, respectively, and $2,511.9 million and $3,605.0 million for the three and six months ended and December 31, 2021, for which we retained servicing rights. This increase was primarily due to higher loan sale volume, favorable loan sale pricing terms, and optimizing the allocation of loans to loan buyers with higher pricing terms.</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Servicing income </w:t>
      </w:r>
      <w:r>
        <w:rPr>
          <w:rFonts w:ascii="Arial" w:cs="Arial" w:eastAsia="Arial" w:hAnsi="Arial"/>
          <w:sz w:val="17"/>
          <w:szCs w:val="17"/>
          <w:color w:val="auto"/>
        </w:rPr>
        <w:t>for the three and six months ended December 31, 2021 increased by $6.1 million or 119% and $11.5 million or 125%,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and six months ended December 31, 2020, respectively. This increase was primarily due to an increase in the average unpaid principal balance of loans owned by third-party loan owners and increases in negotiated servicing rates with new and existing third-party loan owners. Offsetting the increase in service income, during the three months ended December 31, 2020 we recognized a reduction of servicing income of $0.2 million related to the changes in fair value of servicing assets and liabilities compared with a reduction to servicing income of $1.6 million during the three months ended December 31, 2021. Similarly, during the six months ended December 31, 2020, we recognized a reduction of $1.0 million compared with a reduction of $2.7 million during the six months ended December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36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Three Months Ended December</w:t>
            </w:r>
          </w:p>
        </w:tc>
        <w:tc>
          <w:tcPr>
            <w:tcW w:w="120" w:type="dxa"/>
            <w:vAlign w:val="bottom"/>
          </w:tcPr>
          <w:p>
            <w:pPr>
              <w:spacing w:after="0"/>
              <w:rPr>
                <w:sz w:val="16"/>
                <w:szCs w:val="16"/>
                <w:color w:val="auto"/>
              </w:rPr>
            </w:pPr>
          </w:p>
        </w:tc>
        <w:tc>
          <w:tcPr>
            <w:tcW w:w="216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w w:val="91"/>
              </w:rPr>
              <w:t>Six Months Ended December</w:t>
            </w:r>
          </w:p>
        </w:tc>
      </w:tr>
      <w:tr>
        <w:trPr>
          <w:trHeight w:val="213"/>
        </w:trPr>
        <w:tc>
          <w:tcPr>
            <w:tcW w:w="6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w w:val="89"/>
              </w:rPr>
              <w:t>31,</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6"/>
                <w:szCs w:val="16"/>
                <w:b w:val="1"/>
                <w:bCs w:val="1"/>
                <w:color w:val="auto"/>
                <w:w w:val="89"/>
              </w:rPr>
              <w:t>31,</w:t>
            </w:r>
          </w:p>
        </w:tc>
        <w:tc>
          <w:tcPr>
            <w:tcW w:w="840" w:type="dxa"/>
            <w:vAlign w:val="bottom"/>
            <w:tcBorders>
              <w:bottom w:val="single" w:sz="8" w:color="auto"/>
            </w:tcBorders>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r>
      <w:tr>
        <w:trPr>
          <w:trHeight w:val="184"/>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3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loan purchase commitment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65,265</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116,943</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133,636</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116,287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41,452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67,050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30,300</w:t>
            </w:r>
          </w:p>
        </w:tc>
      </w:tr>
      <w:tr>
        <w:trPr>
          <w:trHeight w:val="223"/>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transaction costs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177,454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109,151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227,800</w:t>
            </w:r>
          </w:p>
        </w:tc>
      </w:tr>
      <w:tr>
        <w:trPr>
          <w:trHeight w:val="223"/>
        </w:trPr>
        <w:tc>
          <w:tcPr>
            <w:tcW w:w="6280" w:type="dxa"/>
            <w:vAlign w:val="bottom"/>
          </w:tcPr>
          <w:p>
            <w:pPr>
              <w:ind w:left="40"/>
              <w:spacing w:after="0"/>
              <w:rPr>
                <w:sz w:val="20"/>
                <w:szCs w:val="20"/>
                <w:color w:val="auto"/>
              </w:rPr>
            </w:pPr>
            <w:r>
              <w:rPr>
                <w:rFonts w:ascii="Arial" w:cs="Arial" w:eastAsia="Arial" w:hAnsi="Arial"/>
                <w:sz w:val="18"/>
                <w:szCs w:val="18"/>
                <w:color w:val="auto"/>
              </w:rPr>
              <w:t>Technology and data analytics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94,989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173,002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75,402</w:t>
            </w:r>
          </w:p>
        </w:tc>
      </w:tr>
      <w:tr>
        <w:trPr>
          <w:trHeight w:val="230"/>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61,694</w:t>
            </w:r>
          </w:p>
        </w:tc>
      </w:tr>
      <w:tr>
        <w:trPr>
          <w:trHeight w:val="229"/>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141,292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277,496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73,189</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557,211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992,667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438,085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397764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7764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c>
          <w:tcPr>
            <w:tcW w:w="112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6"/>
              </w:rPr>
              <w:t>Six Months Ended December 31,</w:t>
            </w:r>
          </w:p>
        </w:tc>
        <w:tc>
          <w:tcPr>
            <w:tcW w:w="260" w:type="dxa"/>
            <w:vAlign w:val="bottom"/>
          </w:tcPr>
          <w:p>
            <w:pPr>
              <w:spacing w:after="0"/>
              <w:rPr>
                <w:sz w:val="16"/>
                <w:szCs w:val="16"/>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11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rPr>
              <w:t>(in thousands, except percentage)</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Loss on loan purchase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color w:val="auto"/>
              </w:rPr>
              <w:t>65,265</w:t>
            </w:r>
          </w:p>
        </w:tc>
        <w:tc>
          <w:tcPr>
            <w:tcW w:w="3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67,768</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(2,503)</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color w:val="auto"/>
              </w:rPr>
              <w:t>$   116,943</w:t>
            </w:r>
          </w:p>
        </w:tc>
        <w:tc>
          <w:tcPr>
            <w:tcW w:w="116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  133,636</w:t>
            </w:r>
          </w:p>
        </w:tc>
        <w:tc>
          <w:tcPr>
            <w:tcW w:w="8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36"/>
              <w:spacing w:after="0"/>
              <w:rPr>
                <w:sz w:val="20"/>
                <w:szCs w:val="20"/>
                <w:color w:val="auto"/>
              </w:rPr>
            </w:pPr>
            <w:r>
              <w:rPr>
                <w:rFonts w:ascii="Arial" w:cs="Arial" w:eastAsia="Arial" w:hAnsi="Arial"/>
                <w:sz w:val="18"/>
                <w:szCs w:val="18"/>
                <w:color w:val="auto"/>
              </w:rPr>
              <w:t>(16,693)</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w:t>
            </w: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3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2941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9413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-651510</wp:posOffset>
            </wp:positionV>
            <wp:extent cx="59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-651510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-651510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-651510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7"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Loss on loan purchase commitment for the three and six months ended December 31, 2021 decreased by $2.5 million or 4% and $16.7 million or 12%, compared to the three and six months ended December 31, 2020, respectively. This decrease was due to a decrease in the volume and concentration of long-term 0% APR loans purchased from our originating bank partners compared to the prior period, which are purchased above fair market value.</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three and six months ended December 31, 2021, we purchased $917.8 million and $1,642.2 million, respectively, of 0% APR loan receivables from our originating bank partners, representing a decrease of $9.4 million or 1% and $22.6 million or 1% compared to the three and six months ended December 31, 2020,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c>
          <w:tcPr>
            <w:tcW w:w="114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6"/>
              </w:rPr>
              <w:t>Six Months Ended December 31,</w:t>
            </w:r>
          </w:p>
        </w:tc>
        <w:tc>
          <w:tcPr>
            <w:tcW w:w="280" w:type="dxa"/>
            <w:vAlign w:val="bottom"/>
          </w:tcPr>
          <w:p>
            <w:pPr>
              <w:spacing w:after="0"/>
              <w:rPr>
                <w:sz w:val="16"/>
                <w:szCs w:val="16"/>
                <w:color w:val="auto"/>
              </w:rPr>
            </w:pPr>
          </w:p>
        </w:tc>
        <w:tc>
          <w:tcPr>
            <w:tcW w:w="1140" w:type="dxa"/>
            <w:vAlign w:val="bottom"/>
            <w:gridSpan w:val="3"/>
            <w:vMerge w:val="restart"/>
          </w:tcPr>
          <w:p>
            <w:pPr>
              <w:ind w:left="50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w w:val="92"/>
              </w:rPr>
              <w:t>December 31,</w:t>
            </w: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percentage)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  $</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52,640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12,521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40,119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   116,287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41,452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74,835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revenue, net</w:t>
            </w:r>
          </w:p>
        </w:tc>
        <w:tc>
          <w:tcPr>
            <w:tcW w:w="9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Allowance as a percentage</w:t>
            </w: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of loans held for</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3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92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12858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-908050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-908050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percentage of loans held for investment up to 14.6% at its peak as of March 31, 2020. In the months subsequent to this, we saw stronger than expected repayment history and increased credit quality in the portfolio, and this percentage decreased slightly from 6.6% as of December 31, 2020 to 6.5% as of December 31, 2021.</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during the prior fiscal year, following the loss of our emerging growth company status, we adopted ASU 2016-13, “Financial Instruments — Credit Losses (Topic 326)” using the modified retrospective approach. The amendments replaced the incurred loss impairment methodology for computing our allowance for credit losses with the current expected credit loss model ("CECL"), effective July 1, 2020. As part of this modified retrospective approach to adoption, we recorded an adjustment further reducing the provision for credit losses by $11.3 million and $16.3 million for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During the six months ended December 31, 2021, the allowance for credit losses as a percentage of loans held for investment increased from 5.8% as of June 30, 2021 to 6.5%. This increase was driven in part by a deconcentration of long-term, lower-credit-risk 0% APR loans and rapid growth of new platforms and partnerships with higher expected losses. Prior year provision for credit losses was unusually low due to release of stressed expected loss scenarios and the adoption of CECL. Those prior year impacts combined with normalization of credit levels in the current period resulted in an increase in provision for credit losses of $40.1 million or 320%, and $74.8 million or 181%, compared to the three and six months ended December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Pr>
          <w:p>
            <w:pPr>
              <w:spacing w:after="0"/>
              <w:rPr>
                <w:sz w:val="16"/>
                <w:szCs w:val="16"/>
                <w:color w:val="auto"/>
              </w:rPr>
            </w:pPr>
          </w:p>
        </w:tc>
        <w:tc>
          <w:tcPr>
            <w:tcW w:w="11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95"/>
              </w:rPr>
              <w:t>Six Months Ended December 31,</w:t>
            </w:r>
          </w:p>
        </w:tc>
        <w:tc>
          <w:tcPr>
            <w:tcW w:w="300" w:type="dxa"/>
            <w:vAlign w:val="bottom"/>
          </w:tcPr>
          <w:p>
            <w:pPr>
              <w:spacing w:after="0"/>
              <w:rPr>
                <w:sz w:val="16"/>
                <w:szCs w:val="16"/>
                <w:color w:val="auto"/>
              </w:rPr>
            </w:pPr>
          </w:p>
        </w:tc>
        <w:tc>
          <w:tcPr>
            <w:tcW w:w="116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December 31,</w:t>
            </w:r>
          </w:p>
        </w:tc>
        <w:tc>
          <w:tcPr>
            <w:tcW w:w="2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6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17,700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12,060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5,640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34,453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22,412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29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9413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-539750</wp:posOffset>
            </wp:positionV>
            <wp:extent cx="59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-539750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-539750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-539750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Funding costs for the three and six months ended December 31, 2021 increased by $5.6 million or 47%, and $12.0 million or 54%, compared to the three and six months ended December 31, 2020, respectively. Funding costs for a given period are correlated with the sum of the average balance of funding debt and the average balance of notes issued by securitization trusts. This increase was primarily due to the increase of notes issued by securitization trusts during the current fiscal year, which bear interest at fixed rates. The average balance of notes issued by securitization trusts during the three and six months ended December 31, 2021 was $1,599.5 million and $1,458.5 million, respectively, compared with $658.7 million and $439.1 million, respectively, during the three and six months ended December 31, 2020. The average balance of funding debt for the three and six months ended December 31, 2021 was $565.4 million and $603.8 million, respectively, compared with $751.9 million and $773.9 million, respectively, during the three and six months ended December 31, 2020. Combined, average total debt for the three and six months ended December 31, 2021 increased by $754.3 million or 53% and $849.3 million or 70%, respectively, compared to the three and six months ended December 31, 2020 while the average reference interest rate decreased by 38% and 39% during each period, respectively.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6"/>
                <w:szCs w:val="16"/>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w w:val="96"/>
              </w:rPr>
              <w:t>Six Months Ended December 31,</w:t>
            </w:r>
          </w:p>
        </w:tc>
        <w:tc>
          <w:tcPr>
            <w:tcW w:w="280" w:type="dxa"/>
            <w:vAlign w:val="bottom"/>
          </w:tcPr>
          <w:p>
            <w:pPr>
              <w:spacing w:after="0"/>
              <w:rPr>
                <w:sz w:val="16"/>
                <w:szCs w:val="16"/>
                <w:color w:val="auto"/>
              </w:rPr>
            </w:pPr>
          </w:p>
        </w:tc>
        <w:tc>
          <w:tcPr>
            <w:tcW w:w="114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2"/>
              </w:rPr>
              <w:t>December 31,</w:t>
            </w:r>
          </w:p>
        </w:tc>
        <w:tc>
          <w:tcPr>
            <w:tcW w:w="2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(in thousands, except percentage)</w:t>
            </w: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Processing and servicing  $</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41,849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16,802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25,047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67,050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30,300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36,750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175"/>
        </w:trPr>
        <w:tc>
          <w:tcPr>
            <w:tcW w:w="2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3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revenue, net</w:t>
            </w:r>
          </w:p>
        </w:tc>
        <w:tc>
          <w:tcPr>
            <w:tcW w:w="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2687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-539750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-539750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-539750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-539750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Processing and servicing expense for the three and six months ended December 31, 2021 increased by $25.0 million or 149% and $36.8 million or 121%, respectively, compared to the three and six months ended December 31, 2020. This increase was primarily due to a $15.3 million or 207% and $23.7 million or 177%, increase in payment processing fees due to increased servicing activity and payments volume for the three and six months ended December 31, 2021, respectively. Additionally, processing fees paid to our customer referral partners increased by $3.1 million or 344% and $1.7 million or 113%, for the three and six months ended December 31, 2021, respectively. Personnel costs increased by $2.2 million or 91% and $4.6 million or 117%, respectively, for the three and six months ended December 31, 2021 driven by growth in headcount, while third-party loan servicing and collections spend increased 80% and 66%, respectively, due to increased loan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w w:val="94"/>
              </w:rPr>
              <w:t>Six Months Ended December 31,</w:t>
            </w:r>
          </w:p>
        </w:tc>
        <w:tc>
          <w:tcPr>
            <w:tcW w:w="340" w:type="dxa"/>
            <w:vAlign w:val="bottom"/>
          </w:tcPr>
          <w:p>
            <w:pPr>
              <w:spacing w:after="0"/>
              <w:rPr>
                <w:sz w:val="16"/>
                <w:szCs w:val="16"/>
                <w:color w:val="auto"/>
              </w:rPr>
            </w:pPr>
          </w:p>
        </w:tc>
        <w:tc>
          <w:tcPr>
            <w:tcW w:w="1140" w:type="dxa"/>
            <w:vAlign w:val="bottom"/>
            <w:vMerge w:val="restart"/>
          </w:tcPr>
          <w:p>
            <w:pPr>
              <w:ind w:left="50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ind w:left="4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00" w:type="dxa"/>
            <w:vAlign w:val="bottom"/>
            <w:gridSpan w:val="5"/>
          </w:tcPr>
          <w:p>
            <w:pPr>
              <w:jc w:val="right"/>
              <w:ind w:right="133"/>
              <w:spacing w:after="0"/>
              <w:rPr>
                <w:sz w:val="20"/>
                <w:szCs w:val="20"/>
                <w:color w:val="auto"/>
              </w:rPr>
            </w:pPr>
            <w:r>
              <w:rPr>
                <w:rFonts w:ascii="Arial" w:cs="Arial" w:eastAsia="Arial" w:hAnsi="Arial"/>
                <w:sz w:val="14"/>
                <w:szCs w:val="14"/>
                <w:b w:val="1"/>
                <w:bCs w:val="1"/>
                <w:color w:val="auto"/>
              </w:rPr>
              <w:t>(in thousands, except percentage)</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Technology and data</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94,989</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41,634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379"/>
              <w:spacing w:after="0"/>
              <w:rPr>
                <w:sz w:val="20"/>
                <w:szCs w:val="20"/>
                <w:color w:val="auto"/>
              </w:rPr>
            </w:pPr>
            <w:r>
              <w:rPr>
                <w:rFonts w:ascii="Arial" w:cs="Arial" w:eastAsia="Arial" w:hAnsi="Arial"/>
                <w:sz w:val="18"/>
                <w:szCs w:val="18"/>
                <w:color w:val="auto"/>
              </w:rPr>
              <w:t>53,355</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173,002</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75,402</w:t>
            </w: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97,600</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260" w:type="dxa"/>
            <w:vAlign w:val="bottom"/>
          </w:tcPr>
          <w:p>
            <w:pPr>
              <w:spacing w:after="0"/>
              <w:rPr>
                <w:sz w:val="15"/>
                <w:szCs w:val="15"/>
                <w:color w:val="auto"/>
              </w:rPr>
            </w:pPr>
          </w:p>
        </w:tc>
        <w:tc>
          <w:tcPr>
            <w:tcW w:w="940" w:type="dxa"/>
            <w:vAlign w:val="bottom"/>
            <w:vMerge w:val="restart"/>
          </w:tcPr>
          <w:p>
            <w:pPr>
              <w:ind w:left="480"/>
              <w:spacing w:after="0"/>
              <w:rPr>
                <w:sz w:val="20"/>
                <w:szCs w:val="20"/>
                <w:color w:val="auto"/>
              </w:rPr>
            </w:pPr>
            <w:r>
              <w:rPr>
                <w:rFonts w:ascii="Arial" w:cs="Arial" w:eastAsia="Arial" w:hAnsi="Arial"/>
                <w:sz w:val="18"/>
                <w:szCs w:val="18"/>
                <w:color w:val="auto"/>
              </w:rPr>
              <w:t>26 %</w:t>
            </w: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27 %</w:t>
            </w: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2769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-651510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-651510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-651510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-651510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Technology and data analytics expense for the three and six months ended December 31, 2021 increased by $53.4 million or 128% and $97.6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or 129%, respectively, compared to the three and six months ended December 31, 2020. This increase was primarily due to a $28.5 million or 114%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$57.9 million or 126%, respectively, increase in engineering, product, and data science personnel costs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compared to the three and six months ended December 31, 2020, net of capitalized costs for internally developed software,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support our growth and technology platform as a whole. The largest component of these personnel costs was stock-based compensation,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accounted for $18.9 million and $36.7 million of the increase compared to the three and six months ended December 31, 2020, respectively, largely due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vesting of RSUs.</w:t>
      </w:r>
    </w:p>
    <w:p>
      <w:pPr>
        <w:spacing w:after="0" w:line="170"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Additionally, there was a $14.3 million or 138% and $22.3 million or 130%, increase in data infrastructure and hosting costs for the three and six months ended December 31, 2021, respectively, compared to the three and six months ended December 31, 2020, due to increased capacity requirements of our technology platform, as well as a $3.4 million or 89% and a $5.5 million or 79%, increase in underwriting data provider costs for the three and six months ended December 31, 2021, compared to the three and six months ended December 31, 2020, respectively, due to the increased capacity requirements, partially offset by cost improvements achieved as a result of contract renegotiations.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24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6"/>
                <w:szCs w:val="16"/>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w w:val="95"/>
              </w:rPr>
              <w:t>Six Months Ended December 31,</w:t>
            </w:r>
          </w:p>
        </w:tc>
        <w:tc>
          <w:tcPr>
            <w:tcW w:w="260" w:type="dxa"/>
            <w:vAlign w:val="bottom"/>
          </w:tcPr>
          <w:p>
            <w:pPr>
              <w:spacing w:after="0"/>
              <w:rPr>
                <w:sz w:val="16"/>
                <w:szCs w:val="16"/>
                <w:color w:val="auto"/>
              </w:rPr>
            </w:pPr>
          </w:p>
        </w:tc>
        <w:tc>
          <w:tcPr>
            <w:tcW w:w="120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80" w:type="dxa"/>
            <w:vAlign w:val="bottom"/>
          </w:tcPr>
          <w:p>
            <w:pPr>
              <w:spacing w:after="0"/>
              <w:rPr>
                <w:sz w:val="18"/>
                <w:szCs w:val="18"/>
                <w:color w:val="auto"/>
              </w:rPr>
            </w:pPr>
          </w:p>
        </w:tc>
        <w:tc>
          <w:tcPr>
            <w:tcW w:w="24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percentage)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   143,476</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39,112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104,364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   207,436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   61,694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40 %</w:t>
            </w: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revenue, net</w:t>
            </w:r>
          </w:p>
        </w:tc>
        <w:tc>
          <w:tcPr>
            <w:tcW w:w="12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2515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-539750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-539750</wp:posOffset>
            </wp:positionV>
            <wp:extent cx="603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Sales and marketing expense for the three and six months ended December 31, 2021 increased by $104.4 million or 267% and $145.7 million or 236%, compared to the three and six months ended December 31, 2020, respectively. This increase was primarily due to $70.6 million of expense related to warrants granted to Amazon during the three and six months ended December 31, 2021. Additionally, stock-based compensation related to employees in the sales and marketing functions increased $4.1 million or 697% and $8.3 million or 620%, compared to the three and six months ended December 31, 2020, respectively, largely due to the vesting of RSUs. Loss on loan originations increased $8.6 million or 865% and $14.7 million or 1,375%, compared to the three and six months ended December 31, 2020, respectively, primarily due to an increase in self-originated loans.</w:t>
      </w:r>
    </w:p>
    <w:p>
      <w:pPr>
        <w:spacing w:after="0" w:line="110" w:lineRule="exact"/>
        <w:rPr>
          <w:sz w:val="20"/>
          <w:szCs w:val="20"/>
          <w:color w:val="auto"/>
        </w:rPr>
      </w:pPr>
    </w:p>
    <w:p>
      <w:pPr>
        <w:ind w:firstLine="648"/>
        <w:spacing w:after="0" w:line="246" w:lineRule="auto"/>
        <w:rPr>
          <w:sz w:val="20"/>
          <w:szCs w:val="20"/>
          <w:color w:val="auto"/>
        </w:rPr>
      </w:pPr>
      <w:r>
        <w:rPr>
          <w:rFonts w:ascii="Arial" w:cs="Arial" w:eastAsia="Arial" w:hAnsi="Arial"/>
          <w:sz w:val="17"/>
          <w:szCs w:val="17"/>
          <w:color w:val="auto"/>
        </w:rPr>
        <w:t>Furthermore, there was a $9.5 million or 78% and $20.3 million or 155%, increase in brand and consumer marketing spend during the three and six months ended December 31, 2021, respectively, compared to the three and six months ended December 31, 2020, associated with our expanded brand-activation, holiday shopping, lifestyle, and travel marketing campaigns, as well as a $2.2 million or 120% and $7.9 million or 357% increase in business-to-business marketing spend compared to the three and six months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1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6"/>
              </w:rPr>
              <w:t>Six Months Ended December 31,</w:t>
            </w:r>
          </w:p>
        </w:tc>
        <w:tc>
          <w:tcPr>
            <w:tcW w:w="240" w:type="dxa"/>
            <w:vAlign w:val="bottom"/>
          </w:tcPr>
          <w:p>
            <w:pPr>
              <w:spacing w:after="0"/>
              <w:rPr>
                <w:sz w:val="16"/>
                <w:szCs w:val="16"/>
                <w:color w:val="auto"/>
              </w:rPr>
            </w:pPr>
          </w:p>
        </w:tc>
        <w:tc>
          <w:tcPr>
            <w:tcW w:w="120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General and administrative $</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141,292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40,916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100,376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   277,496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73,189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204,307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176"/>
        </w:trPr>
        <w:tc>
          <w:tcPr>
            <w:tcW w:w="2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39 %</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44 %</w:t>
            </w: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revenue, net</w:t>
            </w:r>
          </w:p>
        </w:tc>
        <w:tc>
          <w:tcPr>
            <w:tcW w:w="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2769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-539750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-539750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-539750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-539750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General and administrative expense for the three and six months ended December 31, 2021 increased by $100.4 million or 245% and $204.3 million or 279%, compared to the three and six months ended December 31, 2020, respectively. This increase was primarily due to an increase of $78.4 million or 342% and $160.2 million or 371%, in personnel costs during the three and six months ended December 31, 2021, respectively, compared to the three and six months ended December 31, 2020, as a result of increased headcount as we continue to grow our finance, legal, operations, and administrative organizations. The largest component of these personnel costs was stock-based compensation, which increased by $58.9 million and $123.4 million compared to the three and six months ended December 31, 2020, respectively. This was primarily due to $42.3 million and $84.5 million of expense recognized during the three and six months ended December 31, 2021, respectively, based on a long-term, multi-year performance-based stock option award granted to our Chief Executive Officer prior to our IPO, as well as the vesting of RSUs for which the service-based condition had been met prior to the IPO and the performance-based condition that was met on the IPO date.</w:t>
      </w:r>
    </w:p>
    <w:p>
      <w:pPr>
        <w:spacing w:after="0" w:line="14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Additionally, professional fees increased by $0.6 million or 7% and $4.0 million or 31%, during the three and six months ended December 31, 2021, respectively, compared to the three and six months ended December 31, 2020, to support our acquisitions, international expansion, and regulatory compliance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w w:val="97"/>
              </w:rPr>
              <w:t>Six Months Ended December 31,</w:t>
            </w:r>
          </w:p>
        </w:tc>
        <w:tc>
          <w:tcPr>
            <w:tcW w:w="240" w:type="dxa"/>
            <w:vAlign w:val="bottom"/>
          </w:tcPr>
          <w:p>
            <w:pPr>
              <w:spacing w:after="0"/>
              <w:rPr>
                <w:sz w:val="16"/>
                <w:szCs w:val="16"/>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3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w w:val="89"/>
              </w:rPr>
              <w:t>Other (expense) income,</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75"/>
              <w:spacing w:after="0"/>
              <w:rPr>
                <w:sz w:val="20"/>
                <w:szCs w:val="20"/>
                <w:color w:val="auto"/>
              </w:rPr>
            </w:pPr>
            <w:r>
              <w:rPr>
                <w:rFonts w:ascii="Arial" w:cs="Arial" w:eastAsia="Arial" w:hAnsi="Arial"/>
                <w:sz w:val="18"/>
                <w:szCs w:val="18"/>
                <w:color w:val="auto"/>
              </w:rPr>
              <w:t>36,741</w:t>
            </w: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439"/>
              <w:spacing w:after="0"/>
              <w:rPr>
                <w:sz w:val="20"/>
                <w:szCs w:val="20"/>
                <w:color w:val="auto"/>
              </w:rPr>
            </w:pPr>
            <w:r>
              <w:rPr>
                <w:rFonts w:ascii="Arial" w:cs="Arial" w:eastAsia="Arial" w:hAnsi="Arial"/>
                <w:sz w:val="18"/>
                <w:szCs w:val="18"/>
                <w:color w:val="auto"/>
              </w:rPr>
              <w:t>36,501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15,209 %</w:t>
            </w:r>
          </w:p>
        </w:tc>
        <w:tc>
          <w:tcPr>
            <w:tcW w:w="1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   (103,632)</w:t>
            </w: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29,685</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36"/>
              <w:spacing w:after="0"/>
              <w:rPr>
                <w:sz w:val="20"/>
                <w:szCs w:val="20"/>
                <w:color w:val="auto"/>
              </w:rPr>
            </w:pPr>
            <w:r>
              <w:rPr>
                <w:rFonts w:ascii="Arial" w:cs="Arial" w:eastAsia="Arial" w:hAnsi="Arial"/>
                <w:sz w:val="18"/>
                <w:szCs w:val="18"/>
                <w:color w:val="auto"/>
              </w:rPr>
              <w:t>(133,317)</w:t>
            </w:r>
          </w:p>
        </w:tc>
        <w:tc>
          <w:tcPr>
            <w:tcW w:w="70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2"/>
              </w:rPr>
              <w:t>(449)%</w:t>
            </w: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Percentage of total</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15"/>
                <w:szCs w:val="15"/>
                <w:color w:val="auto"/>
              </w:rPr>
            </w:pPr>
          </w:p>
        </w:tc>
        <w:tc>
          <w:tcPr>
            <w:tcW w:w="960" w:type="dxa"/>
            <w:vAlign w:val="bottom"/>
            <w:gridSpan w:val="2"/>
            <w:vMerge w:val="restart"/>
          </w:tcPr>
          <w:p>
            <w:pPr>
              <w:ind w:left="4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revenue, net</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11487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-651510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-651510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-651510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-651510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67" w:lineRule="exact"/>
        <w:rPr>
          <w:sz w:val="20"/>
          <w:szCs w:val="20"/>
          <w:color w:val="auto"/>
        </w:rPr>
      </w:pPr>
    </w:p>
    <w:p>
      <w:pPr>
        <w:ind w:right="260" w:firstLine="364"/>
        <w:spacing w:after="0" w:line="259" w:lineRule="auto"/>
        <w:rPr>
          <w:sz w:val="20"/>
          <w:szCs w:val="20"/>
          <w:color w:val="auto"/>
        </w:rPr>
      </w:pPr>
      <w:r>
        <w:rPr>
          <w:rFonts w:ascii="Arial" w:cs="Arial" w:eastAsia="Arial" w:hAnsi="Arial"/>
          <w:sz w:val="18"/>
          <w:szCs w:val="18"/>
          <w:color w:val="auto"/>
        </w:rPr>
        <w:t>For the three and six months ended December 31, 2021, other (expense) income, net, was largely comprised of a gain of $34.0 million and a loss of $107.6 million, respectively, recognized based on the change in fair value of the contingent consideration liability associated with our acquisition of PayBright, driven by increases in the value of our common stock. In addition, we recognized $1.2 million of expense due to the acceleration of issuance costs related to the termination of our revolving credit facility.</w:t>
      </w:r>
    </w:p>
    <w:p>
      <w:pPr>
        <w:spacing w:after="0" w:line="146" w:lineRule="exact"/>
        <w:rPr>
          <w:sz w:val="20"/>
          <w:szCs w:val="20"/>
          <w:color w:val="auto"/>
        </w:rPr>
      </w:pPr>
    </w:p>
    <w:p>
      <w:pPr>
        <w:ind w:right="120" w:firstLine="364"/>
        <w:spacing w:after="0" w:line="259" w:lineRule="auto"/>
        <w:rPr>
          <w:sz w:val="20"/>
          <w:szCs w:val="20"/>
          <w:color w:val="auto"/>
        </w:rPr>
      </w:pPr>
      <w:r>
        <w:rPr>
          <w:rFonts w:ascii="Arial" w:cs="Arial" w:eastAsia="Arial" w:hAnsi="Arial"/>
          <w:sz w:val="18"/>
          <w:szCs w:val="18"/>
          <w:color w:val="auto"/>
        </w:rPr>
        <w:t>For both the three and six months ended December 31, 2020, other (expense) income, net was primarily comprised of a gain of $30.1 million recognized upon the conversion of convertible notes into shares of Series G-1 preferred stock. The conversion of convertible notes was accounted for as a debt extinguishment since the number of shares of Series G-1 preferred stock issued upon conversion was variable and this gain represented the difference between the carrying value of the debt at the time of extinguishment and the allocated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incurred losses since our inception, accumulating a deficit of $1.4 billion and $0.9 billion as of December 31, 2021 and June 30, 2021, respectively. We have historically financed the majority of our operating and capital needs through the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 On November 23, 2021, we issued the 2026 Notes, generating cash proceeds of $1.7 billion.</w:t>
      </w:r>
    </w:p>
    <w:p>
      <w:pPr>
        <w:spacing w:after="0" w:line="16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of December 31, 2021, our principal sources of liquidity were available for sale securities and cash and cash equivalents, available capacity from revolving debt facilities, revolving securitizations, forward flow loan sale arrangements, and certain cash flows from our operations. We believe that our existing cash balances, available capacity under our revolving debt facilities, revolving securitizations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December 31, 2021, we had approximately $2.6 billion of cash to fund our future operations compared to approximately $1.5 billion as of June 30, 2021. This increase is primarily due to the proceeds of the 2026 Notes issuance on November 23, 2021. Our cash and cash equivalents were held primarily for continued investment in our business, for working capital purposes, and to facilitate a portion of our lending activities. Our policy is to invest cash in excess of our immediate working capital requirements in short-term investments and deposit accounts to preserve the principal balance and maintain adequate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Restricted cash consists primarily of: (i) deposits restricted by standby letters of credit for office leases; (ii) funds held in accounts as collateral for our originating bank partners; and (iii) servicing funds held in accounts contractually restricted by agreements with warehouse credit facilities and third-party loan owners. We have no ability to draw on such funds as long as they remain restricted under the applicable 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Debt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funding debt facilities as of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Fiscal Year</w:t>
            </w:r>
          </w:p>
        </w:tc>
        <w:tc>
          <w:tcPr>
            <w:tcW w:w="16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Capacity</w:t>
            </w:r>
          </w:p>
        </w:tc>
        <w:tc>
          <w:tcPr>
            <w:tcW w:w="12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6"/>
                <w:szCs w:val="16"/>
                <w:b w:val="1"/>
                <w:bCs w:val="1"/>
                <w:color w:val="auto"/>
                <w:w w:val="91"/>
              </w:rPr>
              <w:t>Principal Outstanding</w:t>
            </w:r>
          </w:p>
        </w:tc>
      </w:tr>
      <w:tr>
        <w:trPr>
          <w:trHeight w:val="184"/>
        </w:trPr>
        <w:tc>
          <w:tcPr>
            <w:tcW w:w="7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580" w:type="dxa"/>
            <w:vAlign w:val="bottom"/>
            <w:tcBorders>
              <w:top w:val="single" w:sz="8" w:color="auto"/>
            </w:tcBorders>
            <w:gridSpan w:val="4"/>
          </w:tcPr>
          <w:p>
            <w:pPr>
              <w:jc w:val="right"/>
              <w:ind w:right="1351"/>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172,320</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381,622</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102,694</w:t>
            </w:r>
          </w:p>
        </w:tc>
      </w:tr>
      <w:tr>
        <w:trPr>
          <w:trHeight w:val="28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2,387,596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468058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80585" cy="1543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These trusts are consolidated variable interest entities (“VIEs”),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December 31, 2021, we were in compliance with all applicable covenants in the agreements. Refer to Note 10. Debt in the notes to the interim consolidated financial statements included elsewhere in this Form 10-Q for additional information.</w:t>
      </w:r>
    </w:p>
    <w:p>
      <w:pPr>
        <w:spacing w:after="0" w:line="13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These revolving facilities mature between 2022 and 2029,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these facilities bear interest at an annual benchmark rate of LIBOR or at an alternative commercial paper rate (which is either</w:t>
      </w:r>
    </w:p>
    <w:p>
      <w:pPr>
        <w:spacing w:after="0" w:line="46" w:lineRule="exact"/>
        <w:rPr>
          <w:sz w:val="20"/>
          <w:szCs w:val="20"/>
          <w:color w:val="auto"/>
        </w:rPr>
      </w:pPr>
    </w:p>
    <w:p>
      <w:pPr>
        <w:jc w:val="both"/>
        <w:ind w:right="40" w:firstLine="8"/>
        <w:spacing w:after="0" w:line="253"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1.65% to 4.00%. Interest is payable monthly. In addition, these agreements require payment of a monthly unused commitment fee ranging from 0% to 0.75% per annum on the undrawn portion available.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Funding Facilities</w:t>
      </w:r>
    </w:p>
    <w:p>
      <w:pPr>
        <w:spacing w:after="0" w:line="18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Prior to our acquisition of PayBright on January 1, 2021, PayBright entered into various credit facilities utilized to finance the origination of loans in Canada. Similar to our warehouse credit facilities, borrowings under these agreements are referred to as funding debt, and proceeds from the borrowings may only be used for the purposes of facilitating loan funding and origination. These facilities are secured by PayBright loan receivables pledged to the respective facility as collateral, mature in 2022, and bear interest based on a benchmark rate plus a spread ranging from 1.25% to 4.45%.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January 19, 2021, we entered into a revolving credit agreement with a syndicate of commercial banks for a $185.0 million unsecured revolving credit facility. This facility bore interest at a rate equal to, at our option, either (a) a Eurodollar rate determined by reference to adjusted LIBOR for the interest period, plus an applicable margin of 0.25%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The revolving credit agreement had a final maturity date of January 19, 2024. The facility contained certain covenants and restrictions, including certain financial maintenance covenants, and required payment of a monthly unused commitment fee of 0.35% per annum on the undrawn balance available. The Company executed its right to terminate the revolving credit agreement effective December 15, 2021. We had not drawn on the facility and there was no outstanding balance to be repaid. Upon termination, we accelerated $1.2 million of issuance costs, which were recorded in other expense. Refer to Note 10. Debt.</w:t>
      </w:r>
    </w:p>
    <w:p>
      <w:pPr>
        <w:spacing w:after="0" w:line="140"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On February 4, 2022, we entered into a revolving credit agreement with a syndicate of commercial banks for a $165.0 million unsecured revolving credit facility, maturing on February 4, 2025. This facility bears interest at a rate equal to, at our option, either (a) a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 1.0% per annum, in each case, plus an applicable margin of 0.85% per annum. The facility contains certain covenants and restrictions, including certain financial maintenance covenants, and requires payment of a monthly unused commitment fee of 0.20% per annum on the undrawn balance available. There are no borrowings outstanding under the facility. Refer to Note 19. Subsequent Events.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 transferred into a trust such that the assets are legally isolated from the creditors of Affirm and are not available to satisfy our obligations. These assets can only be used to settle obligations of the underlying trusts. Each securitization trust issued senior notes and residual certificates to finance the purchase of the loans facilitated by our platform. The 2020-Z1, 2020-Z2, 2021-Z1, and 2021-Z2 securitizations are secured by static pools of loans contributed at closing, whereas the 2020-A, 2021-A and 2021-B securitizations are revolving and we may contribute additional loans from time to time until the end of the revolving period. Refer to Note 11. Securitization and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54" w:lineRule="exact"/>
        <w:rPr>
          <w:sz w:val="20"/>
          <w:szCs w:val="20"/>
          <w:color w:val="auto"/>
        </w:rPr>
      </w:pPr>
    </w:p>
    <w:p>
      <w:pPr>
        <w:jc w:val="center"/>
        <w:ind w:left="7500"/>
        <w:spacing w:after="0"/>
        <w:rPr>
          <w:sz w:val="20"/>
          <w:szCs w:val="20"/>
          <w:color w:val="auto"/>
        </w:rPr>
      </w:pPr>
      <w:r>
        <w:rPr>
          <w:rFonts w:ascii="Arial" w:cs="Arial" w:eastAsia="Arial" w:hAnsi="Arial"/>
          <w:sz w:val="16"/>
          <w:szCs w:val="16"/>
          <w:b w:val="1"/>
          <w:bCs w:val="1"/>
          <w:color w:val="auto"/>
        </w:rPr>
        <w:t>Six Months Ended</w:t>
      </w:r>
    </w:p>
    <w:p>
      <w:pPr>
        <w:jc w:val="center"/>
        <w:ind w:left="750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1315"/>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2020</w:t>
            </w:r>
          </w:p>
        </w:tc>
      </w:tr>
      <w:tr>
        <w:trPr>
          <w:trHeight w:val="184"/>
        </w:trPr>
        <w:tc>
          <w:tcPr>
            <w:tcW w:w="7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Pr>
          <w:p>
            <w:pPr>
              <w:jc w:val="right"/>
              <w:ind w:right="95"/>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(75,104)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(49,959)</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tcPr>
          <w:p>
            <w:pPr>
              <w:jc w:val="right"/>
              <w:ind w:right="615"/>
              <w:spacing w:after="0"/>
              <w:rPr>
                <w:sz w:val="20"/>
                <w:szCs w:val="20"/>
                <w:color w:val="auto"/>
              </w:rPr>
            </w:pPr>
            <w:r>
              <w:rPr>
                <w:rFonts w:ascii="Arial" w:cs="Arial" w:eastAsia="Arial" w:hAnsi="Arial"/>
                <w:sz w:val="18"/>
                <w:szCs w:val="18"/>
                <w:color w:val="auto"/>
              </w:rPr>
              <w:t>(819,573)</w:t>
            </w:r>
          </w:p>
        </w:tc>
        <w:tc>
          <w:tcPr>
            <w:tcW w:w="1240" w:type="dxa"/>
            <w:vAlign w:val="bottom"/>
          </w:tcPr>
          <w:p>
            <w:pPr>
              <w:jc w:val="right"/>
              <w:spacing w:after="0"/>
              <w:rPr>
                <w:sz w:val="20"/>
                <w:szCs w:val="20"/>
                <w:color w:val="auto"/>
              </w:rPr>
            </w:pPr>
            <w:r>
              <w:rPr>
                <w:rFonts w:ascii="Arial" w:cs="Arial" w:eastAsia="Arial" w:hAnsi="Arial"/>
                <w:sz w:val="18"/>
                <w:szCs w:val="18"/>
                <w:color w:val="auto"/>
              </w:rPr>
              <w:t>(906,710)</w:t>
            </w:r>
          </w:p>
        </w:tc>
      </w:tr>
      <w:tr>
        <w:trPr>
          <w:trHeight w:val="243"/>
        </w:trPr>
        <w:tc>
          <w:tcPr>
            <w:tcW w:w="7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Cash Provided by Financing Activities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2,010,213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4141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Amounts include net cash provided by the issuance of redeemable convertible preferred stock and convertible debt as follows:</w:t>
      </w:r>
    </w:p>
    <w:p>
      <w:pPr>
        <w:spacing w:after="0" w:line="117" w:lineRule="exact"/>
        <w:rPr>
          <w:sz w:val="20"/>
          <w:szCs w:val="20"/>
          <w:color w:val="auto"/>
        </w:rPr>
      </w:pPr>
    </w:p>
    <w:p>
      <w:pPr>
        <w:jc w:val="center"/>
        <w:ind w:left="7480"/>
        <w:spacing w:after="0"/>
        <w:rPr>
          <w:sz w:val="20"/>
          <w:szCs w:val="20"/>
          <w:color w:val="auto"/>
        </w:rPr>
      </w:pPr>
      <w:r>
        <w:rPr>
          <w:rFonts w:ascii="Arial" w:cs="Arial" w:eastAsia="Arial" w:hAnsi="Arial"/>
          <w:sz w:val="16"/>
          <w:szCs w:val="16"/>
          <w:b w:val="1"/>
          <w:bCs w:val="1"/>
          <w:color w:val="auto"/>
        </w:rPr>
        <w:t>Six Months Ended</w:t>
      </w:r>
    </w:p>
    <w:p>
      <w:pPr>
        <w:jc w:val="center"/>
        <w:ind w:left="74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0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w w:val="93"/>
              </w:rPr>
              <w:t>Proceeds from issuance of redeemable convertible preferred stock, net of repurchases and issuance</w:t>
            </w:r>
          </w:p>
        </w:tc>
        <w:tc>
          <w:tcPr>
            <w:tcW w:w="42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434,542</w:t>
            </w: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42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stock, net of repurchases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59,565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22,634</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debt, net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1,704,300</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equity-related financing activities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1,763,865</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457,176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debt-related financing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359,128</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808,155</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of tax withholding for stock-based compensation</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(112,780)</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2,010,213</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1,265,331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4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used in operating activities for the six months ended December 31, 2021 was $75.1 million, a decrease of $25.1 million from cash used in operating activities of $50.0 million for the six months ended December 31, 2020. This reflects our net loss of $465.9 million, adjusted for non-cash charges of $362.2 million, net cash outflows of $6.2 million from the purchase and sale of loans held for sale, partially offset by net cash inflows of $35.3 million provided by changes in our operating assets and liabilities.</w:t>
      </w:r>
    </w:p>
    <w:p>
      <w:pPr>
        <w:spacing w:after="0" w:line="16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Non-cash charges primarily consisted of: provision for credit losses, which increased by $74.8 million or 181% due to a change in product mix for on-balance sheet loans and an unusually low provision expense in the prior comparative period driven by the release of stressed expected loss scenarios and the adoption of CECL; gain on sales of loans, which increased by $57.7 million from $31.0 million for the six months ended December 31, 2020 due to improved loan sale economics and increased loan sales since the second quarter of the prior fiscal year; and amortization of premiums and discounts, which increased by $56.2 million or 179% due to increased amortization of discounts related to loans purchased from our originating bank partners at a price above fair market value. Furthermore, we incurred $181.7 million of stock-based compensation, up from $12.7 million due to accelerated vesting of RSUs for which the service-based condition had been met prior to the IPO and the performance-based condition was met on the IPO date, and gains of $34.0 million due to the decrease in the fair value of our contingent consideration liability, driven by changes in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net cash inflows resulting from changes in operating assets and liabilities increased to $35.3 million for the six months ended December 31, 2021, compared to net cash inflows of $8.4 million for the six months ended December 31, 2020. This change was primarily driven by a decrease in other assets due to a reduction of prepaid payroll taxes during the six months ended December 31,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Cash used in investing activities for the six months ended December 31, 2021 was $819.6 million, a decrease of $87.1 million from $906.7 million for the six months ended December 31, 2020. The main driver of this was $3,563.1 million of repayments of loans, representing an increase of</w:t>
      </w:r>
    </w:p>
    <w:p>
      <w:pPr>
        <w:ind w:right="20"/>
        <w:spacing w:after="0" w:line="281" w:lineRule="auto"/>
        <w:rPr>
          <w:sz w:val="20"/>
          <w:szCs w:val="20"/>
          <w:color w:val="auto"/>
        </w:rPr>
      </w:pPr>
      <w:r>
        <w:rPr>
          <w:rFonts w:ascii="Arial" w:cs="Arial" w:eastAsia="Arial" w:hAnsi="Arial"/>
          <w:sz w:val="16"/>
          <w:szCs w:val="16"/>
          <w:color w:val="auto"/>
        </w:rPr>
        <w:t>$1,862.3 million, or 109%, compared to the second quarter of the prior year, due to a higher average balance of loans held for investment and generally increasing credit quality of the portfolio. Additionally, we sold $780.3 million of loans, representing an increase of $575.3 million or 281% compared to the second quarter of the prior year. These cash inflows were partially offset by $4,652.3 million of purchases of loans, representing an increase of</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$1,960.6 million or 73% compared to the second quarter of the prior year, due partly to continued growth in GMV. Additionally, we recorded cash outflows of approximately $511.7 million related to purchases of available for sale securities in the current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provided by financing activities for the six months ended December 31, 2021 was $2,010.2 million, an increase of $744.9 million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$1,265.3 million during the six months ended December 31, 2020. A main driver of this was the issuance of convertible debt during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which resulted in net cash inflows of $1,704.3 million, net of debt issuance costs. Additionally, the issuance of notes by our newly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formed securitization trust during the six months ended December 31, 2021 resulted in net cash inflows of $397.2 million, net of in-period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repayments. This cash inflow represented new financing activities compared to the six months ended December 31, 2020 but was partially offset by $29.9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net cash outflows from funding debt as principal repayments on debt exceeded proceeds from draws on these revolving credit facilities. This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outflow from funding debt was in contrast to a net cash inflow from the conversion of redeemable convertible preferred stock of $434.5 million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six months ended December 31, 2020. The shift between periods is largely due to the availability of new funding sources in our securitization trusts.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recorded payments of approximately $112.8 million for tax withholding associated with stock-based compensation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2021, which did not occur in the prior periods as the vesting of RSUs was triggered by the initial public offering in January 2021.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Risks and Requirements</w:t>
      </w:r>
    </w:p>
    <w:p>
      <w:pPr>
        <w:spacing w:after="0" w:line="25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15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in connection with those efforts.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461" w:lineRule="auto"/>
        <w:rPr>
          <w:sz w:val="20"/>
          <w:szCs w:val="20"/>
          <w:color w:val="auto"/>
        </w:rPr>
      </w:pPr>
      <w:r>
        <w:rPr>
          <w:rFonts w:ascii="Arial" w:cs="Arial" w:eastAsia="Arial" w:hAnsi="Arial"/>
          <w:sz w:val="18"/>
          <w:szCs w:val="18"/>
          <w:color w:val="auto"/>
        </w:rPr>
        <w:t xml:space="preserve">our plans could be materially different than expected or that one or more of our significant judgments or estimates could prove to be materially incorrect. </w:t>
      </w:r>
      <w:r>
        <w:rPr>
          <w:rFonts w:ascii="Arial" w:cs="Arial" w:eastAsia="Arial" w:hAnsi="Arial"/>
          <w:sz w:val="18"/>
          <w:szCs w:val="18"/>
          <w:b w:val="1"/>
          <w:bCs w:val="1"/>
          <w:i w:val="1"/>
          <w:iCs w:val="1"/>
          <w:color w:val="auto"/>
        </w:rPr>
        <w:t>Concentrations of Revenue</w:t>
      </w:r>
    </w:p>
    <w:p>
      <w:pPr>
        <w:spacing w:after="0" w:line="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For the three and six months ended December 31, 2021 approximately 11% and 10% of total revenue, respectively, was driven by one merchant partner, Peloton. For the three and six months ended December 31, 2020 approximately 24% and 27% of total revenue, respectively, was driven by one merchant partner, Peloton.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both revenue growth and merchant diversification as we continue to integrate with a wide range of merchants, changes in merchant loan volume and revenue concentration may cause our financial and operating performance to fluctuate significantly from period to period. Our revenue as a percentage of GMV in any given period varies across products. As such, as we continue to expand our network to include more merchants, revenue as a percentage of GMV will vary.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November 23, 2021, the Company issued $1.7 billion in aggregate principal amount of 0% convertible senior notes due 2026 (the “2026 Notes”). The 2026 Notes represent senior unsecured obligations of the Company. The 2026 Notes do not bear interest except in special circumstances, and the principal amount of the 2026 Notes does not accrete. The 2026 Notes mature on November 15, 2026.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Off-balance sheet loans relate to unconsolidated securitization transactions and loans sold to third-party investors for which we have some form of continuing involvement, including as servicer. For off-balance sheet loan sales where servicing is the only form of continuing involvement, we would only experience a loss if we were required to repurchase such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December 31, 2021, the aggregate outstanding balance of loans held by third-party investors or off-balance sheet VIEs was $3.7 billion. As of December 31, 2021, we had two off-balance sheet VIEs, the 2021-Z1 securitization and 2021-Z2 securitization. In the unlikely event principal payments on the loans backing any off-balance sheet securitization are insufficient to pay senior note holders, including any retained interest, then any amounts the Company contributed to the securitization reserve accounts may be depleted. See Note 11. Securitization and Variable Interest Entities of the accompanying notes to our interim condensed consolidated financial statements for more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U.S. GAAP requires us to make certain estimates and judgments that affect the amounts reported in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1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evaluate our significant estimates on an ongoing basis, including, but not limited to, estimates related to merchant network revenue, loss on loan purchase commitment, allowance for credit losses,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compensation, including warrants granted to nonemployees, and income taxes. We believe these estimates have the greatest potential effect on our consolidated financial statements. Therefore, we consider these to be our critical accounting policies and estimates.</w:t>
      </w:r>
    </w:p>
    <w:p>
      <w:pPr>
        <w:spacing w:after="0" w:line="1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further information, our significant accounting policies are described in Note 2. Summary of Significant Accounting Policies within the notes to the interim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cash and cash equivalents and certain of our restricted cash as of December 31, 2021 were held primarily in checking, money market, and savings accounts. As of December 31, 2021, we had $1,704.6 million of cash equivalents invested in money market funds, certificates of deposit, corporate bonds, and other commercial paper with maturities less than three months. Our cash and cash equivalents are held for working capital purposes. The fair value of our cash and cash equivalents and certain restricted cash would not be significantly affected by a change in interest rates due to their short-term nature.</w:t>
      </w:r>
    </w:p>
    <w:p>
      <w:pPr>
        <w:spacing w:after="0" w:line="147"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securities available for sale at fair value as of December 31, 2021 included $475.4 million of marketable debt securities with maturities greater than three months. A rise in interest rates would have an adverse impact on the fair market value of our fixed rate securities while floating rate securities would produce less income than expected if interest rates were to decrease. Because our investment policy is to invest in conservative, highly-liquid investments and because our business strategy does not rely on generating material returns from our investment portfolio, we do not expect our market risk exposure on marketable debt securities to be material.</w:t>
      </w:r>
    </w:p>
    <w:p>
      <w:pPr>
        <w:spacing w:after="0" w:line="16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Continued volatility in interest rates and potentially inflation, which may persist longer than previously expected, may adversely impact our customers’ spending levels and ability and willingness to pay outstanding amounts owed to us. Higher interest rates may lead to higher payment obligations on our future credit products, or to their lenders under mortgage, credit card, and other loans. Therefore, higher interest rates may lead to increased delinquencies, charge-offs, and allowances for loans and interest receivable, which could have an adverse effect on our operating results.</w:t>
      </w:r>
    </w:p>
    <w:p>
      <w:pPr>
        <w:spacing w:after="0" w:line="13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a rising variable interest rate would reduce our interest margin earned in these funding arrangements. Dramatic increases in interest rates may make these forms of funding nonviable.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Increases in interest rates may result in higher coupons using refinancing. We maintain an interest rate hedging program which eliminates some, but not all, of the interest rate risk. Factoring in this program, as of December 31, 2021, a hypothetical 100 basis point increase in interest rates would have a less than 10 basis point negative impact on our annual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Disclosure controls and procedures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this evaluation, our Chief Executive Officer and our Chief Financial Officer concluded that our disclosure controls and procedures were effective as of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w:t>
      </w:r>
    </w:p>
    <w:p>
      <w:pPr>
        <w:spacing w:after="0" w:line="24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3239"/>
        <w:spacing w:after="0"/>
        <w:rPr>
          <w:sz w:val="20"/>
          <w:szCs w:val="20"/>
          <w:color w:val="auto"/>
        </w:rPr>
      </w:pPr>
      <w:r>
        <w:rPr>
          <w:rFonts w:ascii="Arial" w:cs="Arial" w:eastAsia="Arial" w:hAnsi="Arial"/>
          <w:sz w:val="22"/>
          <w:szCs w:val="22"/>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risks described under the heading “Risk Factors” in our Annual Report on Form 10-K for the fiscal year ended June 30, 2021 could materially and adversely affect our business, financial condition, and results of operations, and the trading price of our Class A common stock could decline. Those risks are not the only risks that we face—our operations could also be affected by factors that are not presently known to us or that we currently consider to be immaterial to our operations. In addition, you should carefully read and consider such risks, together with all of the other information in our Annual Report on Form 10-K for the fiscal year ended June 30, 2021, in this Quarterly Report on Form 10-Q (including the disclosures below,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04"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Except as may be reflected in the updated risk factors included below, there have been no material changes from the risk factors previously disclosed under the heading “Risk Factors” in our Annual Report on Form 10-K for the fiscal year ended June 30,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are unable to attract additional merchant partners, retain our existing merchant partners, and grow and develop our relationships with new and existing merchant partners, our business, results of operations, financial condition, and future prospects would be materially and adversely affected, as could the market price of our Class A common stock.</w:t>
      </w:r>
    </w:p>
    <w:p>
      <w:pPr>
        <w:spacing w:after="0" w:line="14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continued success is dependent on our ability to expand our merchant base and to grow our merchants’ revenue on our platform. We derive a significant portion of our revenue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Furthermore,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We have begun to see these trends reverse as access to COVID-19 vaccinations has increased, but it is difficult to predict the impact that the continuing spread of the various variants and potential additional waves of the pandemic will have on our merchant partners and our business.</w:t>
      </w:r>
    </w:p>
    <w:p>
      <w:pPr>
        <w:spacing w:after="0" w:line="20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continued success also is dependent on our ability to successfully grow and develop relationships with our merchant partners, particularly early-stage relationships with large e-commerce retailers such as Amazon. The pace of development, integration and rollout of these early-stage relationships is often unpredictable and is generally not within our control. Many of our agreements with our merchant partners are non-exclusive and lack any transaction volume commitments. Accordingly, these merchant partners may have, or may enter into in the future, similar agreements with our competitors, which could adversely affect our ability to drive the level of transaction volume and revenue growth that we seek to achieve or to otherwise satisfy the high expectations of our investors and financial analysts relating to those relationships. While some of our agreements with our merchant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including Amazon, do provide for a period of exclusivity, those periods may be limited in duration, and we may not be able to negotiate extensions of those exclusivity periods on reasonable terms, if at all. In addition, our agreements with our merchant partners generally have terms that range from approximately 12 months to 36 months, and our merchants can generally terminate these agreements without cause upon 30 to 90 days’ prior written notice. We may, therefore, be compelled to renegotiate our agreements with merchant partners from time to time, possibly upon terms significantly less favorable to us than the terms included in our existing agreements with those merchant partners.</w:t>
      </w:r>
    </w:p>
    <w:p>
      <w:pPr>
        <w:spacing w:after="0" w:line="21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fail to retain any of our larger merchant partners or a substantial number of our smaller merchant partners, if we do not acquire new merchant partners, if we do not successfully grow and develop our relationships with our larger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 In addition, should investor expectations relating to the growth, development and retention of our merchant partners, particularly those expectations relating to our relationships with Amazon and Shopify Inc., not be achieved, the market price of our Class A common stock could decline.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issuance by us of additional equity securities may dilute your ownership and adversely affect the market price of our Class A common stock.</w:t>
      </w:r>
    </w:p>
    <w:p>
      <w:pPr>
        <w:spacing w:after="0" w:line="27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or securities convertible into shares of our Class A common stock that we issue from time to time, including in connection with a financing, acquisition, investment or under any equity incentive plans or otherwise that we may adopt in the future, will dilute your percentage ownership.</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In addition, as we did when we initially formed our partnership with Shopify and when we entered into the Amended and Restated Installment Financing Services Agreement with Amazon, we may issue additional shares of our Class A common stock or securities convertible into shares of Class A common stock as a means of initiating, developing, strengthening or preserving key merchant relationships.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22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our 2026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time.We may not be able to engage in any of these activities or engage in these activities on desirable terms, which could result in a default on our debt obligations.</w:t>
      </w:r>
    </w:p>
    <w:p>
      <w:pPr>
        <w:spacing w:after="0" w:line="22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settle conversions of the 2026 Notes, to repay the 2026 Notes at maturity or to repurchase the 2026 Notes upon a fundamental change, and our future debt may contain limitations on our ability to pay cash upon conversion or repurchase of the 2026 Notes.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Holders will have the right to require us to repurchase their 2026 Notes upon the occurrence of a fundamental change at a fundamental change repurchase price equal to 100% of the principal amount of the 2026 Notes to be repurchased, plus accrued and unpaid special interest, if any. In addition, upon conversion of the 2026 Notes, we will be required to make cash payments for each $1,000 in principal amount of 2026 Notes converted of at least the lesser of $1,000 and the sum of the daily conversion values as described in the indenture governing the 2026 Notes. However, we may not have enough available cash or be able to obtain financing at the time we are required to make repurchases of notes surrendered therefor or pay cash with respect to the 2026 Notes being converted. In addition, our ability to repurchase the 2026 Notes or to pay cash upon conversions of the 2026 Notes may be limited by law, by regulatory authority or by agreements governing our future indebtedness. Our failure to repurchase 2026 Notes at a time when the repurchase is required or to pay any cash payable on future conversions of the 2026 Notes would constitute a default under the indenture governing the 2026 Notes. A default under the indenture governing the 2026 Notes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2026 Notes or make cash payments upon conversions thereof.</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6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the event the conditional conversion feature of the 2026 Notes is triggered, holders will be entitled to convert their 2026 Notes at any time during specified periods at their option. If one or more holders elect to convert their 2026 Notes, we would be required to settle any converted principal amount of such notes through the payment of cash, which could adversely affect our liquidity. In addition, even if holders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203"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The accounting method for reflecting the 2026 Notes on our balance sheet, accruing interest expense for the 2026 Notes and reflecting the underlying shares of our Class A common stock in our reported diluted earnings per share may adversely affect our reported earnings and financial condition.</w:t>
      </w:r>
    </w:p>
    <w:p>
      <w:pPr>
        <w:spacing w:after="0" w:line="12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including interim periods within those fiscal years. However, early adoption is permitted in certain circumstances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fiscal years beginning after December 15, 2020, including interim periods within those fiscal years. We early adopted ASU 2020-06 effective July 1, 2021 on a modified retrospective basis. The adoption of the new standard did not have any impact on our financial statements as of the adoption date.</w:t>
      </w:r>
    </w:p>
    <w:p>
      <w:pPr>
        <w:spacing w:after="0" w:line="15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ASU 2020-06, the 2026 Notes will be reflected as a liability on our balance sheets, with the initial carrying amount equal to the principal amount of the 2026 Notes, net of issuance costs. The issuance costs will be treated as a debt discount for accounting purposes, which will be amortized into other (expense) income, net over the term of the 2026 Notes. As a result of this amortization, the interest expense that we expect to recognize for the 2026 Notes for accounting purposes will be greater than the cash interest payments we will pay on the 2026 Notes, which will result in lower reported income.</w:t>
      </w:r>
    </w:p>
    <w:p>
      <w:pPr>
        <w:spacing w:after="0" w:line="21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In addition, the shares underlying the 2026 Notes are reflected in our diluted earnings per share using the “if converted” method, in accordance with ASU 2020-06. Under that method, if the conversion value of the 2026 Notes exceeds their principal amount for a reporting period, then we will calculate our diluted earnings per share assuming that all of the 2026 Notes were converted at the beginning of the reporting period and that we issued shares of our Class A common stock to settle the excess. However, if reflecting the notes in diluted earnings per share in this manner is anti-dilutive, or if the conversion value of the notes does not exceed their principal amount for a reporting period, then the shares underlying the 2026 Notes will not be reflected in our diluted earnings per share. The application of the if-converted method may reduce our reported diluted earnings per share. We cannot be sure whether other changes may be made to the current accounting standards related to the 2026 Notes, or otherwise, that could have a material effect on our reported financial results.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162"/>
        </w:trPr>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Exhibit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23"/>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3.1</w:t>
            </w:r>
          </w:p>
        </w:tc>
        <w:tc>
          <w:tcPr>
            <w:tcW w:w="4600" w:type="dxa"/>
            <w:vAlign w:val="bottom"/>
            <w:gridSpan w:val="28"/>
          </w:tcPr>
          <w:p>
            <w:pPr>
              <w:spacing w:after="0"/>
              <w:rPr>
                <w:rFonts w:ascii="Arial" w:cs="Arial" w:eastAsia="Arial" w:hAnsi="Arial"/>
                <w:sz w:val="14"/>
                <w:szCs w:val="14"/>
                <w:color w:val="0000FF"/>
              </w:rPr>
            </w:pPr>
            <w:hyperlink r:id="rId171">
              <w:r>
                <w:rPr>
                  <w:rFonts w:ascii="Arial" w:cs="Arial" w:eastAsia="Arial" w:hAnsi="Arial"/>
                  <w:sz w:val="14"/>
                  <w:szCs w:val="14"/>
                  <w:color w:val="0000FF"/>
                </w:rPr>
                <w:t>Amended and Restated Certificate of Incorporation</w:t>
              </w:r>
            </w:hyperlink>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3.2</w:t>
            </w:r>
          </w:p>
        </w:tc>
        <w:tc>
          <w:tcPr>
            <w:tcW w:w="1800" w:type="dxa"/>
            <w:vAlign w:val="bottom"/>
            <w:tcBorders>
              <w:top w:val="single" w:sz="8" w:color="0000FF"/>
              <w:bottom w:val="single" w:sz="8" w:color="0000FF"/>
            </w:tcBorders>
            <w:gridSpan w:val="5"/>
          </w:tcPr>
          <w:p>
            <w:pPr>
              <w:spacing w:after="0"/>
              <w:rPr>
                <w:rFonts w:ascii="Arial" w:cs="Arial" w:eastAsia="Arial" w:hAnsi="Arial"/>
                <w:sz w:val="14"/>
                <w:szCs w:val="14"/>
                <w:color w:val="0000FF"/>
                <w:w w:val="91"/>
              </w:rPr>
            </w:pPr>
            <w:hyperlink r:id="rId172">
              <w:r>
                <w:rPr>
                  <w:rFonts w:ascii="Arial" w:cs="Arial" w:eastAsia="Arial" w:hAnsi="Arial"/>
                  <w:sz w:val="14"/>
                  <w:szCs w:val="14"/>
                  <w:color w:val="0000FF"/>
                  <w:w w:val="91"/>
                </w:rPr>
                <w:t>Amended and Restated Bylaws</w:t>
              </w:r>
            </w:hyperlink>
          </w:p>
        </w:tc>
        <w:tc>
          <w:tcPr>
            <w:tcW w:w="1140" w:type="dxa"/>
            <w:vAlign w:val="bottom"/>
            <w:tcBorders>
              <w:top w:val="single" w:sz="8" w:color="0000FF"/>
            </w:tcBorders>
            <w:gridSpan w:val="4"/>
          </w:tcPr>
          <w:p>
            <w:pPr>
              <w:spacing w:after="0"/>
              <w:rPr>
                <w:sz w:val="17"/>
                <w:szCs w:val="17"/>
                <w:color w:val="auto"/>
              </w:rPr>
            </w:pPr>
          </w:p>
        </w:tc>
        <w:tc>
          <w:tcPr>
            <w:tcW w:w="1660" w:type="dxa"/>
            <w:vAlign w:val="bottom"/>
            <w:gridSpan w:val="19"/>
          </w:tcPr>
          <w:p>
            <w:pPr>
              <w:spacing w:after="0"/>
              <w:rPr>
                <w:sz w:val="17"/>
                <w:szCs w:val="17"/>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4.1</w:t>
            </w:r>
          </w:p>
        </w:tc>
        <w:tc>
          <w:tcPr>
            <w:tcW w:w="4600" w:type="dxa"/>
            <w:vAlign w:val="bottom"/>
            <w:gridSpan w:val="28"/>
          </w:tcPr>
          <w:p>
            <w:pPr>
              <w:spacing w:after="0"/>
              <w:rPr>
                <w:rFonts w:ascii="Arial" w:cs="Arial" w:eastAsia="Arial" w:hAnsi="Arial"/>
                <w:sz w:val="14"/>
                <w:szCs w:val="14"/>
                <w:color w:val="0000FF"/>
                <w:w w:val="96"/>
              </w:rPr>
            </w:pPr>
            <w:hyperlink r:id="rId173">
              <w:r>
                <w:rPr>
                  <w:rFonts w:ascii="Arial" w:cs="Arial" w:eastAsia="Arial" w:hAnsi="Arial"/>
                  <w:sz w:val="14"/>
                  <w:szCs w:val="14"/>
                  <w:color w:val="0000FF"/>
                  <w:w w:val="96"/>
                </w:rPr>
                <w:t>Warrant to Purchase Class A Common Stock of Affirm Holdings, Inc., by and</w:t>
              </w:r>
            </w:hyperlink>
          </w:p>
        </w:tc>
      </w:tr>
      <w:tr>
        <w:trPr>
          <w:trHeight w:val="142"/>
        </w:trPr>
        <w:tc>
          <w:tcPr>
            <w:tcW w:w="800" w:type="dxa"/>
            <w:vAlign w:val="bottom"/>
          </w:tcPr>
          <w:p>
            <w:pPr>
              <w:spacing w:after="0"/>
              <w:rPr>
                <w:sz w:val="12"/>
                <w:szCs w:val="12"/>
                <w:color w:val="auto"/>
              </w:rPr>
            </w:pPr>
          </w:p>
        </w:tc>
        <w:tc>
          <w:tcPr>
            <w:tcW w:w="4520" w:type="dxa"/>
            <w:vAlign w:val="bottom"/>
            <w:tcBorders>
              <w:top w:val="single" w:sz="8" w:color="0000FF"/>
            </w:tcBorders>
            <w:gridSpan w:val="26"/>
          </w:tcPr>
          <w:p>
            <w:pPr>
              <w:spacing w:after="0" w:line="142" w:lineRule="exact"/>
              <w:rPr>
                <w:rFonts w:ascii="Arial" w:cs="Arial" w:eastAsia="Arial" w:hAnsi="Arial"/>
                <w:sz w:val="14"/>
                <w:szCs w:val="14"/>
                <w:color w:val="0000FF"/>
                <w:w w:val="98"/>
              </w:rPr>
            </w:pPr>
            <w:hyperlink r:id="rId173">
              <w:r>
                <w:rPr>
                  <w:rFonts w:ascii="Arial" w:cs="Arial" w:eastAsia="Arial" w:hAnsi="Arial"/>
                  <w:sz w:val="14"/>
                  <w:szCs w:val="14"/>
                  <w:color w:val="0000FF"/>
                  <w:w w:val="98"/>
                </w:rPr>
                <w:t>between Affirm Holdings, Inc. and Amazon.com Services LLC, dated as of</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22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93"/>
              </w:rPr>
            </w:pPr>
            <w:hyperlink r:id="rId173">
              <w:r>
                <w:rPr>
                  <w:rFonts w:ascii="Arial" w:cs="Arial" w:eastAsia="Arial" w:hAnsi="Arial"/>
                  <w:sz w:val="14"/>
                  <w:szCs w:val="14"/>
                  <w:color w:val="0000FF"/>
                  <w:w w:val="93"/>
                </w:rPr>
                <w:t>November 10, 2021*</w:t>
              </w:r>
            </w:hyperlink>
          </w:p>
        </w:tc>
        <w:tc>
          <w:tcPr>
            <w:tcW w:w="3120" w:type="dxa"/>
            <w:vAlign w:val="bottom"/>
            <w:tcBorders>
              <w:top w:val="single" w:sz="8" w:color="0000FF"/>
            </w:tcBorders>
            <w:gridSpan w:val="19"/>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4.2</w:t>
            </w:r>
          </w:p>
        </w:tc>
        <w:tc>
          <w:tcPr>
            <w:tcW w:w="4600" w:type="dxa"/>
            <w:vAlign w:val="bottom"/>
            <w:gridSpan w:val="28"/>
          </w:tcPr>
          <w:p>
            <w:pPr>
              <w:spacing w:after="0"/>
              <w:rPr>
                <w:rFonts w:ascii="Arial" w:cs="Arial" w:eastAsia="Arial" w:hAnsi="Arial"/>
                <w:sz w:val="14"/>
                <w:szCs w:val="14"/>
                <w:color w:val="0000FF"/>
                <w:w w:val="96"/>
              </w:rPr>
            </w:pPr>
            <w:hyperlink r:id="rId174">
              <w:r>
                <w:rPr>
                  <w:rFonts w:ascii="Arial" w:cs="Arial" w:eastAsia="Arial" w:hAnsi="Arial"/>
                  <w:sz w:val="14"/>
                  <w:szCs w:val="14"/>
                  <w:color w:val="0000FF"/>
                  <w:w w:val="96"/>
                </w:rPr>
                <w:t>Warrant to Purchase Class A Common Stock of Affirm Holdings, Inc., by and</w:t>
              </w:r>
            </w:hyperlink>
          </w:p>
        </w:tc>
      </w:tr>
      <w:tr>
        <w:trPr>
          <w:trHeight w:val="142"/>
        </w:trPr>
        <w:tc>
          <w:tcPr>
            <w:tcW w:w="800" w:type="dxa"/>
            <w:vAlign w:val="bottom"/>
          </w:tcPr>
          <w:p>
            <w:pPr>
              <w:spacing w:after="0"/>
              <w:rPr>
                <w:sz w:val="12"/>
                <w:szCs w:val="12"/>
                <w:color w:val="auto"/>
              </w:rPr>
            </w:pPr>
          </w:p>
        </w:tc>
        <w:tc>
          <w:tcPr>
            <w:tcW w:w="4520" w:type="dxa"/>
            <w:vAlign w:val="bottom"/>
            <w:tcBorders>
              <w:top w:val="single" w:sz="8" w:color="0000FF"/>
            </w:tcBorders>
            <w:gridSpan w:val="26"/>
          </w:tcPr>
          <w:p>
            <w:pPr>
              <w:spacing w:after="0" w:line="142" w:lineRule="exact"/>
              <w:rPr>
                <w:rFonts w:ascii="Arial" w:cs="Arial" w:eastAsia="Arial" w:hAnsi="Arial"/>
                <w:sz w:val="14"/>
                <w:szCs w:val="14"/>
                <w:color w:val="0000FF"/>
                <w:w w:val="98"/>
              </w:rPr>
            </w:pPr>
            <w:hyperlink r:id="rId174">
              <w:r>
                <w:rPr>
                  <w:rFonts w:ascii="Arial" w:cs="Arial" w:eastAsia="Arial" w:hAnsi="Arial"/>
                  <w:sz w:val="14"/>
                  <w:szCs w:val="14"/>
                  <w:color w:val="0000FF"/>
                  <w:w w:val="98"/>
                </w:rPr>
                <w:t>between Affirm Holdings, Inc. and Amazon.com Services LLC, dated as of</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122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w w:val="93"/>
              </w:rPr>
            </w:pPr>
            <w:hyperlink r:id="rId174">
              <w:r>
                <w:rPr>
                  <w:rFonts w:ascii="Arial" w:cs="Arial" w:eastAsia="Arial" w:hAnsi="Arial"/>
                  <w:sz w:val="14"/>
                  <w:szCs w:val="14"/>
                  <w:color w:val="0000FF"/>
                  <w:w w:val="93"/>
                </w:rPr>
                <w:t>November 10, 2021*</w:t>
              </w:r>
            </w:hyperlink>
          </w:p>
        </w:tc>
        <w:tc>
          <w:tcPr>
            <w:tcW w:w="3120" w:type="dxa"/>
            <w:vAlign w:val="bottom"/>
            <w:tcBorders>
              <w:top w:val="single" w:sz="8" w:color="0000FF"/>
            </w:tcBorders>
            <w:gridSpan w:val="19"/>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4.3</w:t>
            </w:r>
          </w:p>
        </w:tc>
        <w:tc>
          <w:tcPr>
            <w:tcW w:w="4600" w:type="dxa"/>
            <w:vAlign w:val="bottom"/>
            <w:gridSpan w:val="28"/>
          </w:tcPr>
          <w:p>
            <w:pPr>
              <w:spacing w:after="0"/>
              <w:rPr>
                <w:rFonts w:ascii="Arial" w:cs="Arial" w:eastAsia="Arial" w:hAnsi="Arial"/>
                <w:sz w:val="14"/>
                <w:szCs w:val="14"/>
                <w:color w:val="0000FF"/>
              </w:rPr>
            </w:pPr>
            <w:hyperlink r:id="rId175">
              <w:r>
                <w:rPr>
                  <w:rFonts w:ascii="Arial" w:cs="Arial" w:eastAsia="Arial" w:hAnsi="Arial"/>
                  <w:sz w:val="14"/>
                  <w:szCs w:val="14"/>
                  <w:color w:val="0000FF"/>
                </w:rPr>
                <w:t>Indenture, dated November 23, 2021, between Affirm Holdings, Inc. and</w:t>
              </w:r>
            </w:hyperlink>
          </w:p>
        </w:tc>
      </w:tr>
      <w:tr>
        <w:trPr>
          <w:trHeight w:val="142"/>
        </w:trPr>
        <w:tc>
          <w:tcPr>
            <w:tcW w:w="80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8"/>
          </w:tcPr>
          <w:p>
            <w:pPr>
              <w:spacing w:after="0" w:line="142" w:lineRule="exact"/>
              <w:rPr>
                <w:rFonts w:ascii="Arial" w:cs="Arial" w:eastAsia="Arial" w:hAnsi="Arial"/>
                <w:sz w:val="14"/>
                <w:szCs w:val="14"/>
                <w:color w:val="0000FF"/>
                <w:w w:val="93"/>
              </w:rPr>
            </w:pPr>
            <w:hyperlink r:id="rId175">
              <w:r>
                <w:rPr>
                  <w:rFonts w:ascii="Arial" w:cs="Arial" w:eastAsia="Arial" w:hAnsi="Arial"/>
                  <w:sz w:val="14"/>
                  <w:szCs w:val="14"/>
                  <w:color w:val="0000FF"/>
                  <w:w w:val="93"/>
                </w:rPr>
                <w:t>Wilmington Trust, National Association, as trustee</w:t>
              </w:r>
            </w:hyperlink>
          </w:p>
        </w:tc>
        <w:tc>
          <w:tcPr>
            <w:tcW w:w="128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2"/>
              </w:rPr>
              <w:t>4.4</w:t>
            </w:r>
          </w:p>
        </w:tc>
        <w:tc>
          <w:tcPr>
            <w:tcW w:w="4160" w:type="dxa"/>
            <w:vAlign w:val="bottom"/>
            <w:tcBorders>
              <w:bottom w:val="single" w:sz="8" w:color="0000FF"/>
            </w:tcBorders>
            <w:gridSpan w:val="15"/>
          </w:tcPr>
          <w:p>
            <w:pPr>
              <w:spacing w:after="0"/>
              <w:rPr>
                <w:rFonts w:ascii="Arial" w:cs="Arial" w:eastAsia="Arial" w:hAnsi="Arial"/>
                <w:sz w:val="14"/>
                <w:szCs w:val="14"/>
                <w:color w:val="0000FF"/>
                <w:w w:val="94"/>
              </w:rPr>
            </w:pPr>
            <w:hyperlink r:id="rId175">
              <w:r>
                <w:rPr>
                  <w:rFonts w:ascii="Arial" w:cs="Arial" w:eastAsia="Arial" w:hAnsi="Arial"/>
                  <w:sz w:val="14"/>
                  <w:szCs w:val="14"/>
                  <w:color w:val="0000FF"/>
                  <w:w w:val="94"/>
                </w:rPr>
                <w:t>Form of 0% Convertible Senior Note due 2026 (included in Exhibit 4.1)</w:t>
              </w:r>
            </w:hyperlink>
          </w:p>
        </w:tc>
        <w:tc>
          <w:tcPr>
            <w:tcW w:w="440" w:type="dxa"/>
            <w:vAlign w:val="bottom"/>
            <w:gridSpan w:val="13"/>
          </w:tcPr>
          <w:p>
            <w:pPr>
              <w:spacing w:after="0"/>
              <w:rPr>
                <w:sz w:val="17"/>
                <w:szCs w:val="17"/>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10.1</w:t>
            </w:r>
          </w:p>
        </w:tc>
        <w:tc>
          <w:tcPr>
            <w:tcW w:w="4600" w:type="dxa"/>
            <w:vAlign w:val="bottom"/>
            <w:gridSpan w:val="28"/>
          </w:tcPr>
          <w:p>
            <w:pPr>
              <w:spacing w:after="0"/>
              <w:rPr>
                <w:rFonts w:ascii="Arial" w:cs="Arial" w:eastAsia="Arial" w:hAnsi="Arial"/>
                <w:sz w:val="14"/>
                <w:szCs w:val="14"/>
                <w:color w:val="0000FF"/>
                <w:w w:val="98"/>
              </w:rPr>
            </w:pPr>
            <w:hyperlink r:id="rId176">
              <w:r>
                <w:rPr>
                  <w:rFonts w:ascii="Arial" w:cs="Arial" w:eastAsia="Arial" w:hAnsi="Arial"/>
                  <w:sz w:val="14"/>
                  <w:szCs w:val="14"/>
                  <w:color w:val="0000FF"/>
                  <w:w w:val="98"/>
                </w:rPr>
                <w:t>Amended and Restated Installment Financing Services Agreement, by and</w:t>
              </w:r>
            </w:hyperlink>
          </w:p>
        </w:tc>
      </w:tr>
      <w:tr>
        <w:trPr>
          <w:trHeight w:val="142"/>
        </w:trPr>
        <w:tc>
          <w:tcPr>
            <w:tcW w:w="800" w:type="dxa"/>
            <w:vAlign w:val="bottom"/>
          </w:tcPr>
          <w:p>
            <w:pPr>
              <w:spacing w:after="0"/>
              <w:rPr>
                <w:sz w:val="12"/>
                <w:szCs w:val="12"/>
                <w:color w:val="auto"/>
              </w:rPr>
            </w:pPr>
          </w:p>
        </w:tc>
        <w:tc>
          <w:tcPr>
            <w:tcW w:w="4280" w:type="dxa"/>
            <w:vAlign w:val="bottom"/>
            <w:tcBorders>
              <w:top w:val="single" w:sz="8" w:color="0000FF"/>
            </w:tcBorders>
            <w:gridSpan w:val="18"/>
          </w:tcPr>
          <w:p>
            <w:pPr>
              <w:spacing w:after="0" w:line="142" w:lineRule="exact"/>
              <w:rPr>
                <w:rFonts w:ascii="Arial" w:cs="Arial" w:eastAsia="Arial" w:hAnsi="Arial"/>
                <w:sz w:val="14"/>
                <w:szCs w:val="14"/>
                <w:color w:val="0000FF"/>
                <w:w w:val="98"/>
              </w:rPr>
            </w:pPr>
            <w:hyperlink r:id="rId176">
              <w:r>
                <w:rPr>
                  <w:rFonts w:ascii="Arial" w:cs="Arial" w:eastAsia="Arial" w:hAnsi="Arial"/>
                  <w:sz w:val="14"/>
                  <w:szCs w:val="14"/>
                  <w:color w:val="0000FF"/>
                  <w:w w:val="98"/>
                </w:rPr>
                <w:t>among Affirm Holdings, Inc., Amazon.com Services LLC and Amazon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w w:val="92"/>
              </w:rPr>
            </w:pPr>
            <w:hyperlink r:id="rId176">
              <w:r>
                <w:rPr>
                  <w:rFonts w:ascii="Arial" w:cs="Arial" w:eastAsia="Arial" w:hAnsi="Arial"/>
                  <w:sz w:val="14"/>
                  <w:szCs w:val="14"/>
                  <w:color w:val="0000FF"/>
                  <w:w w:val="92"/>
                </w:rPr>
                <w:t>Payments, Inc., dated as of November 10, 2021*</w:t>
              </w:r>
            </w:hyperlink>
          </w:p>
        </w:tc>
        <w:tc>
          <w:tcPr>
            <w:tcW w:w="132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10.2</w:t>
            </w:r>
          </w:p>
        </w:tc>
        <w:tc>
          <w:tcPr>
            <w:tcW w:w="4600" w:type="dxa"/>
            <w:vAlign w:val="bottom"/>
            <w:gridSpan w:val="28"/>
          </w:tcPr>
          <w:p>
            <w:pPr>
              <w:spacing w:after="0"/>
              <w:rPr>
                <w:rFonts w:ascii="Arial" w:cs="Arial" w:eastAsia="Arial" w:hAnsi="Arial"/>
                <w:sz w:val="14"/>
                <w:szCs w:val="14"/>
                <w:color w:val="0000FF"/>
              </w:rPr>
            </w:pPr>
            <w:hyperlink r:id="rId177">
              <w:r>
                <w:rPr>
                  <w:rFonts w:ascii="Arial" w:cs="Arial" w:eastAsia="Arial" w:hAnsi="Arial"/>
                  <w:sz w:val="14"/>
                  <w:szCs w:val="14"/>
                  <w:color w:val="0000FF"/>
                </w:rPr>
                <w:t>Transaction Agreement, by and between Affirm Holdings, Inc. and</w:t>
              </w:r>
            </w:hyperlink>
          </w:p>
        </w:tc>
      </w:tr>
      <w:tr>
        <w:trPr>
          <w:trHeight w:val="142"/>
        </w:trPr>
        <w:tc>
          <w:tcPr>
            <w:tcW w:w="800" w:type="dxa"/>
            <w:vAlign w:val="bottom"/>
          </w:tcPr>
          <w:p>
            <w:pPr>
              <w:spacing w:after="0"/>
              <w:rPr>
                <w:sz w:val="12"/>
                <w:szCs w:val="12"/>
                <w:color w:val="auto"/>
              </w:rPr>
            </w:pPr>
          </w:p>
        </w:tc>
        <w:tc>
          <w:tcPr>
            <w:tcW w:w="3860" w:type="dxa"/>
            <w:vAlign w:val="bottom"/>
            <w:tcBorders>
              <w:top w:val="single" w:sz="8" w:color="0000FF"/>
            </w:tcBorders>
            <w:gridSpan w:val="11"/>
          </w:tcPr>
          <w:p>
            <w:pPr>
              <w:spacing w:after="0" w:line="142" w:lineRule="exact"/>
              <w:rPr>
                <w:rFonts w:ascii="Arial" w:cs="Arial" w:eastAsia="Arial" w:hAnsi="Arial"/>
                <w:sz w:val="14"/>
                <w:szCs w:val="14"/>
                <w:color w:val="0000FF"/>
              </w:rPr>
            </w:pPr>
            <w:hyperlink r:id="rId177">
              <w:r>
                <w:rPr>
                  <w:rFonts w:ascii="Arial" w:cs="Arial" w:eastAsia="Arial" w:hAnsi="Arial"/>
                  <w:sz w:val="14"/>
                  <w:szCs w:val="14"/>
                  <w:color w:val="0000FF"/>
                </w:rPr>
                <w:t>Amazon.com Services LLC, dated as of November 10, 2021*</w:t>
              </w:r>
            </w:hyperlink>
          </w:p>
        </w:tc>
        <w:tc>
          <w:tcPr>
            <w:tcW w:w="2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10.3</w:t>
            </w:r>
          </w:p>
        </w:tc>
        <w:tc>
          <w:tcPr>
            <w:tcW w:w="4600" w:type="dxa"/>
            <w:vAlign w:val="bottom"/>
            <w:gridSpan w:val="28"/>
          </w:tcPr>
          <w:p>
            <w:pPr>
              <w:spacing w:after="0"/>
              <w:rPr>
                <w:rFonts w:ascii="Arial" w:cs="Arial" w:eastAsia="Arial" w:hAnsi="Arial"/>
                <w:sz w:val="14"/>
                <w:szCs w:val="14"/>
                <w:color w:val="0000FF"/>
              </w:rPr>
            </w:pPr>
            <w:hyperlink r:id="rId176">
              <w:r>
                <w:rPr>
                  <w:rFonts w:ascii="Arial" w:cs="Arial" w:eastAsia="Arial" w:hAnsi="Arial"/>
                  <w:sz w:val="14"/>
                  <w:szCs w:val="14"/>
                  <w:color w:val="0000FF"/>
                </w:rPr>
                <w:t>Revolving Credit Agreement, dated as of February 4, 2022, among Affirm,</w:t>
              </w:r>
            </w:hyperlink>
          </w:p>
        </w:tc>
      </w:tr>
      <w:tr>
        <w:trPr>
          <w:trHeight w:val="142"/>
        </w:trPr>
        <w:tc>
          <w:tcPr>
            <w:tcW w:w="800" w:type="dxa"/>
            <w:vAlign w:val="bottom"/>
          </w:tcPr>
          <w:p>
            <w:pPr>
              <w:spacing w:after="0"/>
              <w:rPr>
                <w:sz w:val="12"/>
                <w:szCs w:val="12"/>
                <w:color w:val="auto"/>
              </w:rPr>
            </w:pPr>
          </w:p>
        </w:tc>
        <w:tc>
          <w:tcPr>
            <w:tcW w:w="4320" w:type="dxa"/>
            <w:vAlign w:val="bottom"/>
            <w:tcBorders>
              <w:top w:val="single" w:sz="8" w:color="0000FF"/>
            </w:tcBorders>
            <w:gridSpan w:val="20"/>
          </w:tcPr>
          <w:p>
            <w:pPr>
              <w:spacing w:after="0" w:line="142" w:lineRule="exact"/>
              <w:rPr>
                <w:rFonts w:ascii="Arial" w:cs="Arial" w:eastAsia="Arial" w:hAnsi="Arial"/>
                <w:sz w:val="14"/>
                <w:szCs w:val="14"/>
                <w:color w:val="0000FF"/>
                <w:w w:val="95"/>
              </w:rPr>
            </w:pPr>
            <w:hyperlink r:id="rId176">
              <w:r>
                <w:rPr>
                  <w:rFonts w:ascii="Arial" w:cs="Arial" w:eastAsia="Arial" w:hAnsi="Arial"/>
                  <w:sz w:val="14"/>
                  <w:szCs w:val="14"/>
                  <w:color w:val="0000FF"/>
                  <w:w w:val="95"/>
                </w:rPr>
                <w:t>Inc., Affirm Holdings, Inc., certain lenders identified therein, and Barclays</w:t>
              </w:r>
            </w:hyperlink>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00" w:type="dxa"/>
            <w:vAlign w:val="bottom"/>
          </w:tcPr>
          <w:p>
            <w:pPr>
              <w:spacing w:after="0"/>
              <w:rPr>
                <w:sz w:val="12"/>
                <w:szCs w:val="12"/>
                <w:color w:val="auto"/>
              </w:rPr>
            </w:pPr>
          </w:p>
        </w:tc>
        <w:tc>
          <w:tcPr>
            <w:tcW w:w="430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176">
              <w:r>
                <w:rPr>
                  <w:rFonts w:ascii="Arial" w:cs="Arial" w:eastAsia="Arial" w:hAnsi="Arial"/>
                  <w:sz w:val="14"/>
                  <w:szCs w:val="14"/>
                  <w:color w:val="0000FF"/>
                </w:rPr>
                <w:t>Bank PLC</w:t>
              </w:r>
            </w:hyperlink>
          </w:p>
        </w:tc>
        <w:tc>
          <w:tcPr>
            <w:tcW w:w="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10.4</w:t>
            </w:r>
          </w:p>
        </w:tc>
        <w:tc>
          <w:tcPr>
            <w:tcW w:w="4600" w:type="dxa"/>
            <w:vAlign w:val="bottom"/>
            <w:gridSpan w:val="28"/>
          </w:tcPr>
          <w:p>
            <w:pPr>
              <w:spacing w:after="0"/>
              <w:rPr>
                <w:rFonts w:ascii="Arial" w:cs="Arial" w:eastAsia="Arial" w:hAnsi="Arial"/>
                <w:sz w:val="14"/>
                <w:szCs w:val="14"/>
                <w:color w:val="0000FF"/>
              </w:rPr>
            </w:pPr>
            <w:hyperlink w:anchor="page96">
              <w:r>
                <w:rPr>
                  <w:rFonts w:ascii="Arial" w:cs="Arial" w:eastAsia="Arial" w:hAnsi="Arial"/>
                  <w:sz w:val="14"/>
                  <w:szCs w:val="14"/>
                  <w:color w:val="0000FF"/>
                </w:rPr>
                <w:t>Form of Stock Option Agreement pursuant to the Affirm Holdings, Inc.</w:t>
              </w:r>
            </w:hyperlink>
          </w:p>
        </w:tc>
      </w:tr>
      <w:tr>
        <w:trPr>
          <w:trHeight w:val="142"/>
        </w:trPr>
        <w:tc>
          <w:tcPr>
            <w:tcW w:w="80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6"/>
          </w:tcPr>
          <w:p>
            <w:pPr>
              <w:spacing w:after="0" w:line="142" w:lineRule="exact"/>
              <w:rPr>
                <w:rFonts w:ascii="Arial" w:cs="Arial" w:eastAsia="Arial" w:hAnsi="Arial"/>
                <w:sz w:val="14"/>
                <w:szCs w:val="14"/>
                <w:color w:val="0000FF"/>
                <w:w w:val="90"/>
              </w:rPr>
            </w:pPr>
            <w:hyperlink w:anchor="page96">
              <w:r>
                <w:rPr>
                  <w:rFonts w:ascii="Arial" w:cs="Arial" w:eastAsia="Arial" w:hAnsi="Arial"/>
                  <w:sz w:val="14"/>
                  <w:szCs w:val="14"/>
                  <w:color w:val="0000FF"/>
                  <w:w w:val="90"/>
                </w:rPr>
                <w:t>Amended and Restated 2012 Stock Plan</w:t>
              </w:r>
            </w:hyperlink>
          </w:p>
        </w:tc>
        <w:tc>
          <w:tcPr>
            <w:tcW w:w="1820" w:type="dxa"/>
            <w:vAlign w:val="bottom"/>
            <w:tcBorders>
              <w:top w:val="single" w:sz="8" w:color="0000FF"/>
            </w:tcBorders>
            <w:gridSpan w:val="8"/>
          </w:tcPr>
          <w:p>
            <w:pPr>
              <w:spacing w:after="0"/>
              <w:rPr>
                <w:sz w:val="12"/>
                <w:szCs w:val="12"/>
                <w:color w:val="auto"/>
              </w:rPr>
            </w:pPr>
          </w:p>
        </w:tc>
        <w:tc>
          <w:tcPr>
            <w:tcW w:w="120" w:type="dxa"/>
            <w:vAlign w:val="bottom"/>
            <w:gridSpan w:val="3"/>
          </w:tcPr>
          <w:p>
            <w:pPr>
              <w:spacing w:after="0"/>
              <w:rPr>
                <w:sz w:val="12"/>
                <w:szCs w:val="12"/>
                <w:color w:val="auto"/>
              </w:rPr>
            </w:pPr>
          </w:p>
        </w:tc>
        <w:tc>
          <w:tcPr>
            <w:tcW w:w="12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10.5</w:t>
            </w:r>
          </w:p>
        </w:tc>
        <w:tc>
          <w:tcPr>
            <w:tcW w:w="4600" w:type="dxa"/>
            <w:vAlign w:val="bottom"/>
            <w:gridSpan w:val="28"/>
          </w:tcPr>
          <w:p>
            <w:pPr>
              <w:spacing w:after="0"/>
              <w:rPr>
                <w:rFonts w:ascii="Arial" w:cs="Arial" w:eastAsia="Arial" w:hAnsi="Arial"/>
                <w:sz w:val="14"/>
                <w:szCs w:val="14"/>
                <w:color w:val="0000FF"/>
                <w:w w:val="97"/>
              </w:rPr>
            </w:pPr>
            <w:hyperlink w:anchor="page106">
              <w:r>
                <w:rPr>
                  <w:rFonts w:ascii="Arial" w:cs="Arial" w:eastAsia="Arial" w:hAnsi="Arial"/>
                  <w:sz w:val="14"/>
                  <w:szCs w:val="14"/>
                  <w:color w:val="0000FF"/>
                  <w:w w:val="97"/>
                </w:rPr>
                <w:t>Form of RSU Agreement pursuant to the Affirm Holdings, Inc. Amended and</w:t>
              </w:r>
            </w:hyperlink>
          </w:p>
        </w:tc>
      </w:tr>
      <w:tr>
        <w:trPr>
          <w:trHeight w:val="142"/>
        </w:trPr>
        <w:tc>
          <w:tcPr>
            <w:tcW w:w="800" w:type="dxa"/>
            <w:vAlign w:val="bottom"/>
          </w:tcPr>
          <w:p>
            <w:pPr>
              <w:spacing w:after="0"/>
              <w:rPr>
                <w:sz w:val="12"/>
                <w:szCs w:val="12"/>
                <w:color w:val="auto"/>
              </w:rPr>
            </w:pPr>
          </w:p>
        </w:tc>
        <w:tc>
          <w:tcPr>
            <w:tcW w:w="148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w w:val="90"/>
              </w:rPr>
            </w:pPr>
            <w:hyperlink w:anchor="page106">
              <w:r>
                <w:rPr>
                  <w:rFonts w:ascii="Arial" w:cs="Arial" w:eastAsia="Arial" w:hAnsi="Arial"/>
                  <w:sz w:val="14"/>
                  <w:szCs w:val="14"/>
                  <w:color w:val="0000FF"/>
                  <w:w w:val="90"/>
                </w:rPr>
                <w:t>Restated 2012 Stock Plan</w:t>
              </w:r>
            </w:hyperlink>
          </w:p>
        </w:tc>
        <w:tc>
          <w:tcPr>
            <w:tcW w:w="300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31.1</w:t>
            </w:r>
          </w:p>
        </w:tc>
        <w:tc>
          <w:tcPr>
            <w:tcW w:w="4600" w:type="dxa"/>
            <w:vAlign w:val="bottom"/>
            <w:gridSpan w:val="28"/>
          </w:tcPr>
          <w:p>
            <w:pPr>
              <w:spacing w:after="0"/>
              <w:rPr>
                <w:rFonts w:ascii="Arial" w:cs="Arial" w:eastAsia="Arial" w:hAnsi="Arial"/>
                <w:sz w:val="14"/>
                <w:szCs w:val="14"/>
                <w:color w:val="0000FF"/>
                <w:w w:val="98"/>
              </w:rPr>
            </w:pPr>
            <w:hyperlink w:anchor="page115">
              <w:r>
                <w:rPr>
                  <w:rFonts w:ascii="Arial" w:cs="Arial" w:eastAsia="Arial" w:hAnsi="Arial"/>
                  <w:sz w:val="14"/>
                  <w:szCs w:val="14"/>
                  <w:color w:val="0000FF"/>
                  <w:w w:val="98"/>
                </w:rPr>
                <w:t>Certification of Principal Executive Officer Pursuant to Rules 13a-14(a) and</w:t>
              </w:r>
            </w:hyperlink>
          </w:p>
        </w:tc>
      </w:tr>
      <w:tr>
        <w:trPr>
          <w:trHeight w:val="20"/>
        </w:trPr>
        <w:tc>
          <w:tcPr>
            <w:tcW w:w="80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460" w:type="dxa"/>
            <w:vAlign w:val="bottom"/>
            <w:gridSpan w:val="8"/>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00" w:type="dxa"/>
            <w:vAlign w:val="bottom"/>
          </w:tcPr>
          <w:p>
            <w:pPr>
              <w:spacing w:after="0"/>
              <w:rPr>
                <w:sz w:val="12"/>
                <w:szCs w:val="12"/>
                <w:color w:val="auto"/>
              </w:rPr>
            </w:pPr>
          </w:p>
        </w:tc>
        <w:tc>
          <w:tcPr>
            <w:tcW w:w="4600" w:type="dxa"/>
            <w:vAlign w:val="bottom"/>
            <w:gridSpan w:val="28"/>
          </w:tcPr>
          <w:p>
            <w:pPr>
              <w:spacing w:after="0" w:line="142" w:lineRule="exact"/>
              <w:rPr>
                <w:rFonts w:ascii="Arial" w:cs="Arial" w:eastAsia="Arial" w:hAnsi="Arial"/>
                <w:sz w:val="14"/>
                <w:szCs w:val="14"/>
                <w:color w:val="0000FF"/>
                <w:w w:val="94"/>
              </w:rPr>
            </w:pPr>
            <w:hyperlink w:anchor="page115">
              <w:r>
                <w:rPr>
                  <w:rFonts w:ascii="Arial" w:cs="Arial" w:eastAsia="Arial" w:hAnsi="Arial"/>
                  <w:sz w:val="14"/>
                  <w:szCs w:val="14"/>
                  <w:color w:val="0000FF"/>
                  <w:w w:val="94"/>
                </w:rPr>
                <w:t>15d-14(a) under the Exchange Act, as Adopted Pursuant to Section 302 of the</w:t>
              </w:r>
            </w:hyperlink>
          </w:p>
        </w:tc>
      </w:tr>
      <w:tr>
        <w:trPr>
          <w:trHeight w:val="142"/>
        </w:trPr>
        <w:tc>
          <w:tcPr>
            <w:tcW w:w="80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2"/>
              </w:rPr>
            </w:pPr>
            <w:hyperlink w:anchor="page115">
              <w:r>
                <w:rPr>
                  <w:rFonts w:ascii="Arial" w:cs="Arial" w:eastAsia="Arial" w:hAnsi="Arial"/>
                  <w:sz w:val="14"/>
                  <w:szCs w:val="14"/>
                  <w:color w:val="0000FF"/>
                  <w:w w:val="92"/>
                </w:rPr>
                <w:t>Sarbanes-Oxley Act of 2002</w:t>
              </w:r>
            </w:hyperlink>
          </w:p>
        </w:tc>
        <w:tc>
          <w:tcPr>
            <w:tcW w:w="2860" w:type="dxa"/>
            <w:vAlign w:val="bottom"/>
            <w:tcBorders>
              <w:top w:val="single" w:sz="8" w:color="0000FF"/>
            </w:tcBorders>
            <w:gridSpan w:val="21"/>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31.2</w:t>
            </w:r>
          </w:p>
        </w:tc>
        <w:tc>
          <w:tcPr>
            <w:tcW w:w="4600" w:type="dxa"/>
            <w:vAlign w:val="bottom"/>
            <w:gridSpan w:val="28"/>
          </w:tcPr>
          <w:p>
            <w:pPr>
              <w:spacing w:after="0"/>
              <w:rPr>
                <w:rFonts w:ascii="Arial" w:cs="Arial" w:eastAsia="Arial" w:hAnsi="Arial"/>
                <w:sz w:val="14"/>
                <w:szCs w:val="14"/>
                <w:color w:val="0000FF"/>
                <w:w w:val="99"/>
              </w:rPr>
            </w:pPr>
            <w:hyperlink w:anchor="page116">
              <w:r>
                <w:rPr>
                  <w:rFonts w:ascii="Arial" w:cs="Arial" w:eastAsia="Arial" w:hAnsi="Arial"/>
                  <w:sz w:val="14"/>
                  <w:szCs w:val="14"/>
                  <w:color w:val="0000FF"/>
                  <w:w w:val="99"/>
                </w:rPr>
                <w:t>Certification of Principal Financial Officer Pursuant to Rules 13a-14(a) and</w:t>
              </w:r>
            </w:hyperlink>
          </w:p>
        </w:tc>
      </w:tr>
      <w:tr>
        <w:trPr>
          <w:trHeight w:val="142"/>
        </w:trPr>
        <w:tc>
          <w:tcPr>
            <w:tcW w:w="800" w:type="dxa"/>
            <w:vAlign w:val="bottom"/>
          </w:tcPr>
          <w:p>
            <w:pPr>
              <w:spacing w:after="0"/>
              <w:rPr>
                <w:sz w:val="12"/>
                <w:szCs w:val="12"/>
                <w:color w:val="auto"/>
              </w:rPr>
            </w:pPr>
          </w:p>
        </w:tc>
        <w:tc>
          <w:tcPr>
            <w:tcW w:w="4380" w:type="dxa"/>
            <w:vAlign w:val="bottom"/>
            <w:tcBorders>
              <w:top w:val="single" w:sz="8" w:color="0000FF"/>
            </w:tcBorders>
            <w:gridSpan w:val="22"/>
          </w:tcPr>
          <w:p>
            <w:pPr>
              <w:spacing w:after="0" w:line="142" w:lineRule="exact"/>
              <w:rPr>
                <w:rFonts w:ascii="Arial" w:cs="Arial" w:eastAsia="Arial" w:hAnsi="Arial"/>
                <w:sz w:val="14"/>
                <w:szCs w:val="14"/>
                <w:color w:val="0000FF"/>
                <w:w w:val="94"/>
              </w:rPr>
            </w:pPr>
            <w:hyperlink w:anchor="page116">
              <w:r>
                <w:rPr>
                  <w:rFonts w:ascii="Arial" w:cs="Arial" w:eastAsia="Arial" w:hAnsi="Arial"/>
                  <w:sz w:val="14"/>
                  <w:szCs w:val="14"/>
                  <w:color w:val="0000FF"/>
                  <w:w w:val="94"/>
                </w:rPr>
                <w:t>15d-14(a) under the Exchange Act, as Adopted Pursuant to Section 302 of</w:t>
              </w:r>
            </w:hyperlink>
          </w:p>
        </w:tc>
        <w:tc>
          <w:tcPr>
            <w:tcW w:w="220" w:type="dxa"/>
            <w:vAlign w:val="bottom"/>
            <w:gridSpan w:val="6"/>
          </w:tcPr>
          <w:p>
            <w:pPr>
              <w:spacing w:after="0" w:line="142" w:lineRule="exact"/>
              <w:rPr>
                <w:rFonts w:ascii="Arial" w:cs="Arial" w:eastAsia="Arial" w:hAnsi="Arial"/>
                <w:sz w:val="14"/>
                <w:szCs w:val="14"/>
                <w:color w:val="0000FF"/>
              </w:rPr>
            </w:pPr>
            <w:hyperlink w:anchor="page116">
              <w:r>
                <w:rPr>
                  <w:rFonts w:ascii="Arial" w:cs="Arial" w:eastAsia="Arial" w:hAnsi="Arial"/>
                  <w:sz w:val="14"/>
                  <w:szCs w:val="14"/>
                  <w:color w:val="0000FF"/>
                </w:rPr>
                <w:t>the</w:t>
              </w:r>
            </w:hyperlink>
          </w:p>
        </w:tc>
      </w:tr>
      <w:tr>
        <w:trPr>
          <w:trHeight w:val="142"/>
        </w:trPr>
        <w:tc>
          <w:tcPr>
            <w:tcW w:w="800" w:type="dxa"/>
            <w:vAlign w:val="bottom"/>
          </w:tcPr>
          <w:p>
            <w:pPr>
              <w:spacing w:after="0"/>
              <w:rPr>
                <w:sz w:val="12"/>
                <w:szCs w:val="12"/>
                <w:color w:val="auto"/>
              </w:rPr>
            </w:pPr>
          </w:p>
        </w:tc>
        <w:tc>
          <w:tcPr>
            <w:tcW w:w="164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w w:val="92"/>
              </w:rPr>
            </w:pPr>
            <w:hyperlink w:anchor="page116">
              <w:r>
                <w:rPr>
                  <w:rFonts w:ascii="Arial" w:cs="Arial" w:eastAsia="Arial" w:hAnsi="Arial"/>
                  <w:sz w:val="14"/>
                  <w:szCs w:val="14"/>
                  <w:color w:val="0000FF"/>
                  <w:w w:val="92"/>
                </w:rPr>
                <w:t>Sarbanes-Oxley Act of 2002</w:t>
              </w:r>
            </w:hyperlink>
          </w:p>
        </w:tc>
        <w:tc>
          <w:tcPr>
            <w:tcW w:w="2860" w:type="dxa"/>
            <w:vAlign w:val="bottom"/>
            <w:tcBorders>
              <w:top w:val="single" w:sz="8" w:color="0000FF"/>
            </w:tcBorders>
            <w:gridSpan w:val="21"/>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32.1</w:t>
            </w:r>
          </w:p>
        </w:tc>
        <w:tc>
          <w:tcPr>
            <w:tcW w:w="4260" w:type="dxa"/>
            <w:vAlign w:val="bottom"/>
            <w:tcBorders>
              <w:bottom w:val="single" w:sz="8" w:color="0000FF"/>
            </w:tcBorders>
            <w:gridSpan w:val="17"/>
          </w:tcPr>
          <w:p>
            <w:pPr>
              <w:spacing w:after="0"/>
              <w:rPr>
                <w:rFonts w:ascii="Arial" w:cs="Arial" w:eastAsia="Arial" w:hAnsi="Arial"/>
                <w:sz w:val="14"/>
                <w:szCs w:val="14"/>
                <w:color w:val="0000FF"/>
                <w:w w:val="94"/>
              </w:rPr>
            </w:pPr>
            <w:hyperlink w:anchor="page117">
              <w:r>
                <w:rPr>
                  <w:rFonts w:ascii="Arial" w:cs="Arial" w:eastAsia="Arial" w:hAnsi="Arial"/>
                  <w:sz w:val="14"/>
                  <w:szCs w:val="14"/>
                  <w:color w:val="0000FF"/>
                  <w:w w:val="94"/>
                </w:rPr>
                <w:t>Certification of Principal Executive Officer Pursuant to 18 U.S.C. Section</w:t>
              </w:r>
            </w:hyperlink>
          </w:p>
        </w:tc>
        <w:tc>
          <w:tcPr>
            <w:tcW w:w="340" w:type="dxa"/>
            <w:vAlign w:val="bottom"/>
            <w:gridSpan w:val="11"/>
          </w:tcPr>
          <w:p>
            <w:pPr>
              <w:spacing w:after="0"/>
              <w:rPr>
                <w:sz w:val="17"/>
                <w:szCs w:val="17"/>
                <w:color w:val="auto"/>
              </w:rPr>
            </w:pPr>
          </w:p>
        </w:tc>
      </w:tr>
      <w:tr>
        <w:trPr>
          <w:trHeight w:val="142"/>
        </w:trPr>
        <w:tc>
          <w:tcPr>
            <w:tcW w:w="800" w:type="dxa"/>
            <w:vAlign w:val="bottom"/>
          </w:tcPr>
          <w:p>
            <w:pPr>
              <w:spacing w:after="0"/>
              <w:rPr>
                <w:sz w:val="12"/>
                <w:szCs w:val="12"/>
                <w:color w:val="auto"/>
              </w:rPr>
            </w:pPr>
          </w:p>
        </w:tc>
        <w:tc>
          <w:tcPr>
            <w:tcW w:w="4600" w:type="dxa"/>
            <w:vAlign w:val="bottom"/>
            <w:gridSpan w:val="28"/>
          </w:tcPr>
          <w:p>
            <w:pPr>
              <w:spacing w:after="0" w:line="142" w:lineRule="exact"/>
              <w:rPr>
                <w:rFonts w:ascii="Arial" w:cs="Arial" w:eastAsia="Arial" w:hAnsi="Arial"/>
                <w:sz w:val="14"/>
                <w:szCs w:val="14"/>
                <w:color w:val="0000FF"/>
                <w:w w:val="95"/>
              </w:rPr>
            </w:pPr>
            <w:hyperlink w:anchor="page117">
              <w:r>
                <w:rPr>
                  <w:rFonts w:ascii="Arial" w:cs="Arial" w:eastAsia="Arial" w:hAnsi="Arial"/>
                  <w:sz w:val="14"/>
                  <w:szCs w:val="14"/>
                  <w:color w:val="0000FF"/>
                  <w:w w:val="95"/>
                </w:rPr>
                <w:t>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4100" w:type="dxa"/>
            <w:vAlign w:val="bottom"/>
            <w:gridSpan w:val="12"/>
            <w:shd w:val="clear" w:color="auto" w:fill="0000FF"/>
          </w:tcPr>
          <w:p>
            <w:pPr>
              <w:spacing w:after="0" w:line="20" w:lineRule="exact"/>
              <w:rPr>
                <w:sz w:val="1"/>
                <w:szCs w:val="1"/>
                <w:color w:val="auto"/>
              </w:rPr>
            </w:pPr>
          </w:p>
        </w:tc>
        <w:tc>
          <w:tcPr>
            <w:tcW w:w="360" w:type="dxa"/>
            <w:vAlign w:val="bottom"/>
            <w:gridSpan w:val="11"/>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5"/>
              </w:rPr>
              <w:t>32.2</w:t>
            </w:r>
          </w:p>
        </w:tc>
        <w:tc>
          <w:tcPr>
            <w:tcW w:w="4600" w:type="dxa"/>
            <w:vAlign w:val="bottom"/>
            <w:gridSpan w:val="28"/>
          </w:tcPr>
          <w:p>
            <w:pPr>
              <w:spacing w:after="0"/>
              <w:rPr>
                <w:rFonts w:ascii="Arial" w:cs="Arial" w:eastAsia="Arial" w:hAnsi="Arial"/>
                <w:sz w:val="14"/>
                <w:szCs w:val="14"/>
                <w:color w:val="0000FF"/>
                <w:w w:val="95"/>
              </w:rPr>
            </w:pPr>
            <w:hyperlink w:anchor="page118">
              <w:r>
                <w:rPr>
                  <w:rFonts w:ascii="Arial" w:cs="Arial" w:eastAsia="Arial" w:hAnsi="Arial"/>
                  <w:sz w:val="14"/>
                  <w:szCs w:val="14"/>
                  <w:color w:val="0000FF"/>
                  <w:w w:val="95"/>
                </w:rPr>
                <w:t>Certification of Principal Financial Officer Pursuant to 18 U.S.C. Section 1350,</w:t>
              </w:r>
            </w:hyperlink>
          </w:p>
        </w:tc>
      </w:tr>
      <w:tr>
        <w:trPr>
          <w:trHeight w:val="142"/>
        </w:trPr>
        <w:tc>
          <w:tcPr>
            <w:tcW w:w="800" w:type="dxa"/>
            <w:vAlign w:val="bottom"/>
          </w:tcPr>
          <w:p>
            <w:pPr>
              <w:spacing w:after="0"/>
              <w:rPr>
                <w:sz w:val="12"/>
                <w:szCs w:val="12"/>
                <w:color w:val="auto"/>
              </w:rPr>
            </w:pPr>
          </w:p>
        </w:tc>
        <w:tc>
          <w:tcPr>
            <w:tcW w:w="4580" w:type="dxa"/>
            <w:vAlign w:val="bottom"/>
            <w:tcBorders>
              <w:top w:val="single" w:sz="8" w:color="0000FF"/>
            </w:tcBorders>
            <w:gridSpan w:val="27"/>
          </w:tcPr>
          <w:p>
            <w:pPr>
              <w:spacing w:after="0" w:line="142" w:lineRule="exact"/>
              <w:rPr>
                <w:rFonts w:ascii="Arial" w:cs="Arial" w:eastAsia="Arial" w:hAnsi="Arial"/>
                <w:sz w:val="14"/>
                <w:szCs w:val="14"/>
                <w:color w:val="0000FF"/>
              </w:rPr>
            </w:pPr>
            <w:hyperlink w:anchor="page118">
              <w:r>
                <w:rPr>
                  <w:rFonts w:ascii="Arial" w:cs="Arial" w:eastAsia="Arial" w:hAnsi="Arial"/>
                  <w:sz w:val="14"/>
                  <w:szCs w:val="14"/>
                  <w:color w:val="0000FF"/>
                </w:rPr>
                <w:t>as Adopted Pursuant to Section 906 of the Sarbanes-Oxley Act of 2002</w:t>
              </w:r>
            </w:hyperlink>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4100" w:type="dxa"/>
            <w:vAlign w:val="bottom"/>
            <w:gridSpan w:val="12"/>
            <w:shd w:val="clear" w:color="auto" w:fill="0000FF"/>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r>
      <w:tr>
        <w:trPr>
          <w:trHeight w:val="204"/>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101.INS</w:t>
            </w:r>
          </w:p>
        </w:tc>
        <w:tc>
          <w:tcPr>
            <w:tcW w:w="4600" w:type="dxa"/>
            <w:vAlign w:val="bottom"/>
            <w:gridSpan w:val="28"/>
          </w:tcPr>
          <w:p>
            <w:pPr>
              <w:spacing w:after="0"/>
              <w:rPr>
                <w:sz w:val="20"/>
                <w:szCs w:val="20"/>
                <w:color w:val="auto"/>
              </w:rPr>
            </w:pPr>
            <w:r>
              <w:rPr>
                <w:rFonts w:ascii="Arial" w:cs="Arial" w:eastAsia="Arial" w:hAnsi="Arial"/>
                <w:sz w:val="14"/>
                <w:szCs w:val="14"/>
                <w:color w:val="auto"/>
                <w:w w:val="99"/>
              </w:rPr>
              <w:t>XBRL Instance Document – the instance document does not appear in the</w:t>
            </w:r>
          </w:p>
        </w:tc>
      </w:tr>
      <w:tr>
        <w:trPr>
          <w:trHeight w:val="162"/>
        </w:trPr>
        <w:tc>
          <w:tcPr>
            <w:tcW w:w="800" w:type="dxa"/>
            <w:vAlign w:val="bottom"/>
          </w:tcPr>
          <w:p>
            <w:pPr>
              <w:spacing w:after="0"/>
              <w:rPr>
                <w:sz w:val="14"/>
                <w:szCs w:val="14"/>
                <w:color w:val="auto"/>
              </w:rPr>
            </w:pPr>
          </w:p>
        </w:tc>
        <w:tc>
          <w:tcPr>
            <w:tcW w:w="4600" w:type="dxa"/>
            <w:vAlign w:val="bottom"/>
            <w:gridSpan w:val="28"/>
          </w:tcPr>
          <w:p>
            <w:pPr>
              <w:spacing w:after="0"/>
              <w:rPr>
                <w:sz w:val="20"/>
                <w:szCs w:val="20"/>
                <w:color w:val="auto"/>
              </w:rPr>
            </w:pPr>
            <w:r>
              <w:rPr>
                <w:rFonts w:ascii="Arial" w:cs="Arial" w:eastAsia="Arial" w:hAnsi="Arial"/>
                <w:sz w:val="14"/>
                <w:szCs w:val="14"/>
                <w:color w:val="auto"/>
                <w:w w:val="98"/>
              </w:rPr>
              <w:t>Interactive Data File because its XBRL tags are embedded within the Inline</w:t>
            </w:r>
          </w:p>
        </w:tc>
      </w:tr>
      <w:tr>
        <w:trPr>
          <w:trHeight w:val="182"/>
        </w:trPr>
        <w:tc>
          <w:tcPr>
            <w:tcW w:w="800" w:type="dxa"/>
            <w:vAlign w:val="bottom"/>
          </w:tcPr>
          <w:p>
            <w:pPr>
              <w:spacing w:after="0"/>
              <w:rPr>
                <w:sz w:val="15"/>
                <w:szCs w:val="15"/>
                <w:color w:val="auto"/>
              </w:rPr>
            </w:pPr>
          </w:p>
        </w:tc>
        <w:tc>
          <w:tcPr>
            <w:tcW w:w="4600" w:type="dxa"/>
            <w:vAlign w:val="bottom"/>
            <w:gridSpan w:val="28"/>
          </w:tcPr>
          <w:p>
            <w:pPr>
              <w:spacing w:after="0"/>
              <w:rPr>
                <w:sz w:val="20"/>
                <w:szCs w:val="20"/>
                <w:color w:val="auto"/>
              </w:rPr>
            </w:pPr>
            <w:r>
              <w:rPr>
                <w:rFonts w:ascii="Arial" w:cs="Arial" w:eastAsia="Arial" w:hAnsi="Arial"/>
                <w:sz w:val="14"/>
                <w:szCs w:val="14"/>
                <w:color w:val="auto"/>
              </w:rPr>
              <w:t>XBRL document</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4"/>
              </w:rPr>
              <w:t>101.SCH</w:t>
            </w:r>
          </w:p>
        </w:tc>
        <w:tc>
          <w:tcPr>
            <w:tcW w:w="4600" w:type="dxa"/>
            <w:vAlign w:val="bottom"/>
            <w:gridSpan w:val="28"/>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w w:val="99"/>
              </w:rPr>
              <w:t>101.CAL</w:t>
            </w:r>
          </w:p>
        </w:tc>
        <w:tc>
          <w:tcPr>
            <w:tcW w:w="4600" w:type="dxa"/>
            <w:vAlign w:val="bottom"/>
            <w:gridSpan w:val="28"/>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16"/>
        </w:trPr>
        <w:tc>
          <w:tcPr>
            <w:tcW w:w="800" w:type="dxa"/>
            <w:vAlign w:val="bottom"/>
          </w:tcPr>
          <w:p>
            <w:pPr>
              <w:jc w:val="center"/>
              <w:ind w:right="208"/>
              <w:spacing w:after="0"/>
              <w:rPr>
                <w:sz w:val="20"/>
                <w:szCs w:val="20"/>
                <w:color w:val="auto"/>
              </w:rPr>
            </w:pPr>
            <w:r>
              <w:rPr>
                <w:rFonts w:ascii="Arial" w:cs="Arial" w:eastAsia="Arial" w:hAnsi="Arial"/>
                <w:sz w:val="14"/>
                <w:szCs w:val="14"/>
                <w:color w:val="auto"/>
                <w:w w:val="94"/>
              </w:rPr>
              <w:t>101.DEF</w:t>
            </w:r>
          </w:p>
        </w:tc>
        <w:tc>
          <w:tcPr>
            <w:tcW w:w="4600" w:type="dxa"/>
            <w:vAlign w:val="bottom"/>
            <w:gridSpan w:val="28"/>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16"/>
        </w:trPr>
        <w:tc>
          <w:tcPr>
            <w:tcW w:w="800" w:type="dxa"/>
            <w:vAlign w:val="bottom"/>
          </w:tcPr>
          <w:p>
            <w:pPr>
              <w:jc w:val="center"/>
              <w:ind w:right="188"/>
              <w:spacing w:after="0"/>
              <w:rPr>
                <w:sz w:val="20"/>
                <w:szCs w:val="20"/>
                <w:color w:val="auto"/>
              </w:rPr>
            </w:pPr>
            <w:r>
              <w:rPr>
                <w:rFonts w:ascii="Arial" w:cs="Arial" w:eastAsia="Arial" w:hAnsi="Arial"/>
                <w:sz w:val="14"/>
                <w:szCs w:val="14"/>
                <w:color w:val="auto"/>
              </w:rPr>
              <w:t>101.LAB</w:t>
            </w:r>
          </w:p>
        </w:tc>
        <w:tc>
          <w:tcPr>
            <w:tcW w:w="4600" w:type="dxa"/>
            <w:vAlign w:val="bottom"/>
            <w:gridSpan w:val="28"/>
          </w:tcPr>
          <w:p>
            <w:pPr>
              <w:spacing w:after="0"/>
              <w:rPr>
                <w:sz w:val="20"/>
                <w:szCs w:val="20"/>
                <w:color w:val="auto"/>
              </w:rPr>
            </w:pPr>
            <w:r>
              <w:rPr>
                <w:rFonts w:ascii="Arial" w:cs="Arial" w:eastAsia="Arial" w:hAnsi="Arial"/>
                <w:sz w:val="14"/>
                <w:szCs w:val="14"/>
                <w:color w:val="auto"/>
              </w:rPr>
              <w:t>Inline XBRL Taxonomy Extension Label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auto"/>
        </w:rPr>
        <w:t>Incorporated by Reference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46"/>
        </w:trPr>
        <w:tc>
          <w:tcPr>
            <w:tcW w:w="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00" w:type="dxa"/>
            <w:vAlign w:val="bottom"/>
            <w:gridSpan w:val="2"/>
          </w:tcPr>
          <w:p>
            <w:pPr>
              <w:jc w:val="center"/>
              <w:ind w:left="248"/>
              <w:spacing w:after="0" w:line="147" w:lineRule="exact"/>
              <w:rPr>
                <w:sz w:val="20"/>
                <w:szCs w:val="20"/>
                <w:color w:val="auto"/>
              </w:rPr>
            </w:pPr>
            <w:r>
              <w:rPr>
                <w:rFonts w:ascii="Arial" w:cs="Arial" w:eastAsia="Arial" w:hAnsi="Arial"/>
                <w:sz w:val="14"/>
                <w:szCs w:val="14"/>
                <w:b w:val="1"/>
                <w:bCs w:val="1"/>
                <w:color w:val="auto"/>
                <w:w w:val="91"/>
              </w:rPr>
              <w:t>Filed</w:t>
            </w:r>
          </w:p>
        </w:tc>
      </w:tr>
      <w:tr>
        <w:trPr>
          <w:trHeight w:val="186"/>
        </w:trPr>
        <w:tc>
          <w:tcPr>
            <w:tcW w:w="7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Form</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ind w:left="540"/>
              <w:spacing w:after="0"/>
              <w:rPr>
                <w:sz w:val="20"/>
                <w:szCs w:val="20"/>
                <w:color w:val="auto"/>
              </w:rPr>
            </w:pPr>
            <w:r>
              <w:rPr>
                <w:rFonts w:ascii="Arial" w:cs="Arial" w:eastAsia="Arial" w:hAnsi="Arial"/>
                <w:sz w:val="14"/>
                <w:szCs w:val="14"/>
                <w:b w:val="1"/>
                <w:bCs w:val="1"/>
                <w:color w:val="auto"/>
              </w:rPr>
              <w:t>Filing Date</w:t>
            </w:r>
          </w:p>
        </w:tc>
        <w:tc>
          <w:tcPr>
            <w:tcW w:w="9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8"/>
              </w:rPr>
              <w:t>Herewith</w:t>
            </w:r>
          </w:p>
        </w:tc>
      </w:tr>
      <w:tr>
        <w:trPr>
          <w:trHeight w:val="229"/>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3.1</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0"/>
              </w:rPr>
              <w:t>January 15, 2021</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89"/>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3.2</w:t>
            </w:r>
          </w:p>
        </w:tc>
        <w:tc>
          <w:tcPr>
            <w:tcW w:w="1660" w:type="dxa"/>
            <w:vAlign w:val="bottom"/>
          </w:tcPr>
          <w:p>
            <w:pPr>
              <w:jc w:val="center"/>
              <w:ind w:right="28"/>
              <w:spacing w:after="0"/>
              <w:rPr>
                <w:sz w:val="20"/>
                <w:szCs w:val="20"/>
                <w:color w:val="auto"/>
              </w:rPr>
            </w:pPr>
            <w:r>
              <w:rPr>
                <w:rFonts w:ascii="Arial" w:cs="Arial" w:eastAsia="Arial" w:hAnsi="Arial"/>
                <w:sz w:val="14"/>
                <w:szCs w:val="14"/>
                <w:color w:val="auto"/>
                <w:w w:val="90"/>
              </w:rPr>
              <w:t>September 8, 2021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6"/>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4.1</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November 10, 2021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540"/>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4.2</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November 10, 2021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40"/>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4.1</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November 23, 2021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w w:val="92"/>
              </w:rPr>
              <w:t>4.2</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November 23, 2021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w w:val="87"/>
              </w:rPr>
              <w:t>10.1</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November 10, 2021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540"/>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w w:val="87"/>
              </w:rPr>
              <w:t>10.2</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November 10, 2021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74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920" w:type="dxa"/>
            <w:vAlign w:val="bottom"/>
          </w:tcPr>
          <w:p>
            <w:pPr>
              <w:jc w:val="center"/>
              <w:ind w:left="8"/>
              <w:spacing w:after="0"/>
              <w:rPr>
                <w:sz w:val="20"/>
                <w:szCs w:val="20"/>
                <w:color w:val="auto"/>
              </w:rPr>
            </w:pPr>
            <w:r>
              <w:rPr>
                <w:rFonts w:ascii="Arial" w:cs="Arial" w:eastAsia="Arial" w:hAnsi="Arial"/>
                <w:sz w:val="14"/>
                <w:szCs w:val="14"/>
                <w:color w:val="auto"/>
                <w:w w:val="87"/>
              </w:rPr>
              <w:t>10.1</w:t>
            </w:r>
          </w:p>
        </w:tc>
        <w:tc>
          <w:tcPr>
            <w:tcW w:w="1660" w:type="dxa"/>
            <w:vAlign w:val="bottom"/>
          </w:tcPr>
          <w:p>
            <w:pPr>
              <w:jc w:val="center"/>
              <w:ind w:right="48"/>
              <w:spacing w:after="0"/>
              <w:rPr>
                <w:sz w:val="20"/>
                <w:szCs w:val="20"/>
                <w:color w:val="auto"/>
              </w:rPr>
            </w:pPr>
            <w:r>
              <w:rPr>
                <w:rFonts w:ascii="Arial" w:cs="Arial" w:eastAsia="Arial" w:hAnsi="Arial"/>
                <w:sz w:val="14"/>
                <w:szCs w:val="14"/>
                <w:color w:val="auto"/>
                <w:w w:val="92"/>
              </w:rPr>
              <w:t>February 10, 2022</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371"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379"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X</w:t>
      </w:r>
    </w:p>
    <w:p>
      <w:pPr>
        <w:spacing w:after="0" w:line="221" w:lineRule="exact"/>
        <w:rPr>
          <w:sz w:val="20"/>
          <w:szCs w:val="20"/>
          <w:color w:val="auto"/>
        </w:rPr>
      </w:pPr>
    </w:p>
    <w:p>
      <w:pPr>
        <w:sectPr>
          <w:pgSz w:w="11900" w:h="16838" w:orient="portrait"/>
          <w:cols w:equalWidth="0" w:num="2">
            <w:col w:w="5540" w:space="140"/>
            <w:col w:w="5380"/>
          </w:cols>
          <w:pgMar w:left="32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101.PRE</w:t>
            </w:r>
          </w:p>
        </w:tc>
        <w:tc>
          <w:tcPr>
            <w:tcW w:w="7240" w:type="dxa"/>
            <w:vAlign w:val="bottom"/>
          </w:tcPr>
          <w:p>
            <w:pPr>
              <w:ind w:left="140"/>
              <w:spacing w:after="0"/>
              <w:rPr>
                <w:sz w:val="20"/>
                <w:szCs w:val="20"/>
                <w:color w:val="auto"/>
              </w:rPr>
            </w:pPr>
            <w:r>
              <w:rPr>
                <w:rFonts w:ascii="Arial" w:cs="Arial" w:eastAsia="Arial" w:hAnsi="Arial"/>
                <w:sz w:val="14"/>
                <w:szCs w:val="14"/>
                <w:color w:val="auto"/>
              </w:rPr>
              <w:t>Inline XBRL Taxonomy Extension Presentation Linkbase Document</w:t>
            </w:r>
          </w:p>
        </w:tc>
        <w:tc>
          <w:tcPr>
            <w:tcW w:w="2740" w:type="dxa"/>
            <w:vAlign w:val="bottom"/>
          </w:tcPr>
          <w:p>
            <w:pPr>
              <w:ind w:left="2640"/>
              <w:spacing w:after="0"/>
              <w:rPr>
                <w:sz w:val="20"/>
                <w:szCs w:val="20"/>
                <w:color w:val="auto"/>
              </w:rPr>
            </w:pPr>
            <w:r>
              <w:rPr>
                <w:rFonts w:ascii="Arial" w:cs="Arial" w:eastAsia="Arial" w:hAnsi="Arial"/>
                <w:sz w:val="14"/>
                <w:szCs w:val="14"/>
                <w:color w:val="auto"/>
                <w:w w:val="85"/>
              </w:rPr>
              <w:t>X</w:t>
            </w:r>
          </w:p>
        </w:tc>
      </w:tr>
      <w:tr>
        <w:trPr>
          <w:trHeight w:val="196"/>
        </w:trPr>
        <w:tc>
          <w:tcPr>
            <w:tcW w:w="660" w:type="dxa"/>
            <w:vAlign w:val="bottom"/>
          </w:tcPr>
          <w:p>
            <w:pPr>
              <w:jc w:val="right"/>
              <w:ind w:right="228"/>
              <w:spacing w:after="0"/>
              <w:rPr>
                <w:sz w:val="20"/>
                <w:szCs w:val="20"/>
                <w:color w:val="auto"/>
              </w:rPr>
            </w:pPr>
            <w:r>
              <w:rPr>
                <w:rFonts w:ascii="Arial" w:cs="Arial" w:eastAsia="Arial" w:hAnsi="Arial"/>
                <w:sz w:val="14"/>
                <w:szCs w:val="14"/>
                <w:color w:val="auto"/>
              </w:rPr>
              <w:t>104</w:t>
            </w:r>
          </w:p>
        </w:tc>
        <w:tc>
          <w:tcPr>
            <w:tcW w:w="7240" w:type="dxa"/>
            <w:vAlign w:val="bottom"/>
          </w:tcPr>
          <w:p>
            <w:pPr>
              <w:ind w:left="140"/>
              <w:spacing w:after="0"/>
              <w:rPr>
                <w:sz w:val="20"/>
                <w:szCs w:val="20"/>
                <w:color w:val="auto"/>
              </w:rPr>
            </w:pPr>
            <w:r>
              <w:rPr>
                <w:rFonts w:ascii="Arial" w:cs="Arial" w:eastAsia="Arial" w:hAnsi="Arial"/>
                <w:sz w:val="14"/>
                <w:szCs w:val="14"/>
                <w:color w:val="auto"/>
              </w:rPr>
              <w:t>Cover Page Interactive Data File (formatted as inline XBRL and contained in</w:t>
            </w:r>
          </w:p>
        </w:tc>
        <w:tc>
          <w:tcPr>
            <w:tcW w:w="2740" w:type="dxa"/>
            <w:vAlign w:val="bottom"/>
          </w:tcPr>
          <w:p>
            <w:pPr>
              <w:ind w:left="2640"/>
              <w:spacing w:after="0"/>
              <w:rPr>
                <w:sz w:val="20"/>
                <w:szCs w:val="20"/>
                <w:color w:val="auto"/>
              </w:rPr>
            </w:pPr>
            <w:r>
              <w:rPr>
                <w:rFonts w:ascii="Arial" w:cs="Arial" w:eastAsia="Arial" w:hAnsi="Arial"/>
                <w:sz w:val="14"/>
                <w:szCs w:val="14"/>
                <w:color w:val="auto"/>
                <w:w w:val="85"/>
              </w:rPr>
              <w:t>X</w:t>
            </w:r>
          </w:p>
        </w:tc>
      </w:tr>
      <w:tr>
        <w:trPr>
          <w:trHeight w:val="182"/>
        </w:trPr>
        <w:tc>
          <w:tcPr>
            <w:tcW w:w="660" w:type="dxa"/>
            <w:vAlign w:val="bottom"/>
          </w:tcPr>
          <w:p>
            <w:pPr>
              <w:spacing w:after="0"/>
              <w:rPr>
                <w:sz w:val="15"/>
                <w:szCs w:val="15"/>
                <w:color w:val="auto"/>
              </w:rPr>
            </w:pPr>
          </w:p>
        </w:tc>
        <w:tc>
          <w:tcPr>
            <w:tcW w:w="7240" w:type="dxa"/>
            <w:vAlign w:val="bottom"/>
          </w:tcPr>
          <w:p>
            <w:pPr>
              <w:ind w:left="140"/>
              <w:spacing w:after="0"/>
              <w:rPr>
                <w:sz w:val="20"/>
                <w:szCs w:val="20"/>
                <w:color w:val="auto"/>
              </w:rPr>
            </w:pPr>
            <w:r>
              <w:rPr>
                <w:rFonts w:ascii="Arial" w:cs="Arial" w:eastAsia="Arial" w:hAnsi="Arial"/>
                <w:sz w:val="14"/>
                <w:szCs w:val="14"/>
                <w:color w:val="auto"/>
              </w:rPr>
              <w:t>Exhibit 101)</w:t>
            </w:r>
          </w:p>
        </w:tc>
        <w:tc>
          <w:tcPr>
            <w:tcW w:w="27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5" w:right="7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320" w:type="dxa"/>
            <w:vAlign w:val="bottom"/>
            <w:gridSpan w:val="2"/>
          </w:tcPr>
          <w:p>
            <w:pPr>
              <w:ind w:left="1320"/>
              <w:spacing w:after="0"/>
              <w:rPr>
                <w:sz w:val="20"/>
                <w:szCs w:val="20"/>
                <w:color w:val="auto"/>
              </w:rPr>
            </w:pPr>
            <w:r>
              <w:rPr>
                <w:rFonts w:ascii="Arial" w:cs="Arial" w:eastAsia="Arial" w:hAnsi="Arial"/>
                <w:sz w:val="18"/>
                <w:szCs w:val="18"/>
                <w:b w:val="1"/>
                <w:bCs w:val="1"/>
                <w:color w:val="auto"/>
              </w:rPr>
              <w:t>AFFIRM HOLDINGS, INC.</w:t>
            </w:r>
          </w:p>
        </w:tc>
      </w:tr>
      <w:tr>
        <w:trPr>
          <w:trHeight w:val="540"/>
        </w:trPr>
        <w:tc>
          <w:tcPr>
            <w:tcW w:w="3080" w:type="dxa"/>
            <w:vAlign w:val="bottom"/>
          </w:tcPr>
          <w:p>
            <w:pPr>
              <w:spacing w:after="0"/>
              <w:rPr>
                <w:sz w:val="20"/>
                <w:szCs w:val="20"/>
                <w:color w:val="auto"/>
              </w:rPr>
            </w:pPr>
            <w:r>
              <w:rPr>
                <w:rFonts w:ascii="Arial" w:cs="Arial" w:eastAsia="Arial" w:hAnsi="Arial"/>
                <w:sz w:val="18"/>
                <w:szCs w:val="18"/>
                <w:color w:val="auto"/>
              </w:rPr>
              <w:t>Date: February 14, 2022</w:t>
            </w:r>
          </w:p>
        </w:tc>
        <w:tc>
          <w:tcPr>
            <w:tcW w:w="1920" w:type="dxa"/>
            <w:vAlign w:val="bottom"/>
          </w:tcPr>
          <w:p>
            <w:pPr>
              <w:ind w:left="132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Max Levchin</w:t>
            </w:r>
          </w:p>
        </w:tc>
      </w:tr>
      <w:tr>
        <w:trPr>
          <w:trHeight w:val="250"/>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Max Levchin</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3080" w:type="dxa"/>
            <w:vAlign w:val="bottom"/>
          </w:tcPr>
          <w:p>
            <w:pPr>
              <w:spacing w:after="0"/>
              <w:rPr>
                <w:sz w:val="24"/>
                <w:szCs w:val="24"/>
                <w:color w:val="auto"/>
              </w:rPr>
            </w:pPr>
          </w:p>
        </w:tc>
        <w:tc>
          <w:tcPr>
            <w:tcW w:w="1920" w:type="dxa"/>
            <w:vAlign w:val="bottom"/>
          </w:tcPr>
          <w:p>
            <w:pPr>
              <w:ind w:left="132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Linford</w:t>
            </w:r>
          </w:p>
        </w:tc>
      </w:tr>
      <w:tr>
        <w:trPr>
          <w:trHeight w:val="250"/>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Michael Linford</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125" w:right="439" w:bottom="1440" w:gutter="0" w:footer="0" w:header="0"/>
        </w:sectPr>
      </w:pPr>
    </w:p>
    <w:bookmarkStart w:id="95" w:name="page96"/>
    <w:bookmarkEnd w:id="95"/>
    <w:p>
      <w:pPr>
        <w:ind w:left="4300"/>
        <w:spacing w:after="0"/>
        <w:rPr>
          <w:sz w:val="20"/>
          <w:szCs w:val="20"/>
          <w:color w:val="auto"/>
        </w:rPr>
      </w:pPr>
      <w:r>
        <w:rPr>
          <w:rFonts w:ascii="Arial" w:cs="Arial" w:eastAsia="Arial" w:hAnsi="Arial"/>
          <w:sz w:val="22"/>
          <w:szCs w:val="22"/>
          <w:b w:val="1"/>
          <w:bCs w:val="1"/>
          <w:color w:val="auto"/>
        </w:rPr>
        <w:t>AFFIRM HOLDINGS, INC.</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AMENDED AND RESTATED 2012 STOCK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GLOBAL STOCK OPTION AWARD AGREEMENT</w:t>
      </w:r>
    </w:p>
    <w:p>
      <w:pPr>
        <w:spacing w:after="0" w:line="17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Pursuant to your Global Notice of Stock Option Grant (the “</w:t>
      </w:r>
      <w:r>
        <w:rPr>
          <w:rFonts w:ascii="Arial" w:cs="Arial" w:eastAsia="Arial" w:hAnsi="Arial"/>
          <w:sz w:val="22"/>
          <w:szCs w:val="22"/>
          <w:b w:val="1"/>
          <w:bCs w:val="1"/>
          <w:color w:val="auto"/>
        </w:rPr>
        <w:t>Grant Notice</w:t>
      </w:r>
      <w:r>
        <w:rPr>
          <w:rFonts w:ascii="Arial" w:cs="Arial" w:eastAsia="Arial" w:hAnsi="Arial"/>
          <w:sz w:val="22"/>
          <w:szCs w:val="22"/>
          <w:color w:val="auto"/>
        </w:rPr>
        <w:t>”) and this Global Stock Option Award Agreement, including the additional terms and conditions for certain countries, as set forth in the addendum attached hereto (the “</w:t>
      </w:r>
      <w:r>
        <w:rPr>
          <w:rFonts w:ascii="Arial" w:cs="Arial" w:eastAsia="Arial" w:hAnsi="Arial"/>
          <w:sz w:val="22"/>
          <w:szCs w:val="22"/>
          <w:b w:val="1"/>
          <w:bCs w:val="1"/>
          <w:color w:val="auto"/>
        </w:rPr>
        <w:t>Addendum</w:t>
      </w:r>
      <w:r>
        <w:rPr>
          <w:rFonts w:ascii="Arial" w:cs="Arial" w:eastAsia="Arial" w:hAnsi="Arial"/>
          <w:sz w:val="22"/>
          <w:szCs w:val="22"/>
          <w:color w:val="auto"/>
        </w:rPr>
        <w:t>” and, together, this “</w:t>
      </w:r>
      <w:r>
        <w:rPr>
          <w:rFonts w:ascii="Arial" w:cs="Arial" w:eastAsia="Arial" w:hAnsi="Arial"/>
          <w:sz w:val="22"/>
          <w:szCs w:val="22"/>
          <w:b w:val="1"/>
          <w:bCs w:val="1"/>
          <w:color w:val="auto"/>
        </w:rPr>
        <w:t>Stock Option Agreement</w:t>
      </w:r>
      <w:r>
        <w:rPr>
          <w:rFonts w:ascii="Arial" w:cs="Arial" w:eastAsia="Arial" w:hAnsi="Arial"/>
          <w:sz w:val="22"/>
          <w:szCs w:val="22"/>
          <w:color w:val="auto"/>
        </w:rPr>
        <w:t>”), Affirm Holdings,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has granted you (the “</w:t>
      </w:r>
      <w:r>
        <w:rPr>
          <w:rFonts w:ascii="Arial" w:cs="Arial" w:eastAsia="Arial" w:hAnsi="Arial"/>
          <w:sz w:val="22"/>
          <w:szCs w:val="22"/>
          <w:b w:val="1"/>
          <w:bCs w:val="1"/>
          <w:color w:val="auto"/>
        </w:rPr>
        <w:t>Grantee</w:t>
      </w:r>
      <w:r>
        <w:rPr>
          <w:rFonts w:ascii="Arial" w:cs="Arial" w:eastAsia="Arial" w:hAnsi="Arial"/>
          <w:sz w:val="22"/>
          <w:szCs w:val="22"/>
          <w:color w:val="auto"/>
        </w:rPr>
        <w:t>”) as of the Date of Grant set forth in the Grant Notice, an option to purchase the number of Shares set forth in your Grant Notice (the “</w:t>
      </w:r>
      <w:r>
        <w:rPr>
          <w:rFonts w:ascii="Arial" w:cs="Arial" w:eastAsia="Arial" w:hAnsi="Arial"/>
          <w:sz w:val="22"/>
          <w:szCs w:val="22"/>
          <w:b w:val="1"/>
          <w:bCs w:val="1"/>
          <w:color w:val="auto"/>
        </w:rPr>
        <w:t>Option</w:t>
      </w:r>
      <w:r>
        <w:rPr>
          <w:rFonts w:ascii="Arial" w:cs="Arial" w:eastAsia="Arial" w:hAnsi="Arial"/>
          <w:sz w:val="22"/>
          <w:szCs w:val="22"/>
          <w:color w:val="auto"/>
        </w:rPr>
        <w:t>”) pursuant to the Company’s Amended and Restated 2012 Stock Plan and any applicable sub-plan for a particular country (together, the “</w:t>
      </w:r>
      <w:r>
        <w:rPr>
          <w:rFonts w:ascii="Arial" w:cs="Arial" w:eastAsia="Arial" w:hAnsi="Arial"/>
          <w:sz w:val="22"/>
          <w:szCs w:val="22"/>
          <w:b w:val="1"/>
          <w:bCs w:val="1"/>
          <w:color w:val="auto"/>
        </w:rPr>
        <w:t>Plan</w:t>
      </w:r>
      <w:r>
        <w:rPr>
          <w:rFonts w:ascii="Arial" w:cs="Arial" w:eastAsia="Arial" w:hAnsi="Arial"/>
          <w:sz w:val="22"/>
          <w:szCs w:val="22"/>
          <w:color w:val="auto"/>
        </w:rPr>
        <w:t>”). Capitalized terms not explicitly defined in this Stock Option Agreement but defined in the Plan or in the Grant Notice shall have the meaning ascribed to them in the Plan or in the Grant Notice. In the event of any conflict between the terms of this Stock Option Agreement and the Plan, the terms of the Plan will control.</w:t>
      </w:r>
    </w:p>
    <w:p>
      <w:pPr>
        <w:spacing w:after="0" w:line="158" w:lineRule="exact"/>
        <w:rPr>
          <w:sz w:val="20"/>
          <w:szCs w:val="20"/>
          <w:color w:val="auto"/>
        </w:rPr>
      </w:pPr>
    </w:p>
    <w:p>
      <w:pPr>
        <w:jc w:val="both"/>
        <w:ind w:firstLine="656"/>
        <w:spacing w:after="0" w:line="220"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Option</w:t>
      </w:r>
      <w:r>
        <w:rPr>
          <w:rFonts w:ascii="Arial" w:cs="Arial" w:eastAsia="Arial" w:hAnsi="Arial"/>
          <w:sz w:val="22"/>
          <w:szCs w:val="22"/>
          <w:color w:val="auto"/>
        </w:rPr>
        <w:t>. Effective as of the Date of Grant set forth in the Grant Notice, the Company irrevocably grants</w:t>
      </w:r>
      <w:r>
        <w:rPr>
          <w:rFonts w:ascii="Arial" w:cs="Arial" w:eastAsia="Arial" w:hAnsi="Arial"/>
          <w:sz w:val="22"/>
          <w:szCs w:val="22"/>
          <w:b w:val="1"/>
          <w:bCs w:val="1"/>
          <w:color w:val="auto"/>
        </w:rPr>
        <w:t xml:space="preserve"> </w:t>
      </w:r>
      <w:r>
        <w:rPr>
          <w:rFonts w:ascii="Arial" w:cs="Arial" w:eastAsia="Arial" w:hAnsi="Arial"/>
          <w:sz w:val="22"/>
          <w:szCs w:val="22"/>
          <w:color w:val="auto"/>
        </w:rPr>
        <w:t>to Grantee the Option to purchase any part or all of an aggregate of the number of Shares set forth in the Grant Notice, upon the terms and conditions set forth in the Plan and this Stock Option Agreement, subject to adjustments as provided in Section 14 of the Plan.</w:t>
      </w:r>
    </w:p>
    <w:p>
      <w:pPr>
        <w:spacing w:after="0" w:line="152"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21"/>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Price</w:t>
      </w:r>
      <w:r>
        <w:rPr>
          <w:rFonts w:ascii="Arial" w:cs="Arial" w:eastAsia="Arial" w:hAnsi="Arial"/>
          <w:sz w:val="19"/>
          <w:szCs w:val="19"/>
          <w:color w:val="auto"/>
        </w:rPr>
        <w:t>. The exercise price of the Shares subject to the Option shall be as set forth in the Grant Notice,</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commission or other charge; provided, however, that the price per share of the Shares subject to the Option shall not be less than 100% of the Fair Market Value of a Share on the Date of Grant. Notwithstanding the foregoing, if the Option is designated as an Incentive Stock Option and Grantee is a Ten Percent Holder as of the Date of Grant, the exercise price per share of the Shares subject to the Option shall not be less than 110% of the Fair Market Value of a Share on the Date of Grant.</w:t>
      </w:r>
    </w:p>
    <w:p>
      <w:pPr>
        <w:spacing w:after="0" w:line="139"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20" w:firstLine="980"/>
        <w:spacing w:after="0" w:line="232" w:lineRule="auto"/>
        <w:tabs>
          <w:tab w:leader="none" w:pos="1293" w:val="left"/>
        </w:tabs>
        <w:numPr>
          <w:ilvl w:val="1"/>
          <w:numId w:val="21"/>
        </w:numPr>
        <w:rPr>
          <w:rFonts w:ascii="Arial" w:cs="Arial" w:eastAsia="Arial" w:hAnsi="Arial"/>
          <w:sz w:val="22"/>
          <w:szCs w:val="22"/>
          <w:color w:val="auto"/>
        </w:rPr>
      </w:pPr>
      <w:r>
        <w:rPr>
          <w:rFonts w:ascii="Arial" w:cs="Arial" w:eastAsia="Arial" w:hAnsi="Arial"/>
          <w:sz w:val="22"/>
          <w:szCs w:val="22"/>
          <w:color w:val="auto"/>
        </w:rPr>
        <w:t>Subject to Section 4 below, the Option shall become vested and exercisable in such amounts and at such times as are set forth in the Grant Notice.</w:t>
      </w:r>
    </w:p>
    <w:p>
      <w:pPr>
        <w:spacing w:after="0" w:line="158" w:lineRule="exact"/>
        <w:rPr>
          <w:rFonts w:ascii="Arial" w:cs="Arial" w:eastAsia="Arial" w:hAnsi="Arial"/>
          <w:sz w:val="22"/>
          <w:szCs w:val="22"/>
          <w:color w:val="auto"/>
        </w:rPr>
      </w:pPr>
    </w:p>
    <w:p>
      <w:pPr>
        <w:jc w:val="both"/>
        <w:ind w:firstLine="980"/>
        <w:spacing w:after="0" w:line="223" w:lineRule="auto"/>
        <w:tabs>
          <w:tab w:leader="none" w:pos="1291" w:val="left"/>
        </w:tabs>
        <w:numPr>
          <w:ilvl w:val="1"/>
          <w:numId w:val="21"/>
        </w:numPr>
        <w:rPr>
          <w:rFonts w:ascii="Arial" w:cs="Arial" w:eastAsia="Arial" w:hAnsi="Arial"/>
          <w:sz w:val="22"/>
          <w:szCs w:val="22"/>
          <w:color w:val="auto"/>
        </w:rPr>
      </w:pPr>
      <w:r>
        <w:rPr>
          <w:rFonts w:ascii="Arial" w:cs="Arial" w:eastAsia="Arial" w:hAnsi="Arial"/>
          <w:sz w:val="22"/>
          <w:szCs w:val="22"/>
          <w:color w:val="auto"/>
        </w:rPr>
        <w:t>No portion of the Option that has not become vested and exercisable on the date on which Grantee’s Continuous Service Status ends shall thereafter become vested and exercisable, except as may be otherwise provided by the Administrator or as set forth in a written agreement between the Company and Grantee.</w:t>
      </w:r>
    </w:p>
    <w:p>
      <w:pPr>
        <w:spacing w:after="0" w:line="158" w:lineRule="exact"/>
        <w:rPr>
          <w:rFonts w:ascii="Arial" w:cs="Arial" w:eastAsia="Arial" w:hAnsi="Arial"/>
          <w:sz w:val="22"/>
          <w:szCs w:val="22"/>
          <w:color w:val="auto"/>
        </w:rPr>
      </w:pPr>
    </w:p>
    <w:p>
      <w:pPr>
        <w:ind w:firstLine="980"/>
        <w:spacing w:after="0" w:line="232" w:lineRule="auto"/>
        <w:tabs>
          <w:tab w:leader="none" w:pos="1293" w:val="left"/>
        </w:tabs>
        <w:numPr>
          <w:ilvl w:val="1"/>
          <w:numId w:val="21"/>
        </w:numPr>
        <w:rPr>
          <w:rFonts w:ascii="Arial" w:cs="Arial" w:eastAsia="Arial" w:hAnsi="Arial"/>
          <w:sz w:val="22"/>
          <w:szCs w:val="22"/>
          <w:color w:val="auto"/>
        </w:rPr>
      </w:pPr>
      <w:r>
        <w:rPr>
          <w:rFonts w:ascii="Arial" w:cs="Arial" w:eastAsia="Arial" w:hAnsi="Arial"/>
          <w:sz w:val="22"/>
          <w:szCs w:val="22"/>
          <w:color w:val="auto"/>
        </w:rPr>
        <w:t>Notwithstanding Section 3(a) hereof and the Grant Notice, but subject to Section 3(b) hereof, in the event of a Corporate Transaction, the Option shall be treated pursuant to Section 14(c) and Section 15 of the Plan.</w:t>
      </w:r>
    </w:p>
    <w:p>
      <w:pPr>
        <w:spacing w:after="0" w:line="158" w:lineRule="exact"/>
        <w:rPr>
          <w:rFonts w:ascii="Arial" w:cs="Arial" w:eastAsia="Arial" w:hAnsi="Arial"/>
          <w:sz w:val="22"/>
          <w:szCs w:val="22"/>
          <w:color w:val="auto"/>
        </w:rPr>
      </w:pPr>
    </w:p>
    <w:p>
      <w:pPr>
        <w:jc w:val="both"/>
        <w:ind w:firstLine="980"/>
        <w:spacing w:after="0" w:line="249" w:lineRule="auto"/>
        <w:tabs>
          <w:tab w:leader="none" w:pos="1372" w:val="left"/>
        </w:tabs>
        <w:numPr>
          <w:ilvl w:val="1"/>
          <w:numId w:val="21"/>
        </w:numPr>
        <w:rPr>
          <w:rFonts w:ascii="Arial" w:cs="Arial" w:eastAsia="Arial" w:hAnsi="Arial"/>
          <w:sz w:val="19"/>
          <w:szCs w:val="19"/>
          <w:color w:val="auto"/>
        </w:rPr>
      </w:pPr>
      <w:r>
        <w:rPr>
          <w:rFonts w:ascii="Arial" w:cs="Arial" w:eastAsia="Arial" w:hAnsi="Arial"/>
          <w:sz w:val="19"/>
          <w:szCs w:val="19"/>
          <w:color w:val="auto"/>
        </w:rPr>
        <w:t>For purposes of the Option, Grantee’s Continuous Service Status will be considered terminated as of the date Grantee is no longer actively providing services to the Company or, if different, Grantee’s employer (the “</w:t>
      </w:r>
      <w:r>
        <w:rPr>
          <w:rFonts w:ascii="Arial" w:cs="Arial" w:eastAsia="Arial" w:hAnsi="Arial"/>
          <w:sz w:val="19"/>
          <w:szCs w:val="19"/>
          <w:b w:val="1"/>
          <w:bCs w:val="1"/>
          <w:color w:val="auto"/>
        </w:rPr>
        <w:t>Employer</w:t>
      </w:r>
      <w:r>
        <w:rPr>
          <w:rFonts w:ascii="Arial" w:cs="Arial" w:eastAsia="Arial" w:hAnsi="Arial"/>
          <w:sz w:val="19"/>
          <w:szCs w:val="19"/>
          <w:color w:val="auto"/>
        </w:rPr>
        <w:t>”) (regardless of the reason for such termination and whether or not later found to be invalid or in breach of employment laws in the jurisdiction where Grantee is a providing services or the terms of Grantee’s employment or service agreement, if any), and unless otherwise expressly provided in this Stock Option Agreement or determined by the Administrator, (i) Grantee’s right to vest in the Option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95" w:right="339" w:bottom="1440" w:gutter="0" w:footer="0" w:header="0"/>
        </w:sectPr>
      </w:pPr>
    </w:p>
    <w:bookmarkStart w:id="96" w:name="page97"/>
    <w:bookmarkEnd w:id="96"/>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Grantee’s period of service would not include any contractual notice period or any period of “garden leave” or similar period mandated under employment laws in the jurisdiction where Grantee is providing services or the terms of Grantee’s employment or service agreement, if any); and (ii) the period (if any) during which Grantee may exercise the Option after such termination of Grantee’s Continuous Service Status will commence on the date Grantee ceases to actively provide services and will not be extended by any notice period or the terms of Grantee’s employment or service agreement, if any; the Administrator shall have the exclusive discretion to determine when Grantee is no longer actively providing services for purposes of this Option grant (including whether Grantee may still be considered to be providing services while on a leave of absence).</w:t>
      </w:r>
    </w:p>
    <w:p>
      <w:pPr>
        <w:spacing w:after="0" w:line="148" w:lineRule="exact"/>
        <w:rPr>
          <w:sz w:val="20"/>
          <w:szCs w:val="20"/>
          <w:color w:val="auto"/>
        </w:rPr>
      </w:pPr>
    </w:p>
    <w:p>
      <w:pPr>
        <w:ind w:firstLine="656"/>
        <w:spacing w:after="0" w:line="235" w:lineRule="auto"/>
        <w:tabs>
          <w:tab w:leader="none" w:pos="1296"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Timing of Exercise</w:t>
      </w:r>
      <w:r>
        <w:rPr>
          <w:rFonts w:ascii="Arial" w:cs="Arial" w:eastAsia="Arial" w:hAnsi="Arial"/>
          <w:sz w:val="22"/>
          <w:szCs w:val="22"/>
          <w:color w:val="auto"/>
        </w:rPr>
        <w:t>. Except as otherwise provided herein, the term of the Option (the “</w:t>
      </w:r>
      <w:r>
        <w:rPr>
          <w:rFonts w:ascii="Arial" w:cs="Arial" w:eastAsia="Arial" w:hAnsi="Arial"/>
          <w:sz w:val="22"/>
          <w:szCs w:val="22"/>
          <w:b w:val="1"/>
          <w:bCs w:val="1"/>
          <w:color w:val="auto"/>
        </w:rPr>
        <w:t>Option Term</w:t>
      </w:r>
      <w:r>
        <w:rPr>
          <w:rFonts w:ascii="Arial" w:cs="Arial" w:eastAsia="Arial" w:hAnsi="Arial"/>
          <w:sz w:val="22"/>
          <w:szCs w:val="22"/>
          <w:color w:val="auto"/>
        </w:rPr>
        <w:t>”)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commence on the Date of Grant and terminate on the date of the first to occur of the following events:</w:t>
      </w:r>
    </w:p>
    <w:p>
      <w:pPr>
        <w:spacing w:after="0" w:line="158" w:lineRule="exact"/>
        <w:rPr>
          <w:rFonts w:ascii="Arial" w:cs="Arial" w:eastAsia="Arial" w:hAnsi="Arial"/>
          <w:sz w:val="22"/>
          <w:szCs w:val="22"/>
          <w:color w:val="auto"/>
        </w:rPr>
      </w:pPr>
    </w:p>
    <w:p>
      <w:pPr>
        <w:ind w:firstLine="1304"/>
        <w:spacing w:after="0" w:line="232" w:lineRule="auto"/>
        <w:tabs>
          <w:tab w:leader="none" w:pos="2002"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the Option is designated as an Incentive Stock Option and Grantee, at the time the Option was granted, was a Ten Percent Holder, the expiration of five (5) years from the Date of Grant;</w:t>
      </w:r>
    </w:p>
    <w:p>
      <w:pPr>
        <w:spacing w:after="0" w:line="151" w:lineRule="exact"/>
        <w:rPr>
          <w:rFonts w:ascii="Arial" w:cs="Arial" w:eastAsia="Arial" w:hAnsi="Arial"/>
          <w:sz w:val="22"/>
          <w:szCs w:val="22"/>
          <w:color w:val="auto"/>
        </w:rPr>
      </w:pPr>
    </w:p>
    <w:p>
      <w:pPr>
        <w:ind w:left="1940" w:hanging="636"/>
        <w:spacing w:after="0"/>
        <w:tabs>
          <w:tab w:leader="none" w:pos="194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tenth (10</w:t>
      </w:r>
      <w:r>
        <w:rPr>
          <w:rFonts w:ascii="Arial" w:cs="Arial" w:eastAsia="Arial" w:hAnsi="Arial"/>
          <w:sz w:val="28"/>
          <w:szCs w:val="28"/>
          <w:color w:val="auto"/>
          <w:vertAlign w:val="superscript"/>
        </w:rPr>
        <w:t>th</w:t>
      </w:r>
      <w:r>
        <w:rPr>
          <w:rFonts w:ascii="Arial" w:cs="Arial" w:eastAsia="Arial" w:hAnsi="Arial"/>
          <w:sz w:val="22"/>
          <w:szCs w:val="22"/>
          <w:color w:val="auto"/>
        </w:rPr>
        <w:t>) anniversary of the Date of Grant;</w:t>
      </w:r>
    </w:p>
    <w:p>
      <w:pPr>
        <w:spacing w:after="0" w:line="117" w:lineRule="exact"/>
        <w:rPr>
          <w:rFonts w:ascii="Arial" w:cs="Arial" w:eastAsia="Arial" w:hAnsi="Arial"/>
          <w:sz w:val="22"/>
          <w:szCs w:val="22"/>
          <w:color w:val="auto"/>
        </w:rPr>
      </w:pPr>
    </w:p>
    <w:p>
      <w:pPr>
        <w:jc w:val="both"/>
        <w:ind w:firstLine="1304"/>
        <w:spacing w:after="0" w:line="223"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2"/>
          <w:szCs w:val="22"/>
          <w:color w:val="auto"/>
        </w:rPr>
        <w:t>One (1) year following Grantee’s termination of Continuous Service Status with the Company and its Affiliates as a result of the termination of Grantee’s Continuous Service Status by the Company or any of its Affiliates on account of death or Disability;</w:t>
      </w:r>
    </w:p>
    <w:p>
      <w:pPr>
        <w:spacing w:after="0" w:line="158" w:lineRule="exact"/>
        <w:rPr>
          <w:rFonts w:ascii="Arial" w:cs="Arial" w:eastAsia="Arial" w:hAnsi="Arial"/>
          <w:sz w:val="22"/>
          <w:szCs w:val="22"/>
          <w:color w:val="auto"/>
        </w:rPr>
      </w:pPr>
    </w:p>
    <w:p>
      <w:pPr>
        <w:ind w:firstLine="1304"/>
        <w:spacing w:after="0" w:line="232"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Thirty (30) days following Grantee’s termination of Continuous Service Status as a result of the termination of Grantee’s Continuous Service Status by Grantee other than for Cause; and</w:t>
      </w:r>
    </w:p>
    <w:p>
      <w:pPr>
        <w:spacing w:after="0" w:line="158" w:lineRule="exact"/>
        <w:rPr>
          <w:rFonts w:ascii="Arial" w:cs="Arial" w:eastAsia="Arial" w:hAnsi="Arial"/>
          <w:sz w:val="22"/>
          <w:szCs w:val="22"/>
          <w:color w:val="auto"/>
        </w:rPr>
      </w:pPr>
    </w:p>
    <w:p>
      <w:pPr>
        <w:ind w:firstLine="1304"/>
        <w:spacing w:after="0" w:line="298" w:lineRule="auto"/>
        <w:tabs>
          <w:tab w:leader="none" w:pos="1941"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close of business on the last business day immediately prior to the date of Grantee’s termination of Continuous Service Status by the Company for Cause or for any reason other than those reasons set forth above.</w:t>
      </w:r>
    </w:p>
    <w:p>
      <w:pPr>
        <w:spacing w:after="0" w:line="105"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auto"/>
        </w:rPr>
        <w:t>The termination of Grantee’s Continuous Service Status for purposes of this Section 4 will be determined as set forth in Section 3(d). Upon the expiration of the Option Term, the Options and all unexercised rights granted to Grantee hereunder shall terminate and thereafter be null and void.</w:t>
      </w:r>
    </w:p>
    <w:p>
      <w:pPr>
        <w:spacing w:after="0" w:line="153" w:lineRule="exact"/>
        <w:rPr>
          <w:sz w:val="20"/>
          <w:szCs w:val="20"/>
          <w:color w:val="auto"/>
        </w:rPr>
      </w:pPr>
    </w:p>
    <w:p>
      <w:pPr>
        <w:jc w:val="both"/>
        <w:ind w:firstLine="656"/>
        <w:spacing w:after="0" w:line="248"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Method of Exercise</w:t>
      </w:r>
      <w:r>
        <w:rPr>
          <w:rFonts w:ascii="Arial" w:cs="Arial" w:eastAsia="Arial" w:hAnsi="Arial"/>
          <w:sz w:val="19"/>
          <w:szCs w:val="19"/>
          <w:color w:val="auto"/>
        </w:rPr>
        <w:t>. Grantee may exercise all or any portion of the Options, to the extent vested, by giving</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of exercise to the Company specifying the number of Shares to be purchased, accompanied by payment in full of the aggregate Exercise Price of the Shares so purchased in cash or its equivalent; provided that, with the consent of the Administrator, in accordance with Section 8(d) of the Plan, Grantee may satisfy the payment of the aggregate Exercise Price of such Shares pursuant to a Cashless Transaction or through electing to have the Company withhold from the number of Shares that would otherwise be issued upon exercise of the Option the largest whole number of Shares with a Fair Market Value equal to the applicable aggregate Exercise Price payable in respect of such exercise.</w:t>
      </w:r>
    </w:p>
    <w:p>
      <w:pPr>
        <w:spacing w:after="0" w:line="147"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23"/>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Rights to Continuation of Employment or Future Awards</w:t>
      </w:r>
      <w:r>
        <w:rPr>
          <w:rFonts w:ascii="Arial" w:cs="Arial" w:eastAsia="Arial" w:hAnsi="Arial"/>
          <w:sz w:val="22"/>
          <w:szCs w:val="22"/>
          <w:color w:val="auto"/>
        </w:rPr>
        <w:t>. Nothing in the Plan or this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confer upon Grantee any right to any future Award or to continue in the employ of the Company or any Affiliate thereof, or shall interfere with or restrict the right of the Company or its Affiliates to terminate Grantee’s employment any time for any reason whatsoever,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71" w:lineRule="exact"/>
        <w:rPr>
          <w:sz w:val="20"/>
          <w:szCs w:val="20"/>
          <w:color w:val="auto"/>
        </w:rPr>
      </w:pPr>
    </w:p>
    <w:p>
      <w:pPr>
        <w:ind w:firstLine="656"/>
        <w:spacing w:after="0" w:line="235"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Nontransferability of Option</w:t>
      </w:r>
      <w:r>
        <w:rPr>
          <w:rFonts w:ascii="Arial" w:cs="Arial" w:eastAsia="Arial" w:hAnsi="Arial"/>
          <w:sz w:val="22"/>
          <w:szCs w:val="22"/>
          <w:color w:val="auto"/>
        </w:rPr>
        <w:t>. Except as otherwise provided under Section 13 of the Plan, neither this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 Agreement nor any rights granted herein shall be transferable or assignable by Grantee.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b w:val="1"/>
          <w:bCs w:val="1"/>
          <w:u w:val="single" w:color="auto"/>
          <w:color w:val="auto"/>
        </w:rPr>
        <w:t>Responsibility for Taxes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42" w:lineRule="auto"/>
        <w:tabs>
          <w:tab w:leader="none" w:pos="1941" w:val="left"/>
        </w:tabs>
        <w:numPr>
          <w:ilvl w:val="1"/>
          <w:numId w:val="24"/>
        </w:numPr>
        <w:rPr>
          <w:rFonts w:ascii="Arial" w:cs="Arial" w:eastAsia="Arial" w:hAnsi="Arial"/>
          <w:sz w:val="19"/>
          <w:szCs w:val="19"/>
          <w:color w:val="auto"/>
        </w:rPr>
      </w:pPr>
      <w:r>
        <w:rPr>
          <w:rFonts w:ascii="Arial" w:cs="Arial" w:eastAsia="Arial" w:hAnsi="Arial"/>
          <w:sz w:val="19"/>
          <w:szCs w:val="19"/>
          <w:color w:val="auto"/>
        </w:rPr>
        <w:t>As a condition to the grant, vesting, and exercise of the Option, Grantee acknowledges that, regardless of any action taken by the Company or the Employer, the ultimate liability for all income tax, social security contributions (including employer’s social security contributions to the extent such amounts may be lawfully recovered from Grantee),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exercise of the Option, the issuance or subsequent sale of the Shares underlying to the Option, or the participation in the Plan (“</w:t>
      </w:r>
      <w:r>
        <w:rPr>
          <w:rFonts w:ascii="Arial" w:cs="Arial" w:eastAsia="Arial" w:hAnsi="Arial"/>
          <w:sz w:val="19"/>
          <w:szCs w:val="19"/>
          <w:b w:val="1"/>
          <w:bCs w:val="1"/>
          <w:color w:val="auto"/>
        </w:rPr>
        <w:t>Tax-Related Items</w:t>
      </w:r>
      <w:r>
        <w:rPr>
          <w:rFonts w:ascii="Arial" w:cs="Arial" w:eastAsia="Arial" w:hAnsi="Arial"/>
          <w:sz w:val="19"/>
          <w:szCs w:val="19"/>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Option or any Tax-Related Items (other than filings or documentation that is the specific obligation of the Company, its Parent, Subsidiaries or Affiliates (the “</w:t>
      </w:r>
      <w:r>
        <w:rPr>
          <w:rFonts w:ascii="Arial" w:cs="Arial" w:eastAsia="Arial" w:hAnsi="Arial"/>
          <w:sz w:val="19"/>
          <w:szCs w:val="19"/>
          <w:b w:val="1"/>
          <w:bCs w:val="1"/>
          <w:color w:val="auto"/>
        </w:rPr>
        <w:t>Company Group</w:t>
      </w:r>
      <w:r>
        <w:rPr>
          <w:rFonts w:ascii="Arial" w:cs="Arial" w:eastAsia="Arial" w:hAnsi="Arial"/>
          <w:sz w:val="19"/>
          <w:szCs w:val="19"/>
          <w:color w:val="auto"/>
        </w:rPr>
        <w:t>”) pursuant to Applicable Laws), such as, but not limited to, personal income tax returns or reporting statements in relation to the receipt, vesting or exercise of the Option, the issuance of the Shares underlying the Option, the holding of Shares or any bank or brokerage account, the subsequent sale of Shares, and the receipt of any dividends.</w:t>
      </w:r>
    </w:p>
    <w:p>
      <w:pPr>
        <w:spacing w:after="0" w:line="160" w:lineRule="exact"/>
        <w:rPr>
          <w:rFonts w:ascii="Arial" w:cs="Arial" w:eastAsia="Arial" w:hAnsi="Arial"/>
          <w:sz w:val="19"/>
          <w:szCs w:val="19"/>
          <w:color w:val="auto"/>
        </w:rPr>
      </w:pPr>
    </w:p>
    <w:p>
      <w:pPr>
        <w:jc w:val="both"/>
        <w:ind w:firstLine="1304"/>
        <w:spacing w:after="0" w:line="246" w:lineRule="auto"/>
        <w:tabs>
          <w:tab w:leader="none" w:pos="1939" w:val="left"/>
        </w:tabs>
        <w:numPr>
          <w:ilvl w:val="1"/>
          <w:numId w:val="24"/>
        </w:numPr>
        <w:rPr>
          <w:rFonts w:ascii="Arial" w:cs="Arial" w:eastAsia="Arial" w:hAnsi="Arial"/>
          <w:sz w:val="19"/>
          <w:szCs w:val="19"/>
          <w:color w:val="auto"/>
        </w:rPr>
      </w:pPr>
      <w:r>
        <w:rPr>
          <w:rFonts w:ascii="Arial" w:cs="Arial" w:eastAsia="Arial" w:hAnsi="Arial"/>
          <w:sz w:val="19"/>
          <w:szCs w:val="19"/>
          <w:color w:val="auto"/>
        </w:rPr>
        <w:t>Grantee further acknowledges that the Company and/or the Employer: (i) make no representations or undertakings regarding the treatment of any Tax-Related Items in connection with any aspect of the Option, including, but not limited to, the receipt, vesting or exercise of the Option, the issuance or subsequent sale of the Shares underlying the Option and the receipt of any dividends; and (ii) do not commit to and are under no obligation to structure the terms of the grant or any aspect of the Option to reduce or eliminate Grantee’s liability for Tax-Related Items or achieve any particular tax result. Grantee also understands that Applicable Laws may require varying Option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941" w:val="left"/>
        </w:tabs>
        <w:numPr>
          <w:ilvl w:val="1"/>
          <w:numId w:val="24"/>
        </w:numPr>
        <w:rPr>
          <w:rFonts w:ascii="Arial" w:cs="Arial" w:eastAsia="Arial" w:hAnsi="Arial"/>
          <w:sz w:val="22"/>
          <w:szCs w:val="22"/>
          <w:color w:val="auto"/>
        </w:rPr>
      </w:pPr>
      <w:r>
        <w:rPr>
          <w:rFonts w:ascii="Arial" w:cs="Arial" w:eastAsia="Arial" w:hAnsi="Arial"/>
          <w:sz w:val="22"/>
          <w:szCs w:val="22"/>
          <w:color w:val="auto"/>
        </w:rPr>
        <w:t>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58" w:lineRule="exact"/>
        <w:rPr>
          <w:rFonts w:ascii="Arial" w:cs="Arial" w:eastAsia="Arial" w:hAnsi="Arial"/>
          <w:sz w:val="22"/>
          <w:szCs w:val="22"/>
          <w:color w:val="auto"/>
        </w:rPr>
      </w:pPr>
    </w:p>
    <w:p>
      <w:pPr>
        <w:jc w:val="both"/>
        <w:ind w:firstLine="1304"/>
        <w:spacing w:after="0" w:line="249" w:lineRule="auto"/>
        <w:tabs>
          <w:tab w:leader="none" w:pos="1939" w:val="left"/>
        </w:tabs>
        <w:numPr>
          <w:ilvl w:val="1"/>
          <w:numId w:val="24"/>
        </w:numPr>
        <w:rPr>
          <w:rFonts w:ascii="Arial" w:cs="Arial" w:eastAsia="Arial" w:hAnsi="Arial"/>
          <w:sz w:val="19"/>
          <w:szCs w:val="19"/>
          <w:color w:val="auto"/>
        </w:rPr>
      </w:pPr>
      <w:r>
        <w:rPr>
          <w:rFonts w:ascii="Arial" w:cs="Arial" w:eastAsia="Arial" w:hAnsi="Arial"/>
          <w:sz w:val="19"/>
          <w:szCs w:val="19"/>
          <w:color w:val="auto"/>
        </w:rPr>
        <w:t>Pursuant to this Stock Option Agreement and subject to Applicable Laws, Grantee authorizes the Company and/or the Employer, or their respective agents, at their discretion, to satisfy Grantee’s Tax-Related Items by (i) withholding from Grantee’s wages or other compensation paid to Grantee by the Company or the Employer, (ii) withholding from proceeds of the sale of Shares acquired pursuant to the Option either through a voluntary sale or through a mandatory sale arranged by the Company (on Grantee’s behalf pursuant to this authorization) without further consent, (iii) withholding Shares that would otherwise be issued upon exercise of the Option; or (iv) such other method as determined by the Company.</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1" w:val="left"/>
        </w:tabs>
        <w:numPr>
          <w:ilvl w:val="1"/>
          <w:numId w:val="24"/>
        </w:numPr>
        <w:rPr>
          <w:rFonts w:ascii="Arial" w:cs="Arial" w:eastAsia="Arial" w:hAnsi="Arial"/>
          <w:sz w:val="22"/>
          <w:szCs w:val="22"/>
          <w:color w:val="auto"/>
        </w:rPr>
      </w:pPr>
      <w:r>
        <w:rPr>
          <w:rFonts w:ascii="Arial" w:cs="Arial" w:eastAsia="Arial" w:hAnsi="Arial"/>
          <w:sz w:val="22"/>
          <w:szCs w:val="22"/>
          <w:color w:val="auto"/>
        </w:rPr>
        <w:t>Depending on the method of satisfying the Tax-Related Items, the Company may pay, withhold or account for such Tax-Related Items by considering applicable minimum statutory withholding amounts or other applicable tax or withholding rates,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maximum applicable rates, in Grantee’s jurisdiction(s). In the event of over-withholding, Grantee may receive a refund of any over-withheld amount in cash (with no entitlement to the equivalent in Shares), or if not refunded, Grantee may be able to seek a refund from the local tax authorities.</w:t>
      </w:r>
    </w:p>
    <w:p>
      <w:pPr>
        <w:spacing w:after="0" w:line="159" w:lineRule="exact"/>
        <w:rPr>
          <w:sz w:val="20"/>
          <w:szCs w:val="20"/>
          <w:color w:val="auto"/>
        </w:rPr>
      </w:pPr>
    </w:p>
    <w:p>
      <w:pPr>
        <w:jc w:val="both"/>
        <w:ind w:firstLine="1304"/>
        <w:spacing w:after="0" w:line="226" w:lineRule="auto"/>
        <w:tabs>
          <w:tab w:leader="none" w:pos="1944" w:val="left"/>
        </w:tabs>
        <w:numPr>
          <w:ilvl w:val="2"/>
          <w:numId w:val="25"/>
        </w:numPr>
        <w:rPr>
          <w:rFonts w:ascii="Arial" w:cs="Arial" w:eastAsia="Arial" w:hAnsi="Arial"/>
          <w:sz w:val="21"/>
          <w:szCs w:val="21"/>
          <w:color w:val="auto"/>
        </w:rPr>
      </w:pPr>
      <w:r>
        <w:rPr>
          <w:rFonts w:ascii="Arial" w:cs="Arial" w:eastAsia="Arial" w:hAnsi="Arial"/>
          <w:sz w:val="21"/>
          <w:szCs w:val="21"/>
          <w:color w:val="auto"/>
        </w:rPr>
        <w:t>Grantee agrees to pay to the Company or the Employer any amount of Tax-Related Items that the Company or the Employer may be required to pay, withhold or account for as a result of Grantee’s receipt, vesting or exercise of the Option, the issuance of the Shares underlying the Option or the participation in the Plan that cannot be satisfied by the means previously described. The Company may refuse to issue or deliver the Shares or the proceeds of the sale of Shares if Grantee fails to comply with his or her obligations in connection with the Tax-Related Items.</w:t>
      </w:r>
    </w:p>
    <w:p>
      <w:pPr>
        <w:spacing w:after="0" w:line="159" w:lineRule="exact"/>
        <w:rPr>
          <w:rFonts w:ascii="Arial" w:cs="Arial" w:eastAsia="Arial" w:hAnsi="Arial"/>
          <w:sz w:val="21"/>
          <w:szCs w:val="21"/>
          <w:color w:val="auto"/>
        </w:rPr>
      </w:pPr>
    </w:p>
    <w:p>
      <w:pPr>
        <w:jc w:val="both"/>
        <w:ind w:firstLine="1304"/>
        <w:spacing w:after="0" w:line="252" w:lineRule="auto"/>
        <w:tabs>
          <w:tab w:leader="none" w:pos="1939" w:val="left"/>
        </w:tabs>
        <w:numPr>
          <w:ilvl w:val="2"/>
          <w:numId w:val="25"/>
        </w:numPr>
        <w:rPr>
          <w:rFonts w:ascii="Arial" w:cs="Arial" w:eastAsia="Arial" w:hAnsi="Arial"/>
          <w:sz w:val="19"/>
          <w:szCs w:val="19"/>
          <w:color w:val="auto"/>
        </w:rPr>
      </w:pPr>
      <w:r>
        <w:rPr>
          <w:rFonts w:ascii="Arial" w:cs="Arial" w:eastAsia="Arial" w:hAnsi="Arial"/>
          <w:sz w:val="19"/>
          <w:szCs w:val="19"/>
          <w:color w:val="auto"/>
        </w:rPr>
        <w:t>Grantee understands that Grantee may suffer adverse tax consequences as a result of Grantee’s receipt, the vesting and/or exercise of the Option, the issuance of Shares underlying the Option and/or the disposition of such Shares. Grantee represents that Grantee has consulted any tax consultants Grantee deems advisable in connection with the receipt of the Option, the vesting and/or exercise of the Option, the issuance of Shares underlying the Option and/or the disposition of such Shares and that Grantee is not relying on the Company (or the Employer) for any tax advice.</w:t>
      </w:r>
    </w:p>
    <w:p>
      <w:pPr>
        <w:spacing w:after="0" w:line="142" w:lineRule="exact"/>
        <w:rPr>
          <w:rFonts w:ascii="Arial" w:cs="Arial" w:eastAsia="Arial" w:hAnsi="Arial"/>
          <w:sz w:val="19"/>
          <w:szCs w:val="19"/>
          <w:color w:val="auto"/>
        </w:rPr>
      </w:pPr>
    </w:p>
    <w:p>
      <w:pPr>
        <w:ind w:left="1300" w:hanging="644"/>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color w:val="auto"/>
        </w:rPr>
        <w:t>. In accepting the Option, Grantee acknowledges, understands and agrees that:</w:t>
      </w:r>
    </w:p>
    <w:p>
      <w:pPr>
        <w:spacing w:after="0" w:line="185" w:lineRule="exact"/>
        <w:rPr>
          <w:rFonts w:ascii="Arial" w:cs="Arial" w:eastAsia="Arial" w:hAnsi="Arial"/>
          <w:sz w:val="22"/>
          <w:szCs w:val="22"/>
          <w:color w:val="auto"/>
        </w:rPr>
      </w:pPr>
    </w:p>
    <w:p>
      <w:pPr>
        <w:ind w:firstLine="899"/>
        <w:spacing w:after="0" w:line="232" w:lineRule="auto"/>
        <w:tabs>
          <w:tab w:leader="none" w:pos="1293"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is discretionary in nature, and may be amended, suspended or terminated by the Company at any time, to the extent permitted by the Plan;</w:t>
      </w:r>
    </w:p>
    <w:p>
      <w:pPr>
        <w:spacing w:after="0" w:line="158" w:lineRule="exact"/>
        <w:rPr>
          <w:rFonts w:ascii="Arial" w:cs="Arial" w:eastAsia="Arial" w:hAnsi="Arial"/>
          <w:sz w:val="22"/>
          <w:szCs w:val="22"/>
          <w:color w:val="auto"/>
        </w:rPr>
      </w:pPr>
    </w:p>
    <w:p>
      <w:pPr>
        <w:ind w:firstLine="899"/>
        <w:spacing w:after="0" w:line="298" w:lineRule="auto"/>
        <w:tabs>
          <w:tab w:leader="none" w:pos="1291"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grant of the Option is exceptional, voluntary and occasional and does not create any contractual or other right to receive future grants of stock options, or benefits in lieu of stock options, even if stock options have been granted in the past;</w:t>
      </w:r>
    </w:p>
    <w:p>
      <w:pPr>
        <w:spacing w:after="0" w:line="97" w:lineRule="exact"/>
        <w:rPr>
          <w:rFonts w:ascii="Arial" w:cs="Arial" w:eastAsia="Arial" w:hAnsi="Arial"/>
          <w:sz w:val="19"/>
          <w:szCs w:val="19"/>
          <w:color w:val="auto"/>
        </w:rPr>
      </w:pPr>
    </w:p>
    <w:p>
      <w:pPr>
        <w:ind w:left="1300" w:hanging="401"/>
        <w:spacing w:after="0"/>
        <w:tabs>
          <w:tab w:leader="none" w:pos="1300" w:val="left"/>
        </w:tabs>
        <w:numPr>
          <w:ilvl w:val="1"/>
          <w:numId w:val="26"/>
        </w:numPr>
        <w:rPr>
          <w:rFonts w:ascii="Arial" w:cs="Arial" w:eastAsia="Arial" w:hAnsi="Arial"/>
          <w:sz w:val="21"/>
          <w:szCs w:val="21"/>
          <w:color w:val="auto"/>
        </w:rPr>
      </w:pPr>
      <w:r>
        <w:rPr>
          <w:rFonts w:ascii="Arial" w:cs="Arial" w:eastAsia="Arial" w:hAnsi="Arial"/>
          <w:sz w:val="21"/>
          <w:szCs w:val="21"/>
          <w:color w:val="auto"/>
        </w:rPr>
        <w:t>all decisions with respect to future stock options or other grants, if any, will be at the sole discretion of the</w:t>
      </w: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61" w:lineRule="exact"/>
        <w:rPr>
          <w:rFonts w:ascii="Arial" w:cs="Arial" w:eastAsia="Arial" w:hAnsi="Arial"/>
          <w:sz w:val="21"/>
          <w:szCs w:val="21"/>
          <w:color w:val="auto"/>
        </w:rPr>
      </w:pPr>
    </w:p>
    <w:p>
      <w:pPr>
        <w:ind w:left="1300" w:hanging="401"/>
        <w:spacing w:after="0"/>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179" w:lineRule="exact"/>
        <w:rPr>
          <w:rFonts w:ascii="Arial" w:cs="Arial" w:eastAsia="Arial" w:hAnsi="Arial"/>
          <w:sz w:val="22"/>
          <w:szCs w:val="22"/>
          <w:color w:val="auto"/>
        </w:rPr>
      </w:pPr>
    </w:p>
    <w:p>
      <w:pPr>
        <w:ind w:firstLine="899"/>
        <w:spacing w:after="0" w:line="298" w:lineRule="auto"/>
        <w:tabs>
          <w:tab w:leader="none" w:pos="1293"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Option and the Shares purchased upon exercise, and the income from and value of same, are not intended to replace any pension rights or compensation and are outside the scope of Grantee’s employment contract, if any;</w:t>
      </w:r>
    </w:p>
    <w:p>
      <w:pPr>
        <w:spacing w:after="0" w:line="105" w:lineRule="exact"/>
        <w:rPr>
          <w:rFonts w:ascii="Arial" w:cs="Arial" w:eastAsia="Arial" w:hAnsi="Arial"/>
          <w:sz w:val="19"/>
          <w:szCs w:val="19"/>
          <w:color w:val="auto"/>
        </w:rPr>
      </w:pPr>
    </w:p>
    <w:p>
      <w:pPr>
        <w:jc w:val="both"/>
        <w:ind w:firstLine="899"/>
        <w:spacing w:after="0" w:line="218"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the Options and the Shares purchased upon exercise, and the income from and value of same, are not part of normal or expected compensation for any purpose, including, without limitation, calculating any severance, resignation, termination, redundancy, dismissal, end-of- service payments, bonuses, long-service awards, holiday pay, pension or retirement or welfare benefits or similar payments;</w:t>
      </w:r>
    </w:p>
    <w:p>
      <w:pPr>
        <w:spacing w:after="0" w:line="160" w:lineRule="exact"/>
        <w:rPr>
          <w:rFonts w:ascii="Arial" w:cs="Arial" w:eastAsia="Arial" w:hAnsi="Arial"/>
          <w:sz w:val="22"/>
          <w:szCs w:val="22"/>
          <w:color w:val="auto"/>
        </w:rPr>
      </w:pPr>
    </w:p>
    <w:p>
      <w:pPr>
        <w:jc w:val="both"/>
        <w:ind w:firstLine="899"/>
        <w:spacing w:after="0" w:line="223" w:lineRule="auto"/>
        <w:tabs>
          <w:tab w:leader="none" w:pos="1291" w:val="left"/>
        </w:tabs>
        <w:numPr>
          <w:ilvl w:val="1"/>
          <w:numId w:val="26"/>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Option and the Shares subject to the Option, and the income from and value of same, are not granted as consideration for, or in connection with, the service Grantee may provide as a director of a Subsidiary of the Company;</w:t>
      </w:r>
    </w:p>
    <w:p>
      <w:pPr>
        <w:spacing w:after="0" w:line="158" w:lineRule="exact"/>
        <w:rPr>
          <w:rFonts w:ascii="Arial" w:cs="Arial" w:eastAsia="Arial" w:hAnsi="Arial"/>
          <w:sz w:val="22"/>
          <w:szCs w:val="22"/>
          <w:color w:val="auto"/>
        </w:rPr>
      </w:pPr>
    </w:p>
    <w:p>
      <w:pPr>
        <w:ind w:left="1300" w:hanging="401"/>
        <w:spacing w:after="0"/>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future value of the Shares underlying the Option is unknown, indeterminable, and cannot be predicted with</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7" w:lineRule="exact"/>
        <w:rPr>
          <w:sz w:val="20"/>
          <w:szCs w:val="20"/>
          <w:color w:val="auto"/>
        </w:rPr>
      </w:pPr>
    </w:p>
    <w:p>
      <w:pPr>
        <w:ind w:left="1300" w:hanging="401"/>
        <w:spacing w:after="0"/>
        <w:tabs>
          <w:tab w:leader="none" w:pos="13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if the underlying Shares do not increase in value, the Option will have no value;</w:t>
      </w:r>
    </w:p>
    <w:p>
      <w:pPr>
        <w:spacing w:after="0" w:line="179" w:lineRule="exact"/>
        <w:rPr>
          <w:rFonts w:ascii="Arial" w:cs="Arial" w:eastAsia="Arial" w:hAnsi="Arial"/>
          <w:sz w:val="22"/>
          <w:szCs w:val="22"/>
          <w:color w:val="auto"/>
        </w:rPr>
      </w:pPr>
    </w:p>
    <w:p>
      <w:pPr>
        <w:ind w:right="20" w:firstLine="899"/>
        <w:spacing w:after="0" w:line="232" w:lineRule="auto"/>
        <w:tabs>
          <w:tab w:leader="none" w:pos="1284" w:val="left"/>
        </w:tabs>
        <w:numPr>
          <w:ilvl w:val="1"/>
          <w:numId w:val="27"/>
        </w:numPr>
        <w:rPr>
          <w:rFonts w:ascii="Arial" w:cs="Arial" w:eastAsia="Arial" w:hAnsi="Arial"/>
          <w:sz w:val="22"/>
          <w:szCs w:val="22"/>
          <w:color w:val="auto"/>
        </w:rPr>
      </w:pPr>
      <w:r>
        <w:rPr>
          <w:rFonts w:ascii="Arial" w:cs="Arial" w:eastAsia="Arial" w:hAnsi="Arial"/>
          <w:sz w:val="22"/>
          <w:szCs w:val="22"/>
          <w:color w:val="auto"/>
        </w:rPr>
        <w:t>if Grantee exercises the Option and acquires Shares, the value of such Shares may increase or decrease in value, even below the Exercise Price;</w:t>
      </w:r>
    </w:p>
    <w:p>
      <w:pPr>
        <w:spacing w:after="0" w:line="158" w:lineRule="exact"/>
        <w:rPr>
          <w:rFonts w:ascii="Arial" w:cs="Arial" w:eastAsia="Arial" w:hAnsi="Arial"/>
          <w:sz w:val="22"/>
          <w:szCs w:val="22"/>
          <w:color w:val="auto"/>
        </w:rPr>
      </w:pPr>
    </w:p>
    <w:p>
      <w:pPr>
        <w:jc w:val="both"/>
        <w:ind w:firstLine="899"/>
        <w:spacing w:after="0" w:line="218" w:lineRule="auto"/>
        <w:tabs>
          <w:tab w:leader="none" w:pos="1361"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Option resulting from the termination of Grantee’s employment or service relationship (for any reason whatsoever, whether or not later found to be invalid or in breach of employment laws in the jurisdiction where Grantee is providing services or the terms of Grantee’s employment or service agreement, if any);</w:t>
      </w:r>
    </w:p>
    <w:p>
      <w:pPr>
        <w:spacing w:after="0" w:line="160" w:lineRule="exact"/>
        <w:rPr>
          <w:rFonts w:ascii="Arial" w:cs="Arial" w:eastAsia="Arial" w:hAnsi="Arial"/>
          <w:sz w:val="22"/>
          <w:szCs w:val="22"/>
          <w:color w:val="auto"/>
        </w:rPr>
      </w:pPr>
    </w:p>
    <w:p>
      <w:pPr>
        <w:jc w:val="both"/>
        <w:ind w:firstLine="899"/>
        <w:spacing w:after="0" w:line="218" w:lineRule="auto"/>
        <w:tabs>
          <w:tab w:leader="none" w:pos="1284" w:val="left"/>
        </w:tabs>
        <w:numPr>
          <w:ilvl w:val="1"/>
          <w:numId w:val="27"/>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Option and the benefits evidenced by this Stock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899"/>
        <w:spacing w:after="0" w:line="216" w:lineRule="auto"/>
        <w:tabs>
          <w:tab w:leader="none" w:pos="1284"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none of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Option (or the calculation of income or withholding taxes thereunder) or of any amounts due to Grantee pursuant to the exercise of the Option or the subsequent sale of the Shares purchased pursuant to the Option.</w:t>
      </w:r>
    </w:p>
    <w:p>
      <w:pPr>
        <w:spacing w:after="0" w:line="151" w:lineRule="exact"/>
        <w:rPr>
          <w:rFonts w:ascii="Arial" w:cs="Arial" w:eastAsia="Arial" w:hAnsi="Arial"/>
          <w:sz w:val="22"/>
          <w:szCs w:val="22"/>
          <w:color w:val="auto"/>
        </w:rPr>
      </w:pPr>
    </w:p>
    <w:p>
      <w:pPr>
        <w:jc w:val="both"/>
        <w:ind w:firstLine="656"/>
        <w:spacing w:after="0" w:line="259" w:lineRule="auto"/>
        <w:tabs>
          <w:tab w:leader="none" w:pos="1296"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Conditions to Issuance of Shares</w:t>
      </w:r>
      <w:r>
        <w:rPr>
          <w:rFonts w:ascii="Arial" w:cs="Arial" w:eastAsia="Arial" w:hAnsi="Arial"/>
          <w:sz w:val="19"/>
          <w:szCs w:val="19"/>
          <w:color w:val="auto"/>
        </w:rPr>
        <w:t>. The Shares deliverable upon the exercise of the Option, or any portion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may be either previously authorized but unissued Shares or issued Shares that have then been reacquired by the Company. Such Shares shall be fully paid and nonassessable. The Company shall not be required to issue or deliver any Shares purchased upon the exercise of the Option or portion thereof prior to fulfillment of all of the conditions in Section 18 of the Plan.</w:t>
      </w:r>
    </w:p>
    <w:p>
      <w:pPr>
        <w:spacing w:after="0" w:line="136" w:lineRule="exact"/>
        <w:rPr>
          <w:rFonts w:ascii="Arial" w:cs="Arial" w:eastAsia="Arial" w:hAnsi="Arial"/>
          <w:sz w:val="19"/>
          <w:szCs w:val="19"/>
          <w:color w:val="auto"/>
        </w:rPr>
      </w:pPr>
    </w:p>
    <w:p>
      <w:pPr>
        <w:jc w:val="both"/>
        <w:ind w:firstLine="656"/>
        <w:spacing w:after="0" w:line="225" w:lineRule="auto"/>
        <w:tabs>
          <w:tab w:leader="none" w:pos="1288"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Rights as Stockholder</w:t>
      </w:r>
      <w:r>
        <w:rPr>
          <w:rFonts w:ascii="Arial" w:cs="Arial" w:eastAsia="Arial" w:hAnsi="Arial"/>
          <w:sz w:val="22"/>
          <w:szCs w:val="22"/>
          <w:color w:val="auto"/>
        </w:rPr>
        <w:t>. Grantee shall have no rights of a stockholder with respect to the Shares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Option (including the right to vote and the right to receive distributions or dividends) unless and until Shares are issued to Grantee in respect thereof in accordance with this Stock Option Agreement.</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 Agreement Subject to Plan</w:t>
      </w:r>
      <w:r>
        <w:rPr>
          <w:rFonts w:ascii="Arial" w:cs="Arial" w:eastAsia="Arial" w:hAnsi="Arial"/>
          <w:sz w:val="22"/>
          <w:szCs w:val="22"/>
          <w:color w:val="auto"/>
        </w:rPr>
        <w:t>. This Stock Option Agreement is made pursuant to all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Plan, which is incorporated herein by this reference, and is intended, and shall be interpreted in a manner, to comply therewith. In the event of any conflict between the provisions of this Stock Option Agreement and the provisions of the Plan, the provisions of the Plan shall govern.</w:t>
      </w:r>
    </w:p>
    <w:p>
      <w:pPr>
        <w:spacing w:after="0" w:line="152" w:lineRule="exact"/>
        <w:rPr>
          <w:rFonts w:ascii="Arial" w:cs="Arial" w:eastAsia="Arial" w:hAnsi="Arial"/>
          <w:sz w:val="22"/>
          <w:szCs w:val="22"/>
          <w:color w:val="auto"/>
        </w:rPr>
      </w:pPr>
    </w:p>
    <w:p>
      <w:pPr>
        <w:jc w:val="both"/>
        <w:ind w:firstLine="656"/>
        <w:spacing w:after="0" w:line="215" w:lineRule="auto"/>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Notification of Disposition</w:t>
      </w:r>
      <w:r>
        <w:rPr>
          <w:rFonts w:ascii="Arial" w:cs="Arial" w:eastAsia="Arial" w:hAnsi="Arial"/>
          <w:sz w:val="22"/>
          <w:szCs w:val="22"/>
          <w:color w:val="auto"/>
        </w:rPr>
        <w:t>. If the Option is designated as an Incentive Stock Option, Grantee shall give prompt</w:t>
      </w:r>
      <w:r>
        <w:rPr>
          <w:rFonts w:ascii="Arial" w:cs="Arial" w:eastAsia="Arial" w:hAnsi="Arial"/>
          <w:sz w:val="22"/>
          <w:szCs w:val="22"/>
          <w:b w:val="1"/>
          <w:bCs w:val="1"/>
          <w:color w:val="auto"/>
        </w:rPr>
        <w:t xml:space="preserve"> </w:t>
      </w:r>
      <w:r>
        <w:rPr>
          <w:rFonts w:ascii="Arial" w:cs="Arial" w:eastAsia="Arial" w:hAnsi="Arial"/>
          <w:sz w:val="22"/>
          <w:szCs w:val="22"/>
          <w:color w:val="auto"/>
        </w:rPr>
        <w:t>notice to the Company of any disposition or other transfer of any Shares acquired under this Stock Option Agreement if such disposition or transfer is made (a) within two (2) years from the Date of Grant with respect to such Shares or (b) within one (1) year after the transfer of such Shares to Grantee. Such notice shall specify the date of such disposition or other transfer and the amount realized, in cash, other property, assumption of indebtedness or other consideration, by Grantee in such disposition or other transfer.</w:t>
      </w:r>
    </w:p>
    <w:p>
      <w:pPr>
        <w:spacing w:after="0" w:line="152"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Any notice, demand or request required or permitted to be given under this Stock Option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in writing and shall be deemed sufficient when delivered personally or by overnight courier or sent by email or fax, or forty-eight (48) hours after being deposited in the U.S. mail or a comparable foreign mail service, as certified or registered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w:t>
      </w:r>
      <w:r>
        <w:rPr>
          <w:rFonts w:ascii="Arial" w:cs="Arial" w:eastAsia="Arial" w:hAnsi="Arial"/>
          <w:sz w:val="22"/>
          <w:szCs w:val="22"/>
          <w:color w:val="auto"/>
        </w:rPr>
        <w:t>, 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650 California Street</w:t>
      </w:r>
    </w:p>
    <w:p>
      <w:pPr>
        <w:ind w:left="660"/>
        <w:spacing w:after="0" w:line="204" w:lineRule="auto"/>
        <w:rPr>
          <w:sz w:val="20"/>
          <w:szCs w:val="20"/>
          <w:color w:val="auto"/>
        </w:rPr>
      </w:pPr>
      <w:r>
        <w:rPr>
          <w:rFonts w:ascii="Arial" w:cs="Arial" w:eastAsia="Arial" w:hAnsi="Arial"/>
          <w:sz w:val="22"/>
          <w:szCs w:val="22"/>
          <w:color w:val="auto"/>
        </w:rPr>
        <w:t>Floor 12</w:t>
      </w:r>
    </w:p>
    <w:p>
      <w:pPr>
        <w:ind w:left="660"/>
        <w:spacing w:after="0" w:line="205" w:lineRule="auto"/>
        <w:rPr>
          <w:sz w:val="20"/>
          <w:szCs w:val="20"/>
          <w:color w:val="auto"/>
        </w:rPr>
      </w:pPr>
      <w:r>
        <w:rPr>
          <w:rFonts w:ascii="Arial" w:cs="Arial" w:eastAsia="Arial" w:hAnsi="Arial"/>
          <w:sz w:val="22"/>
          <w:szCs w:val="22"/>
          <w:color w:val="auto"/>
        </w:rPr>
        <w:t>San Francisco, CA 94108</w:t>
      </w:r>
    </w:p>
    <w:p>
      <w:pPr>
        <w:ind w:left="660"/>
        <w:spacing w:after="0" w:line="205" w:lineRule="auto"/>
        <w:rPr>
          <w:sz w:val="20"/>
          <w:szCs w:val="20"/>
          <w:color w:val="auto"/>
        </w:rPr>
      </w:pPr>
      <w:r>
        <w:rPr>
          <w:rFonts w:ascii="Arial" w:cs="Arial" w:eastAsia="Arial" w:hAnsi="Arial"/>
          <w:sz w:val="22"/>
          <w:szCs w:val="22"/>
          <w:color w:val="auto"/>
        </w:rPr>
        <w:t>Attn: Chief People Officer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equity@affirm.com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If to Grantee</w:t>
      </w:r>
      <w:r>
        <w:rPr>
          <w:rFonts w:ascii="Arial" w:cs="Arial" w:eastAsia="Arial" w:hAnsi="Arial"/>
          <w:sz w:val="21"/>
          <w:szCs w:val="21"/>
          <w:color w:val="auto"/>
        </w:rPr>
        <w:t>, to: Grantee’s last residence or email address shown on the records of the Company or its affiliates.</w:t>
      </w:r>
    </w:p>
    <w:p>
      <w:pPr>
        <w:spacing w:after="0" w:line="19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Protection.</w:t>
      </w:r>
    </w:p>
    <w:p>
      <w:pPr>
        <w:spacing w:after="0" w:line="185" w:lineRule="exact"/>
        <w:rPr>
          <w:rFonts w:ascii="Arial" w:cs="Arial" w:eastAsia="Arial" w:hAnsi="Arial"/>
          <w:sz w:val="22"/>
          <w:szCs w:val="22"/>
          <w:color w:val="auto"/>
        </w:rPr>
      </w:pPr>
    </w:p>
    <w:p>
      <w:pPr>
        <w:jc w:val="both"/>
        <w:ind w:firstLine="980"/>
        <w:spacing w:after="0" w:line="252" w:lineRule="auto"/>
        <w:tabs>
          <w:tab w:leader="none" w:pos="1293" w:val="left"/>
        </w:tabs>
        <w:numPr>
          <w:ilvl w:val="1"/>
          <w:numId w:val="29"/>
        </w:numPr>
        <w:rPr>
          <w:rFonts w:ascii="Arial" w:cs="Arial" w:eastAsia="Arial" w:hAnsi="Arial"/>
          <w:sz w:val="19"/>
          <w:szCs w:val="19"/>
          <w:color w:val="auto"/>
        </w:rPr>
      </w:pPr>
      <w:r>
        <w:rPr>
          <w:rFonts w:ascii="Arial" w:cs="Arial" w:eastAsia="Arial" w:hAnsi="Arial"/>
          <w:sz w:val="19"/>
          <w:szCs w:val="19"/>
          <w:color w:val="auto"/>
        </w:rPr>
        <w:t>To facilitate the administration of the Plan and this Stock Option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48" w:lineRule="exact"/>
        <w:rPr>
          <w:rFonts w:ascii="Arial" w:cs="Arial" w:eastAsia="Arial" w:hAnsi="Arial"/>
          <w:sz w:val="19"/>
          <w:szCs w:val="19"/>
          <w:color w:val="auto"/>
        </w:rPr>
      </w:pPr>
    </w:p>
    <w:p>
      <w:pPr>
        <w:jc w:val="both"/>
        <w:ind w:firstLine="980"/>
        <w:spacing w:after="0" w:line="218" w:lineRule="auto"/>
        <w:tabs>
          <w:tab w:leader="none" w:pos="1291" w:val="left"/>
        </w:tabs>
        <w:numPr>
          <w:ilvl w:val="1"/>
          <w:numId w:val="29"/>
        </w:numPr>
        <w:rPr>
          <w:rFonts w:ascii="Arial" w:cs="Arial" w:eastAsia="Arial" w:hAnsi="Arial"/>
          <w:sz w:val="22"/>
          <w:szCs w:val="22"/>
          <w:color w:val="auto"/>
        </w:rPr>
      </w:pPr>
      <w:r>
        <w:rPr>
          <w:rFonts w:ascii="Arial" w:cs="Arial" w:eastAsia="Arial" w:hAnsi="Arial"/>
          <w:sz w:val="22"/>
          <w:szCs w:val="22"/>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54" w:lineRule="exact"/>
        <w:rPr>
          <w:rFonts w:ascii="Arial" w:cs="Arial" w:eastAsia="Arial" w:hAnsi="Arial"/>
          <w:sz w:val="22"/>
          <w:szCs w:val="22"/>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25" w:lineRule="auto"/>
        <w:tabs>
          <w:tab w:leader="none" w:pos="1941" w:val="left"/>
        </w:tabs>
        <w:numPr>
          <w:ilvl w:val="2"/>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Stock Option Agreement and all acts and transactions pursuant hereto and the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of the parties hereto shall be governed, construed and interpreted in accordance with the laws of the State of California, without giving effect to principles of conflicts of law.</w:t>
      </w:r>
    </w:p>
    <w:p>
      <w:pPr>
        <w:spacing w:after="0" w:line="152" w:lineRule="exact"/>
        <w:rPr>
          <w:rFonts w:ascii="Arial" w:cs="Arial" w:eastAsia="Arial" w:hAnsi="Arial"/>
          <w:sz w:val="22"/>
          <w:szCs w:val="22"/>
          <w:color w:val="auto"/>
        </w:rPr>
      </w:pPr>
    </w:p>
    <w:p>
      <w:pPr>
        <w:jc w:val="both"/>
        <w:ind w:firstLine="1304"/>
        <w:spacing w:after="0" w:line="210" w:lineRule="auto"/>
        <w:tabs>
          <w:tab w:leader="none" w:pos="1939" w:val="left"/>
        </w:tabs>
        <w:numPr>
          <w:ilvl w:val="2"/>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Jurisdiction and Venue</w:t>
      </w:r>
      <w:r>
        <w:rPr>
          <w:rFonts w:ascii="Arial" w:cs="Arial" w:eastAsia="Arial" w:hAnsi="Arial"/>
          <w:sz w:val="22"/>
          <w:szCs w:val="22"/>
          <w:color w:val="auto"/>
        </w:rPr>
        <w:t>. THE PARTIES CONSENT TO PERSONAL JURISDICTION IN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CALIFORNIA. THE PARTIES AGREE THAT ANY ACTION OR PROCEEDING ARISING FROM OR RELATED TO THIS AGREEMENT SHALL BE BROUGHT AND TRIED EXCLUSIVELY IN THE STATE OR FEDERAL COURTS LOCATED IN THE STATE OF CALIFORNIA. THE PARTIES IRREVOCABLY AND UNCONDITIONALLY WAIVE ANY OBJECTION TO THE LAYING OF VENUE OF ANY SUCH ACTION OR PROCEEDING BROUGHT IN ANY SUCH COURT. THE PARTIES EXPRESSLY ACKNOWLEDGE THAT THE STATE OF CALIFORNIA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14 SHALL BE EFFECTIVE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52" w:lineRule="exact"/>
        <w:rPr>
          <w:sz w:val="20"/>
          <w:szCs w:val="20"/>
          <w:color w:val="auto"/>
        </w:rPr>
      </w:pPr>
    </w:p>
    <w:p>
      <w:pPr>
        <w:jc w:val="both"/>
        <w:ind w:firstLine="1304"/>
        <w:spacing w:after="0" w:line="245" w:lineRule="auto"/>
        <w:tabs>
          <w:tab w:leader="none" w:pos="1941"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Addendum and Sub-Plans</w:t>
      </w:r>
      <w:r>
        <w:rPr>
          <w:rFonts w:ascii="Arial" w:cs="Arial" w:eastAsia="Arial" w:hAnsi="Arial"/>
          <w:sz w:val="19"/>
          <w:szCs w:val="19"/>
          <w:color w:val="auto"/>
        </w:rPr>
        <w:t>. Notwithstanding any provisions in this Stock Option Agreement, the Option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any special terms and conditions set forth in any Addendum to this Stock Option Agreement for Grantee’s country (the “</w:t>
      </w:r>
      <w:r>
        <w:rPr>
          <w:rFonts w:ascii="Arial" w:cs="Arial" w:eastAsia="Arial" w:hAnsi="Arial"/>
          <w:sz w:val="19"/>
          <w:szCs w:val="19"/>
          <w:b w:val="1"/>
          <w:bCs w:val="1"/>
          <w:color w:val="auto"/>
        </w:rPr>
        <w:t>Addendum</w:t>
      </w:r>
      <w:r>
        <w:rPr>
          <w:rFonts w:ascii="Arial" w:cs="Arial" w:eastAsia="Arial" w:hAnsi="Arial"/>
          <w:sz w:val="19"/>
          <w:szCs w:val="19"/>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Stock Option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52" w:lineRule="exact"/>
        <w:rPr>
          <w:rFonts w:ascii="Arial" w:cs="Arial" w:eastAsia="Arial" w:hAnsi="Arial"/>
          <w:sz w:val="19"/>
          <w:szCs w:val="19"/>
          <w:color w:val="auto"/>
        </w:rPr>
      </w:pPr>
    </w:p>
    <w:p>
      <w:pPr>
        <w:jc w:val="both"/>
        <w:ind w:firstLine="1304"/>
        <w:spacing w:after="0" w:line="244" w:lineRule="auto"/>
        <w:tabs>
          <w:tab w:leader="none" w:pos="1939"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 Enforcement of Rights; Amendment</w:t>
      </w:r>
      <w:r>
        <w:rPr>
          <w:rFonts w:ascii="Arial" w:cs="Arial" w:eastAsia="Arial" w:hAnsi="Arial"/>
          <w:sz w:val="19"/>
          <w:szCs w:val="19"/>
          <w:color w:val="auto"/>
        </w:rPr>
        <w:t>. This Stock Option Agreement, together with</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and the Grant Notice, sets forth the entire agreement and understanding of the parties relating to the subject matter herein and merges all prior or contemporaneous discussions or agreements between them. Except as contemplated by the Plan, no modification of or amendment to this Stock Option Agreement, nor any waiver of any rights under this Stock Option Agreement, shall be effective unless in writing signed by the parties to this Stock Option Agreement to the extent it would materially and adversely affect the rights of Grantee. The failure by either party to enforce any rights under this Stock Option Agreement shall not be construed as a waiver of any rights of such party. Notwithstanding anything to the contrary in the Plan or this Stock Option Agreement, the Company reserves the right to revise this Stock Option Agreement as it deems necessary or advisable, in its sole discretion and without the consent of Grantee, to comply with Code Section 409A or to otherwise avoid imposition of any additional tax or income recognition under Section 409A of the Code in connection with the Option.</w:t>
      </w:r>
    </w:p>
    <w:p>
      <w:pPr>
        <w:spacing w:after="0" w:line="154" w:lineRule="exact"/>
        <w:rPr>
          <w:rFonts w:ascii="Arial" w:cs="Arial" w:eastAsia="Arial" w:hAnsi="Arial"/>
          <w:sz w:val="19"/>
          <w:szCs w:val="19"/>
          <w:color w:val="auto"/>
        </w:rPr>
      </w:pPr>
    </w:p>
    <w:p>
      <w:pPr>
        <w:jc w:val="both"/>
        <w:ind w:firstLine="1304"/>
        <w:spacing w:after="0" w:line="245" w:lineRule="auto"/>
        <w:tabs>
          <w:tab w:leader="none" w:pos="1941"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Should any provision of this Stock Option Agreement be held by a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to be unenforceable, or enforceable only if modified, such holding shall not affect the validity of the remainder of this Stock Option Agreement, the balance of which shall continue to be binding upon the parties hereto with any such modification (if any) to become a part hereof and treated as though contained in this original Stock Option Agreement. Moreover, if one or more of the provisions contained in this Stock Option Agreement shall for any reason be held to be excessively broad as to scope, activity, subject or otherwise so as to be unenforceable, in lieu of severing such unenforceable provision, such provision or provisions shall be construed by the appropriate judicial body by limiting or reducing it or them, so as to be enforceable to the maximum extent compatible with the applicable law as it shall then appear, and such determination by such judicial body shall not affect the enforceability of such provisions or provisions in any other jurisdiction.</w:t>
      </w:r>
    </w:p>
    <w:p>
      <w:pPr>
        <w:spacing w:after="0" w:line="152" w:lineRule="exact"/>
        <w:rPr>
          <w:rFonts w:ascii="Arial" w:cs="Arial" w:eastAsia="Arial" w:hAnsi="Arial"/>
          <w:sz w:val="19"/>
          <w:szCs w:val="19"/>
          <w:color w:val="auto"/>
        </w:rPr>
      </w:pPr>
    </w:p>
    <w:p>
      <w:pPr>
        <w:jc w:val="both"/>
        <w:ind w:firstLine="1304"/>
        <w:spacing w:after="0" w:line="271" w:lineRule="auto"/>
        <w:tabs>
          <w:tab w:leader="none" w:pos="1944"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This Stock Option Agreement is the result of negotiations between and has been reviewed</w:t>
      </w:r>
      <w:r>
        <w:rPr>
          <w:rFonts w:ascii="Arial" w:cs="Arial" w:eastAsia="Arial" w:hAnsi="Arial"/>
          <w:sz w:val="19"/>
          <w:szCs w:val="19"/>
          <w:b w:val="1"/>
          <w:bCs w:val="1"/>
          <w:color w:val="auto"/>
        </w:rPr>
        <w:t xml:space="preserve"> </w:t>
      </w:r>
      <w:r>
        <w:rPr>
          <w:rFonts w:ascii="Arial" w:cs="Arial" w:eastAsia="Arial" w:hAnsi="Arial"/>
          <w:sz w:val="19"/>
          <w:szCs w:val="19"/>
          <w:color w:val="auto"/>
        </w:rPr>
        <w:t>by each of the parties hereto and their respective counsel, if any; accordingly, this Stock Option Agreement shall be deemed to be the product of all of the parties hereto and no ambiguity shall be construed in favor of or against any one of the parties hereto.</w:t>
      </w:r>
    </w:p>
    <w:p>
      <w:pPr>
        <w:spacing w:after="0" w:line="123" w:lineRule="exact"/>
        <w:rPr>
          <w:rFonts w:ascii="Arial" w:cs="Arial" w:eastAsia="Arial" w:hAnsi="Arial"/>
          <w:sz w:val="19"/>
          <w:szCs w:val="19"/>
          <w:color w:val="auto"/>
        </w:rPr>
      </w:pPr>
    </w:p>
    <w:p>
      <w:pPr>
        <w:jc w:val="both"/>
        <w:ind w:firstLine="1304"/>
        <w:spacing w:after="0" w:line="225" w:lineRule="auto"/>
        <w:tabs>
          <w:tab w:leader="none" w:pos="1939"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Electronic Signature</w:t>
      </w:r>
      <w:r>
        <w:rPr>
          <w:rFonts w:ascii="Arial" w:cs="Arial" w:eastAsia="Arial" w:hAnsi="Arial"/>
          <w:sz w:val="22"/>
          <w:szCs w:val="22"/>
          <w:color w:val="auto"/>
        </w:rPr>
        <w:t>. This Stock Option Agreement may be executed in two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shall be deemed an original and all of which together shall constitute one instrument. Facsimile, email or other electronic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delivery of this Stock Option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53" w:lineRule="exact"/>
        <w:rPr>
          <w:sz w:val="20"/>
          <w:szCs w:val="20"/>
          <w:color w:val="auto"/>
        </w:rPr>
      </w:pPr>
    </w:p>
    <w:p>
      <w:pPr>
        <w:jc w:val="both"/>
        <w:ind w:firstLine="1304"/>
        <w:spacing w:after="0" w:line="271" w:lineRule="auto"/>
        <w:tabs>
          <w:tab w:leader="none" w:pos="1939"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Stock Option Agreement Binding on Successors</w:t>
      </w:r>
      <w:r>
        <w:rPr>
          <w:rFonts w:ascii="Arial" w:cs="Arial" w:eastAsia="Arial" w:hAnsi="Arial"/>
          <w:sz w:val="19"/>
          <w:szCs w:val="19"/>
          <w:color w:val="auto"/>
        </w:rPr>
        <w:t>. The terms of this Stock Option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upon Grantee and upon Grantee’s heirs, executors, administrators, personal representatives, transferees, assignees and successors in interest, and upon the Company and its successors and assignees, subject to the terms of the Plan.</w:t>
      </w:r>
    </w:p>
    <w:p>
      <w:pPr>
        <w:spacing w:after="0" w:line="123" w:lineRule="exact"/>
        <w:rPr>
          <w:rFonts w:ascii="Arial" w:cs="Arial" w:eastAsia="Arial" w:hAnsi="Arial"/>
          <w:sz w:val="19"/>
          <w:szCs w:val="19"/>
          <w:color w:val="auto"/>
        </w:rPr>
      </w:pPr>
    </w:p>
    <w:p>
      <w:pPr>
        <w:jc w:val="both"/>
        <w:ind w:firstLine="1304"/>
        <w:spacing w:after="0" w:line="225" w:lineRule="auto"/>
        <w:tabs>
          <w:tab w:leader="none" w:pos="1932" w:val="left"/>
        </w:tabs>
        <w:numPr>
          <w:ilvl w:val="0"/>
          <w:numId w:val="31"/>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any</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related to Grantee’s current or future participation in the Plan, the Option, the Shares subject to the Option, any other Company securities or any other Company-related documents, by electronic means. Grantee hereby (i) consents to receive such documents by electronic means, (ii) consents to use of electronic signatures, and (iii) if applicable, agrees to participate in the Plan and/or receive any such documents through an on-line or electronic system established and maintained by the Company or a third party designated by the Company.</w:t>
      </w:r>
    </w:p>
    <w:p>
      <w:pPr>
        <w:spacing w:after="0" w:line="153" w:lineRule="exact"/>
        <w:rPr>
          <w:rFonts w:ascii="Arial" w:cs="Arial" w:eastAsia="Arial" w:hAnsi="Arial"/>
          <w:sz w:val="21"/>
          <w:szCs w:val="21"/>
          <w:color w:val="auto"/>
        </w:rPr>
      </w:pPr>
    </w:p>
    <w:p>
      <w:pPr>
        <w:jc w:val="both"/>
        <w:ind w:firstLine="1304"/>
        <w:spacing w:after="0" w:line="217" w:lineRule="auto"/>
        <w:tabs>
          <w:tab w:leader="none" w:pos="1932" w:val="left"/>
        </w:tabs>
        <w:numPr>
          <w:ilvl w:val="0"/>
          <w:numId w:val="31"/>
        </w:numPr>
        <w:rPr>
          <w:rFonts w:ascii="Arial" w:cs="Arial" w:eastAsia="Arial" w:hAnsi="Arial"/>
          <w:sz w:val="22"/>
          <w:szCs w:val="22"/>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he or she is sufficiently proficient in English, or has consulted with</w:t>
      </w:r>
      <w:r>
        <w:rPr>
          <w:rFonts w:ascii="Arial" w:cs="Arial" w:eastAsia="Arial" w:hAnsi="Arial"/>
          <w:sz w:val="22"/>
          <w:szCs w:val="22"/>
          <w:b w:val="1"/>
          <w:bCs w:val="1"/>
          <w:color w:val="auto"/>
        </w:rPr>
        <w:t xml:space="preserve"> </w:t>
      </w:r>
      <w:r>
        <w:rPr>
          <w:rFonts w:ascii="Arial" w:cs="Arial" w:eastAsia="Arial" w:hAnsi="Arial"/>
          <w:sz w:val="22"/>
          <w:szCs w:val="22"/>
          <w:color w:val="auto"/>
        </w:rPr>
        <w:t>an advisor who is sufficiently proficient in English, so as to allow Grantee to understand the terms and conditions of this Stock Option Agreement. If Grantee has received this Stock Option Agreement, or any other documents related to the Option and/or the Plan translated into a language other than English and if the meaning of the translated version is different from the English version, the English version will control.</w:t>
      </w:r>
    </w:p>
    <w:p>
      <w:pPr>
        <w:spacing w:after="0" w:line="152" w:lineRule="exact"/>
        <w:rPr>
          <w:rFonts w:ascii="Arial" w:cs="Arial" w:eastAsia="Arial" w:hAnsi="Arial"/>
          <w:sz w:val="22"/>
          <w:szCs w:val="22"/>
          <w:color w:val="auto"/>
        </w:rPr>
      </w:pPr>
    </w:p>
    <w:p>
      <w:pPr>
        <w:jc w:val="both"/>
        <w:ind w:firstLine="1304"/>
        <w:spacing w:after="0" w:line="219" w:lineRule="auto"/>
        <w:tabs>
          <w:tab w:leader="none" w:pos="1939" w:val="left"/>
        </w:tabs>
        <w:numPr>
          <w:ilvl w:val="0"/>
          <w:numId w:val="31"/>
        </w:numPr>
        <w:rPr>
          <w:rFonts w:ascii="Arial" w:cs="Arial" w:eastAsia="Arial" w:hAnsi="Arial"/>
          <w:sz w:val="21"/>
          <w:szCs w:val="21"/>
          <w:color w:val="auto"/>
        </w:rPr>
      </w:pPr>
      <w:r>
        <w:rPr>
          <w:rFonts w:ascii="Arial" w:cs="Arial" w:eastAsia="Arial" w:hAnsi="Arial"/>
          <w:sz w:val="21"/>
          <w:szCs w:val="21"/>
          <w:b w:val="1"/>
          <w:bCs w:val="1"/>
          <w:u w:val="single" w:color="auto"/>
          <w:color w:val="auto"/>
        </w:rPr>
        <w:t>Insider Trading/Market Abuse</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accepting the Option, Grantee acknowledges that he or she is bound</w:t>
      </w:r>
      <w:r>
        <w:rPr>
          <w:rFonts w:ascii="Arial" w:cs="Arial" w:eastAsia="Arial" w:hAnsi="Arial"/>
          <w:sz w:val="21"/>
          <w:szCs w:val="21"/>
          <w:b w:val="1"/>
          <w:bCs w:val="1"/>
          <w:color w:val="auto"/>
        </w:rPr>
        <w:t xml:space="preserve"> </w:t>
      </w:r>
      <w:r>
        <w:rPr>
          <w:rFonts w:ascii="Arial" w:cs="Arial" w:eastAsia="Arial" w:hAnsi="Arial"/>
          <w:sz w:val="21"/>
          <w:szCs w:val="21"/>
          <w:color w:val="auto"/>
        </w:rPr>
        <w:t>by all the 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w:t>
      </w:r>
      <w:r>
        <w:rPr>
          <w:rFonts w:ascii="Arial" w:cs="Arial" w:eastAsia="Arial" w:hAnsi="Arial"/>
          <w:sz w:val="21"/>
          <w:szCs w:val="21"/>
          <w:i w:val="1"/>
          <w:iCs w:val="1"/>
          <w:color w:val="auto"/>
        </w:rPr>
        <w:t>e.g.</w:t>
      </w:r>
      <w:r>
        <w:rPr>
          <w:rFonts w:ascii="Arial" w:cs="Arial" w:eastAsia="Arial" w:hAnsi="Arial"/>
          <w:sz w:val="21"/>
          <w:szCs w:val="21"/>
          <w:color w:val="auto"/>
        </w:rPr>
        <w:t>, Options)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59" w:lineRule="exact"/>
        <w:rPr>
          <w:rFonts w:ascii="Arial" w:cs="Arial" w:eastAsia="Arial" w:hAnsi="Arial"/>
          <w:sz w:val="21"/>
          <w:szCs w:val="21"/>
          <w:color w:val="auto"/>
        </w:rPr>
      </w:pPr>
    </w:p>
    <w:p>
      <w:pPr>
        <w:jc w:val="both"/>
        <w:ind w:firstLine="1304"/>
        <w:spacing w:after="0" w:line="246" w:lineRule="auto"/>
        <w:tabs>
          <w:tab w:leader="none" w:pos="1932" w:val="left"/>
        </w:tabs>
        <w:numPr>
          <w:ilvl w:val="0"/>
          <w:numId w:val="31"/>
        </w:numPr>
        <w:rPr>
          <w:rFonts w:ascii="Arial" w:cs="Arial" w:eastAsia="Arial" w:hAnsi="Arial"/>
          <w:sz w:val="19"/>
          <w:szCs w:val="19"/>
          <w:color w:val="auto"/>
        </w:rPr>
      </w:pPr>
      <w:r>
        <w:rPr>
          <w:rFonts w:ascii="Arial" w:cs="Arial" w:eastAsia="Arial" w:hAnsi="Arial"/>
          <w:sz w:val="19"/>
          <w:szCs w:val="19"/>
          <w:b w:val="1"/>
          <w:bCs w:val="1"/>
          <w:u w:val="single" w:color="auto"/>
          <w:color w:val="auto"/>
        </w:rPr>
        <w:t>Foreign Asset/Account, Exchange Control and Tax Reporting</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may be subject to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asset/account, exchange control, tax reporting or other requirements which may affect Grantee’s ability acquire or hold Option or the Shares or cash received from participating in the Plan (including dividends and the proceeds arising from the sale of the Shares) in a brokerage/bank account outside Grantee’s country. The Applicable Laws of Grantee’s country may require that he or she report such Option, Shares, accounts, assets or transactions to the applicable authorities in such country and/or repatriate funds received in connection with the Plan to Grantee’s country within a certain time period or according to certain procedures. Grantee acknowledges that he or she is responsible for ensuring compliance with any applicable requirements and should consult his or her personal legal advisor to ensure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71" w:lineRule="exact"/>
        <w:rPr>
          <w:sz w:val="20"/>
          <w:szCs w:val="20"/>
          <w:color w:val="auto"/>
        </w:rPr>
      </w:pPr>
    </w:p>
    <w:p>
      <w:pPr>
        <w:jc w:val="both"/>
        <w:ind w:firstLine="1304"/>
        <w:spacing w:after="0" w:line="225" w:lineRule="auto"/>
        <w:tabs>
          <w:tab w:leader="none" w:pos="1932" w:val="left"/>
        </w:tabs>
        <w:numPr>
          <w:ilvl w:val="1"/>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Necessary Acts</w:t>
      </w:r>
      <w:r>
        <w:rPr>
          <w:rFonts w:ascii="Arial" w:cs="Arial" w:eastAsia="Arial" w:hAnsi="Arial"/>
          <w:sz w:val="22"/>
          <w:szCs w:val="22"/>
          <w:color w:val="auto"/>
        </w:rPr>
        <w:t>. Grantee hereby agrees to perform all acts, and to execute and deliver any documents that</w:t>
      </w:r>
      <w:r>
        <w:rPr>
          <w:rFonts w:ascii="Arial" w:cs="Arial" w:eastAsia="Arial" w:hAnsi="Arial"/>
          <w:sz w:val="22"/>
          <w:szCs w:val="22"/>
          <w:b w:val="1"/>
          <w:bCs w:val="1"/>
          <w:color w:val="auto"/>
        </w:rPr>
        <w:t xml:space="preserve"> </w:t>
      </w:r>
      <w:r>
        <w:rPr>
          <w:rFonts w:ascii="Arial" w:cs="Arial" w:eastAsia="Arial" w:hAnsi="Arial"/>
          <w:sz w:val="22"/>
          <w:szCs w:val="22"/>
          <w:color w:val="auto"/>
        </w:rPr>
        <w:t>may be reasonably necessary to carry out the provisions of this Stock Option Agreement, including but not limited to all acts and documents related to compliance with federal and/or state securities and/or tax laws.</w:t>
      </w:r>
    </w:p>
    <w:p>
      <w:pPr>
        <w:spacing w:after="0" w:line="152" w:lineRule="exact"/>
        <w:rPr>
          <w:rFonts w:ascii="Arial" w:cs="Arial" w:eastAsia="Arial" w:hAnsi="Arial"/>
          <w:sz w:val="22"/>
          <w:szCs w:val="22"/>
          <w:color w:val="auto"/>
        </w:rPr>
      </w:pPr>
    </w:p>
    <w:p>
      <w:pPr>
        <w:ind w:right="20" w:firstLine="1304"/>
        <w:spacing w:after="0" w:line="235" w:lineRule="auto"/>
        <w:tabs>
          <w:tab w:leader="none" w:pos="1939" w:val="left"/>
        </w:tabs>
        <w:numPr>
          <w:ilvl w:val="1"/>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Headings are used solely for the convenience of the parties and shall not be deemed to be a</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 upon or descriptive of the contents of any such Section.</w:t>
      </w:r>
    </w:p>
    <w:p>
      <w:pPr>
        <w:spacing w:after="0" w:line="152" w:lineRule="exact"/>
        <w:rPr>
          <w:rFonts w:ascii="Arial" w:cs="Arial" w:eastAsia="Arial" w:hAnsi="Arial"/>
          <w:sz w:val="22"/>
          <w:szCs w:val="22"/>
          <w:color w:val="auto"/>
        </w:rPr>
      </w:pPr>
    </w:p>
    <w:p>
      <w:pPr>
        <w:ind w:left="1940" w:hanging="636"/>
        <w:spacing w:after="0"/>
        <w:tabs>
          <w:tab w:leader="none" w:pos="1940" w:val="left"/>
        </w:tabs>
        <w:numPr>
          <w:ilvl w:val="1"/>
          <w:numId w:val="32"/>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 No amendment or modification hereof shall be valid unless it shall be in writing and signed</w:t>
      </w:r>
    </w:p>
    <w:p>
      <w:pPr>
        <w:spacing w:after="0" w:line="2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all parties hereto.</w:t>
      </w:r>
    </w:p>
    <w:p>
      <w:pPr>
        <w:spacing w:after="0" w:line="155"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Limitations Applicable to Section 16 Persons</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other provision of the Plan or this Stock</w:t>
      </w:r>
      <w:r>
        <w:rPr>
          <w:rFonts w:ascii="Arial" w:cs="Arial" w:eastAsia="Arial" w:hAnsi="Arial"/>
          <w:sz w:val="21"/>
          <w:szCs w:val="21"/>
          <w:b w:val="1"/>
          <w:bCs w:val="1"/>
          <w:color w:val="auto"/>
        </w:rPr>
        <w:t xml:space="preserve"> </w:t>
      </w:r>
      <w:r>
        <w:rPr>
          <w:rFonts w:ascii="Arial" w:cs="Arial" w:eastAsia="Arial" w:hAnsi="Arial"/>
          <w:sz w:val="21"/>
          <w:szCs w:val="21"/>
          <w:color w:val="auto"/>
        </w:rPr>
        <w:t>Option Agreement, if Grantee is subject to Section 16 of the Exchange Act, the Plan, the Grant Notice and this Stock Option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Stock Option Agreement shall be deemed amended to the extent necessary to conform to such applicable exemptive rule.</w:t>
      </w:r>
    </w:p>
    <w:p>
      <w:pPr>
        <w:spacing w:after="0" w:line="153" w:lineRule="exact"/>
        <w:rPr>
          <w:rFonts w:ascii="Arial" w:cs="Arial" w:eastAsia="Arial" w:hAnsi="Arial"/>
          <w:sz w:val="21"/>
          <w:szCs w:val="21"/>
          <w:color w:val="auto"/>
        </w:rPr>
      </w:pPr>
    </w:p>
    <w:p>
      <w:pPr>
        <w:jc w:val="both"/>
        <w:ind w:firstLine="656"/>
        <w:spacing w:after="0" w:line="230"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Imposition of Other Requirements</w:t>
      </w:r>
      <w:r>
        <w:rPr>
          <w:rFonts w:ascii="Arial" w:cs="Arial" w:eastAsia="Arial" w:hAnsi="Arial"/>
          <w:sz w:val="21"/>
          <w:szCs w:val="21"/>
          <w:color w:val="auto"/>
        </w:rPr>
        <w:t>. The Company reserves the right to impose other requirements on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participation in the Plan, on the Option and on any Shares issued pursuant to this Stock Option Agreement, to the extent the Company determines it is necessary or advisable for legal or administrative reasons, and to require Grantee to sign any additional agreements or undertakings that may be necessary to accomplish the foregoing.</w:t>
      </w:r>
    </w:p>
    <w:p>
      <w:pPr>
        <w:spacing w:after="0" w:line="154" w:lineRule="exact"/>
        <w:rPr>
          <w:rFonts w:ascii="Arial" w:cs="Arial" w:eastAsia="Arial" w:hAnsi="Arial"/>
          <w:sz w:val="21"/>
          <w:szCs w:val="21"/>
          <w:color w:val="auto"/>
        </w:rPr>
      </w:pPr>
    </w:p>
    <w:p>
      <w:pPr>
        <w:jc w:val="both"/>
        <w:ind w:firstLine="656"/>
        <w:spacing w:after="0" w:line="217"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Agreement</w:t>
      </w:r>
      <w:r>
        <w:rPr>
          <w:rFonts w:ascii="Arial" w:cs="Arial" w:eastAsia="Arial" w:hAnsi="Arial"/>
          <w:sz w:val="22"/>
          <w:szCs w:val="22"/>
          <w:color w:val="auto"/>
        </w:rPr>
        <w:t>. Grantee acknowledges receipt of a copy of the Plan and represents that he or she is familiar</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and provisions thereof (and has had an opportunity to consult counsel regarding the Option terms), and hereby accepts the Option and agrees to be bound by its contractual terms as set forth herein and in the Plan. Grantee hereby agrees to accept as binding, conclusive and final all decisions and interpretations of the Plan Administrator regarding any questions relating to the Option.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Stock Option Agreement is hereby accepted and the terms and conditions thereof hereby agreed to by the undersigned. Electronic acceptance of this Stock Option Agreement pursuant to the Company’s instructions to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4457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4114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5829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6858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-17780</wp:posOffset>
            </wp:positionV>
            <wp:extent cx="5829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6858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AFFIRM HOLDINGS,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AMENDED AND RESTATED STOCK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GLOBAL RESTRICTED STOCK UNIT AWARD AGREEMENT</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Pursuant to your Global Notice of Restricted Stock Unit Grant (the “</w:t>
      </w:r>
      <w:r>
        <w:rPr>
          <w:rFonts w:ascii="Arial" w:cs="Arial" w:eastAsia="Arial" w:hAnsi="Arial"/>
          <w:sz w:val="21"/>
          <w:szCs w:val="21"/>
          <w:b w:val="1"/>
          <w:bCs w:val="1"/>
          <w:color w:val="auto"/>
        </w:rPr>
        <w:t>Grant Notice</w:t>
      </w:r>
      <w:r>
        <w:rPr>
          <w:rFonts w:ascii="Arial" w:cs="Arial" w:eastAsia="Arial" w:hAnsi="Arial"/>
          <w:sz w:val="21"/>
          <w:szCs w:val="21"/>
          <w:color w:val="auto"/>
        </w:rPr>
        <w:t>”) and this Global Restricted Stock Unit Agreement, including the additional terms and conditions for certain countries, as set forth in the addendum attached hereto (the “</w:t>
      </w:r>
      <w:r>
        <w:rPr>
          <w:rFonts w:ascii="Arial" w:cs="Arial" w:eastAsia="Arial" w:hAnsi="Arial"/>
          <w:sz w:val="21"/>
          <w:szCs w:val="21"/>
          <w:b w:val="1"/>
          <w:bCs w:val="1"/>
          <w:color w:val="auto"/>
        </w:rPr>
        <w:t>Addendum</w:t>
      </w:r>
      <w:r>
        <w:rPr>
          <w:rFonts w:ascii="Arial" w:cs="Arial" w:eastAsia="Arial" w:hAnsi="Arial"/>
          <w:sz w:val="21"/>
          <w:szCs w:val="21"/>
          <w:color w:val="auto"/>
        </w:rPr>
        <w:t>” and, together, the “</w:t>
      </w:r>
      <w:r>
        <w:rPr>
          <w:rFonts w:ascii="Arial" w:cs="Arial" w:eastAsia="Arial" w:hAnsi="Arial"/>
          <w:sz w:val="21"/>
          <w:szCs w:val="21"/>
          <w:b w:val="1"/>
          <w:bCs w:val="1"/>
          <w:color w:val="auto"/>
        </w:rPr>
        <w:t>Agreement</w:t>
      </w:r>
      <w:r>
        <w:rPr>
          <w:rFonts w:ascii="Arial" w:cs="Arial" w:eastAsia="Arial" w:hAnsi="Arial"/>
          <w:sz w:val="21"/>
          <w:szCs w:val="21"/>
          <w:color w:val="auto"/>
        </w:rPr>
        <w:t>”), Affirm Holdings,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has granted you (“</w:t>
      </w:r>
      <w:r>
        <w:rPr>
          <w:rFonts w:ascii="Arial" w:cs="Arial" w:eastAsia="Arial" w:hAnsi="Arial"/>
          <w:sz w:val="21"/>
          <w:szCs w:val="21"/>
          <w:b w:val="1"/>
          <w:bCs w:val="1"/>
          <w:color w:val="auto"/>
        </w:rPr>
        <w:t>Grantee</w:t>
      </w:r>
      <w:r>
        <w:rPr>
          <w:rFonts w:ascii="Arial" w:cs="Arial" w:eastAsia="Arial" w:hAnsi="Arial"/>
          <w:sz w:val="21"/>
          <w:szCs w:val="21"/>
          <w:color w:val="auto"/>
        </w:rPr>
        <w:t>”), as of the Date of Grant set forth in the Grant Notice, a restricted stock unit award covering the number of units set forth in your Grant Notice (the “</w:t>
      </w:r>
      <w:r>
        <w:rPr>
          <w:rFonts w:ascii="Arial" w:cs="Arial" w:eastAsia="Arial" w:hAnsi="Arial"/>
          <w:sz w:val="21"/>
          <w:szCs w:val="21"/>
          <w:b w:val="1"/>
          <w:bCs w:val="1"/>
          <w:color w:val="auto"/>
        </w:rPr>
        <w:t>RSUs</w:t>
      </w:r>
      <w:r>
        <w:rPr>
          <w:rFonts w:ascii="Arial" w:cs="Arial" w:eastAsia="Arial" w:hAnsi="Arial"/>
          <w:sz w:val="21"/>
          <w:szCs w:val="21"/>
          <w:color w:val="auto"/>
        </w:rPr>
        <w:t>”), each of which represents one (1) share of the Company’s class A common stock (“</w:t>
      </w:r>
      <w:r>
        <w:rPr>
          <w:rFonts w:ascii="Arial" w:cs="Arial" w:eastAsia="Arial" w:hAnsi="Arial"/>
          <w:sz w:val="21"/>
          <w:szCs w:val="21"/>
          <w:b w:val="1"/>
          <w:bCs w:val="1"/>
          <w:color w:val="auto"/>
        </w:rPr>
        <w:t>Common Stock</w:t>
      </w:r>
      <w:r>
        <w:rPr>
          <w:rFonts w:ascii="Arial" w:cs="Arial" w:eastAsia="Arial" w:hAnsi="Arial"/>
          <w:sz w:val="21"/>
          <w:szCs w:val="21"/>
          <w:color w:val="auto"/>
        </w:rPr>
        <w:t>” and the shares of Common Stock underlying the RSUs, the “</w:t>
      </w:r>
      <w:r>
        <w:rPr>
          <w:rFonts w:ascii="Arial" w:cs="Arial" w:eastAsia="Arial" w:hAnsi="Arial"/>
          <w:sz w:val="21"/>
          <w:szCs w:val="21"/>
          <w:b w:val="1"/>
          <w:bCs w:val="1"/>
          <w:color w:val="auto"/>
        </w:rPr>
        <w:t>Shares</w:t>
      </w:r>
      <w:r>
        <w:rPr>
          <w:rFonts w:ascii="Arial" w:cs="Arial" w:eastAsia="Arial" w:hAnsi="Arial"/>
          <w:sz w:val="21"/>
          <w:szCs w:val="21"/>
          <w:color w:val="auto"/>
        </w:rPr>
        <w:t>”), pursuant to the Company’s Amended and Restated 2012 Stock Plan and any applicable sub-plan for a particular country (together, the “</w:t>
      </w:r>
      <w:r>
        <w:rPr>
          <w:rFonts w:ascii="Arial" w:cs="Arial" w:eastAsia="Arial" w:hAnsi="Arial"/>
          <w:sz w:val="21"/>
          <w:szCs w:val="21"/>
          <w:b w:val="1"/>
          <w:bCs w:val="1"/>
          <w:color w:val="auto"/>
        </w:rPr>
        <w:t>Plan</w:t>
      </w:r>
      <w:r>
        <w:rPr>
          <w:rFonts w:ascii="Arial" w:cs="Arial" w:eastAsia="Arial" w:hAnsi="Arial"/>
          <w:sz w:val="21"/>
          <w:szCs w:val="21"/>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52" w:lineRule="exact"/>
        <w:rPr>
          <w:sz w:val="20"/>
          <w:szCs w:val="20"/>
          <w:color w:val="auto"/>
        </w:rPr>
      </w:pPr>
    </w:p>
    <w:p>
      <w:pPr>
        <w:jc w:val="both"/>
        <w:ind w:firstLine="656"/>
        <w:spacing w:after="0" w:line="225"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No Stockholder Rights</w:t>
      </w:r>
      <w:r>
        <w:rPr>
          <w:rFonts w:ascii="Arial" w:cs="Arial" w:eastAsia="Arial" w:hAnsi="Arial"/>
          <w:sz w:val="22"/>
          <w:szCs w:val="22"/>
          <w:color w:val="auto"/>
        </w:rPr>
        <w:t>. Unless and until such time as Shares are issued pursuant to this Agreement in 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of vested RSUs, Grantee shall have no ownership of the Shares allocated to the RSUs, including, without limitation, no right to dividends (or dividend equivalents) or to vote such Shares.</w:t>
      </w:r>
    </w:p>
    <w:p>
      <w:pPr>
        <w:spacing w:after="0" w:line="152" w:lineRule="exact"/>
        <w:rPr>
          <w:rFonts w:ascii="Arial" w:cs="Arial" w:eastAsia="Arial" w:hAnsi="Arial"/>
          <w:sz w:val="22"/>
          <w:szCs w:val="22"/>
          <w:color w:val="auto"/>
        </w:rPr>
      </w:pPr>
    </w:p>
    <w:p>
      <w:pPr>
        <w:jc w:val="both"/>
        <w:ind w:firstLine="656"/>
        <w:spacing w:after="0" w:line="242"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of Employment</w:t>
      </w:r>
      <w:r>
        <w:rPr>
          <w:rFonts w:ascii="Arial" w:cs="Arial" w:eastAsia="Arial" w:hAnsi="Arial"/>
          <w:sz w:val="19"/>
          <w:szCs w:val="19"/>
          <w:color w:val="auto"/>
        </w:rPr>
        <w:t>. Except as otherwise provided in the Plan or the Grant Notice, if Grantee’s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Continuous Service Status terminates at any time for any reason, all RSUs for which vesting is no longer possible under the terms of the Grant Notice and this Agreement shall be forfeited to the Company on the date of such termination of Continuous Service Status, and all rights of Grantee to such RSUs shall immediately terminate at such time. For purposes of the RSUs, Grantee’s Continuous Service Status will be considered terminated as of the date Grantee is no longer actively providing services to the Company or, if different, Grantee’s employer (the “</w:t>
      </w:r>
      <w:r>
        <w:rPr>
          <w:rFonts w:ascii="Arial" w:cs="Arial" w:eastAsia="Arial" w:hAnsi="Arial"/>
          <w:sz w:val="19"/>
          <w:szCs w:val="19"/>
          <w:b w:val="1"/>
          <w:bCs w:val="1"/>
          <w:color w:val="auto"/>
        </w:rPr>
        <w:t>Employer</w:t>
      </w:r>
      <w:r>
        <w:rPr>
          <w:rFonts w:ascii="Arial" w:cs="Arial" w:eastAsia="Arial" w:hAnsi="Arial"/>
          <w:sz w:val="19"/>
          <w:szCs w:val="19"/>
          <w:color w:val="auto"/>
        </w:rPr>
        <w:t>”) (regardless of the reason for such termination and whether or not later found to be invalid or in breach of employment laws in the jurisdiction where Grantee is providing services or the terms of Grantee’s employment or service agreement, if any). Further, unless otherwise approved by the Company, Grantee’s right to vest in the RSUs will terminate as of such date and will not be extended by any contractual notice period or any period of “garden leave” or similar notice period mandated under employment laws in the jurisdiction where Grantee is employed or the terms of Grantee’s employment agreement, if any. The Board shall have the exclusive discretion to determine when Grantee is no longer actively providing services for purposes of Grantee’s RSUs (including whether Grantee may still be considered to be providing services while on a leave of absence). For the avoidance of doubt, Grantee is not entitled to pro-rata vesting of any Shares if Grantee is employed for only a portion of the vesting period, but no longer employed on the respective vesting date.</w:t>
      </w:r>
    </w:p>
    <w:p>
      <w:pPr>
        <w:spacing w:after="0" w:line="155" w:lineRule="exact"/>
        <w:rPr>
          <w:rFonts w:ascii="Arial" w:cs="Arial" w:eastAsia="Arial" w:hAnsi="Arial"/>
          <w:sz w:val="19"/>
          <w:szCs w:val="19"/>
          <w:color w:val="auto"/>
        </w:rPr>
      </w:pPr>
    </w:p>
    <w:p>
      <w:pPr>
        <w:jc w:val="both"/>
        <w:ind w:firstLine="656"/>
        <w:spacing w:after="0" w:line="230" w:lineRule="auto"/>
        <w:tabs>
          <w:tab w:leader="none" w:pos="1296"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Issuance of Shares of Stock</w:t>
      </w:r>
      <w:r>
        <w:rPr>
          <w:rFonts w:ascii="Arial" w:cs="Arial" w:eastAsia="Arial" w:hAnsi="Arial"/>
          <w:sz w:val="21"/>
          <w:szCs w:val="21"/>
          <w:color w:val="auto"/>
        </w:rPr>
        <w:t>. As soon as practicable following each vesting date (but in no event later than two</w:t>
      </w:r>
      <w:r>
        <w:rPr>
          <w:rFonts w:ascii="Arial" w:cs="Arial" w:eastAsia="Arial" w:hAnsi="Arial"/>
          <w:sz w:val="21"/>
          <w:szCs w:val="21"/>
          <w:b w:val="1"/>
          <w:bCs w:val="1"/>
          <w:color w:val="auto"/>
        </w:rPr>
        <w:t xml:space="preserve"> </w:t>
      </w:r>
      <w:r>
        <w:rPr>
          <w:rFonts w:ascii="Arial" w:cs="Arial" w:eastAsia="Arial" w:hAnsi="Arial"/>
          <w:sz w:val="21"/>
          <w:szCs w:val="21"/>
          <w:color w:val="auto"/>
        </w:rPr>
        <w:t>and one-half (2 ½) months after the end of the year in which the vesting date occurs), the Company shall issue to Grantee the number of Shares equal to the aggregate number of RSUs that have vested pursuant to Grant Notice on such date and Grantee shall thereafter have all the rights of a stockholder of the Company with respect to such shares.</w:t>
      </w:r>
    </w:p>
    <w:p>
      <w:pPr>
        <w:spacing w:after="0" w:line="154" w:lineRule="exact"/>
        <w:rPr>
          <w:rFonts w:ascii="Arial" w:cs="Arial" w:eastAsia="Arial" w:hAnsi="Arial"/>
          <w:sz w:val="21"/>
          <w:szCs w:val="21"/>
          <w:color w:val="auto"/>
        </w:rPr>
      </w:pPr>
    </w:p>
    <w:p>
      <w:pPr>
        <w:jc w:val="both"/>
        <w:ind w:firstLine="656"/>
        <w:spacing w:after="0" w:line="225"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b w:val="1"/>
          <w:bCs w:val="1"/>
          <w:u w:val="single" w:color="auto"/>
          <w:color w:val="auto"/>
        </w:rPr>
        <w:t>Incorporation of Plan</w:t>
      </w:r>
      <w:r>
        <w:rPr>
          <w:rFonts w:ascii="Arial" w:cs="Arial" w:eastAsia="Arial" w:hAnsi="Arial"/>
          <w:sz w:val="22"/>
          <w:szCs w:val="22"/>
          <w:color w:val="auto"/>
        </w:rPr>
        <w:t>. Notwithstanding anything herein to the contrary, this Agreement shall be subject to and</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all the terms and conditions of the Plan, including the powers of the Administrator set forth in Section 4 of the Plan. Capitalized terms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Agreement shall have the meaning specified in the Plan, unless a different meaning is specified herein.</w:t>
      </w:r>
    </w:p>
    <w:p>
      <w:pPr>
        <w:spacing w:after="0" w:line="173"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b w:val="1"/>
          <w:bCs w:val="1"/>
          <w:u w:val="single" w:color="auto"/>
          <w:color w:val="auto"/>
        </w:rPr>
        <w:t>Responsibility for Taxes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firstLine="1304"/>
        <w:spacing w:after="0" w:line="242" w:lineRule="auto"/>
        <w:tabs>
          <w:tab w:leader="none" w:pos="1941" w:val="left"/>
        </w:tabs>
        <w:numPr>
          <w:ilvl w:val="1"/>
          <w:numId w:val="35"/>
        </w:numPr>
        <w:rPr>
          <w:rFonts w:ascii="Arial" w:cs="Arial" w:eastAsia="Arial" w:hAnsi="Arial"/>
          <w:sz w:val="19"/>
          <w:szCs w:val="19"/>
          <w:color w:val="auto"/>
        </w:rPr>
      </w:pPr>
      <w:r>
        <w:rPr>
          <w:rFonts w:ascii="Arial" w:cs="Arial" w:eastAsia="Arial" w:hAnsi="Arial"/>
          <w:sz w:val="19"/>
          <w:szCs w:val="19"/>
          <w:color w:val="auto"/>
        </w:rPr>
        <w:t>As a condition to the grant, vesting, and settlement of the RSUs, Grantee acknowledges that, regardless of any action taken by the Company or the Employer, the ultimate liability for all income tax, social security contributions (including employer’s social security contributions to the extent such amounts may be lawfully recovered from Grantee),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or subsequent sale of the Shares allocated to the RSUs, or the participation in the Plan (“</w:t>
      </w:r>
      <w:r>
        <w:rPr>
          <w:rFonts w:ascii="Arial" w:cs="Arial" w:eastAsia="Arial" w:hAnsi="Arial"/>
          <w:sz w:val="19"/>
          <w:szCs w:val="19"/>
          <w:b w:val="1"/>
          <w:bCs w:val="1"/>
          <w:color w:val="auto"/>
        </w:rPr>
        <w:t>Tax-Related Items</w:t>
      </w:r>
      <w:r>
        <w:rPr>
          <w:rFonts w:ascii="Arial" w:cs="Arial" w:eastAsia="Arial" w:hAnsi="Arial"/>
          <w:sz w:val="19"/>
          <w:szCs w:val="19"/>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Arial" w:cs="Arial" w:eastAsia="Arial" w:hAnsi="Arial"/>
          <w:sz w:val="19"/>
          <w:szCs w:val="19"/>
          <w:b w:val="1"/>
          <w:bCs w:val="1"/>
          <w:color w:val="auto"/>
        </w:rPr>
        <w:t>Company Group</w:t>
      </w:r>
      <w:r>
        <w:rPr>
          <w:rFonts w:ascii="Arial" w:cs="Arial" w:eastAsia="Arial" w:hAnsi="Arial"/>
          <w:sz w:val="19"/>
          <w:szCs w:val="19"/>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60" w:lineRule="exact"/>
        <w:rPr>
          <w:rFonts w:ascii="Arial" w:cs="Arial" w:eastAsia="Arial" w:hAnsi="Arial"/>
          <w:sz w:val="19"/>
          <w:szCs w:val="19"/>
          <w:color w:val="auto"/>
        </w:rPr>
      </w:pPr>
    </w:p>
    <w:p>
      <w:pPr>
        <w:ind w:right="80" w:firstLine="1304"/>
        <w:spacing w:after="0" w:line="246" w:lineRule="auto"/>
        <w:tabs>
          <w:tab w:leader="none" w:pos="1939" w:val="left"/>
        </w:tabs>
        <w:numPr>
          <w:ilvl w:val="1"/>
          <w:numId w:val="35"/>
        </w:numPr>
        <w:rPr>
          <w:rFonts w:ascii="Arial" w:cs="Arial" w:eastAsia="Arial" w:hAnsi="Arial"/>
          <w:sz w:val="19"/>
          <w:szCs w:val="19"/>
          <w:color w:val="auto"/>
        </w:rPr>
      </w:pPr>
      <w:r>
        <w:rPr>
          <w:rFonts w:ascii="Arial" w:cs="Arial" w:eastAsia="Arial" w:hAnsi="Arial"/>
          <w:sz w:val="19"/>
          <w:szCs w:val="19"/>
          <w:color w:val="auto"/>
        </w:rPr>
        <w:t>Grantee further acknowledges that the Company and/or the Employer: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Grantee’s liability for Tax-Related Items or achieve any particular tax result. Grantee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152" w:lineRule="exact"/>
        <w:rPr>
          <w:rFonts w:ascii="Arial" w:cs="Arial" w:eastAsia="Arial" w:hAnsi="Arial"/>
          <w:sz w:val="19"/>
          <w:szCs w:val="19"/>
          <w:color w:val="auto"/>
        </w:rPr>
      </w:pPr>
    </w:p>
    <w:p>
      <w:pPr>
        <w:ind w:right="320" w:firstLine="1304"/>
        <w:spacing w:after="0" w:line="223" w:lineRule="auto"/>
        <w:tabs>
          <w:tab w:leader="none" w:pos="1941" w:val="left"/>
        </w:tabs>
        <w:numPr>
          <w:ilvl w:val="1"/>
          <w:numId w:val="35"/>
        </w:numPr>
        <w:rPr>
          <w:rFonts w:ascii="Arial" w:cs="Arial" w:eastAsia="Arial" w:hAnsi="Arial"/>
          <w:sz w:val="22"/>
          <w:szCs w:val="22"/>
          <w:color w:val="auto"/>
        </w:rPr>
      </w:pPr>
      <w:r>
        <w:rPr>
          <w:rFonts w:ascii="Arial" w:cs="Arial" w:eastAsia="Arial" w:hAnsi="Arial"/>
          <w:sz w:val="22"/>
          <w:szCs w:val="22"/>
          <w:color w:val="auto"/>
        </w:rPr>
        <w:t>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58" w:lineRule="exact"/>
        <w:rPr>
          <w:rFonts w:ascii="Arial" w:cs="Arial" w:eastAsia="Arial" w:hAnsi="Arial"/>
          <w:sz w:val="22"/>
          <w:szCs w:val="22"/>
          <w:color w:val="auto"/>
        </w:rPr>
      </w:pPr>
    </w:p>
    <w:p>
      <w:pPr>
        <w:ind w:right="80" w:firstLine="1304"/>
        <w:spacing w:after="0" w:line="249" w:lineRule="auto"/>
        <w:tabs>
          <w:tab w:leader="none" w:pos="1939" w:val="left"/>
        </w:tabs>
        <w:numPr>
          <w:ilvl w:val="1"/>
          <w:numId w:val="35"/>
        </w:numPr>
        <w:rPr>
          <w:rFonts w:ascii="Arial" w:cs="Arial" w:eastAsia="Arial" w:hAnsi="Arial"/>
          <w:sz w:val="19"/>
          <w:szCs w:val="19"/>
          <w:color w:val="auto"/>
        </w:rPr>
      </w:pPr>
      <w:r>
        <w:rPr>
          <w:rFonts w:ascii="Arial" w:cs="Arial" w:eastAsia="Arial" w:hAnsi="Arial"/>
          <w:sz w:val="19"/>
          <w:szCs w:val="19"/>
          <w:color w:val="auto"/>
        </w:rPr>
        <w:t>Pursuant to this Agreement and subject to Applicable Laws, Grantee authorizes the Company and/or the Employer, or their respective agents, at their discretion, to satisfy Grantee’s Tax-Related Items by (i) withholding from Grantee’s wages or other compensation paid to Grantee by the Company or the Employer, (ii) withholding from proceeds of the sale of Shares acquired pursuant to the RSUs either through a voluntary sale or through a mandatory sale arranged by the Company (on Grantee’s behalf pursuant to this authorization) without further consent, (iii) withholding Shares that would otherwise be issued upon settlement of the RSUs; or (iv) such other method as determined by the Company.</w:t>
      </w:r>
    </w:p>
    <w:p>
      <w:pPr>
        <w:spacing w:after="0" w:line="151" w:lineRule="exact"/>
        <w:rPr>
          <w:rFonts w:ascii="Arial" w:cs="Arial" w:eastAsia="Arial" w:hAnsi="Arial"/>
          <w:sz w:val="19"/>
          <w:szCs w:val="19"/>
          <w:color w:val="auto"/>
        </w:rPr>
      </w:pPr>
    </w:p>
    <w:p>
      <w:pPr>
        <w:ind w:right="60" w:firstLine="1304"/>
        <w:spacing w:after="0" w:line="268" w:lineRule="auto"/>
        <w:tabs>
          <w:tab w:leader="none" w:pos="1941" w:val="left"/>
        </w:tabs>
        <w:numPr>
          <w:ilvl w:val="1"/>
          <w:numId w:val="35"/>
        </w:numPr>
        <w:rPr>
          <w:rFonts w:ascii="Arial" w:cs="Arial" w:eastAsia="Arial" w:hAnsi="Arial"/>
          <w:sz w:val="19"/>
          <w:szCs w:val="19"/>
          <w:color w:val="auto"/>
        </w:rPr>
      </w:pPr>
      <w:r>
        <w:rPr>
          <w:rFonts w:ascii="Arial" w:cs="Arial" w:eastAsia="Arial" w:hAnsi="Arial"/>
          <w:sz w:val="19"/>
          <w:szCs w:val="19"/>
          <w:color w:val="auto"/>
        </w:rPr>
        <w:t>Depending on the method of satisfying the Tax-Related Items, the Company may pay, withhold or account for such Tax-Related Items by considering applicable minimum statutory withholding amounts or other applicable tax or withholding rates, including maximum applicable rates, in Grantee’s jurisdiction(s). In the event of over-withholding,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77" w:lineRule="exact"/>
        <w:rPr>
          <w:sz w:val="20"/>
          <w:szCs w:val="20"/>
          <w:color w:val="auto"/>
        </w:rPr>
      </w:pPr>
    </w:p>
    <w:p>
      <w:pPr>
        <w:ind w:right="420"/>
        <w:spacing w:after="0" w:line="232" w:lineRule="auto"/>
        <w:rPr>
          <w:sz w:val="20"/>
          <w:szCs w:val="20"/>
          <w:color w:val="auto"/>
        </w:rPr>
      </w:pPr>
      <w:r>
        <w:rPr>
          <w:rFonts w:ascii="Arial" w:cs="Arial" w:eastAsia="Arial" w:hAnsi="Arial"/>
          <w:sz w:val="22"/>
          <w:szCs w:val="22"/>
          <w:color w:val="auto"/>
        </w:rPr>
        <w:t>Grantee may receive a refund of any over-withheld amount in cash (with no entitlement to the equivalent in Shares), or if not refunded, Grantee may be able to seek a refund from the local tax authorities.</w:t>
      </w:r>
    </w:p>
    <w:p>
      <w:pPr>
        <w:spacing w:after="0" w:line="159" w:lineRule="exact"/>
        <w:rPr>
          <w:sz w:val="20"/>
          <w:szCs w:val="20"/>
          <w:color w:val="auto"/>
        </w:rPr>
      </w:pPr>
    </w:p>
    <w:p>
      <w:pPr>
        <w:ind w:right="180" w:firstLine="1304"/>
        <w:spacing w:after="0" w:line="252" w:lineRule="auto"/>
        <w:tabs>
          <w:tab w:leader="none" w:pos="1944" w:val="left"/>
        </w:tabs>
        <w:numPr>
          <w:ilvl w:val="1"/>
          <w:numId w:val="36"/>
        </w:numPr>
        <w:rPr>
          <w:rFonts w:ascii="Arial" w:cs="Arial" w:eastAsia="Arial" w:hAnsi="Arial"/>
          <w:sz w:val="19"/>
          <w:szCs w:val="19"/>
          <w:color w:val="auto"/>
        </w:rPr>
      </w:pPr>
      <w:r>
        <w:rPr>
          <w:rFonts w:ascii="Arial" w:cs="Arial" w:eastAsia="Arial" w:hAnsi="Arial"/>
          <w:sz w:val="19"/>
          <w:szCs w:val="19"/>
          <w:color w:val="auto"/>
        </w:rPr>
        <w:t>Grantee agrees to pay to the Company or the Employer any amount of Tax-Related Items that the Company or the Employer may be required to pay, withhold or account for as a result of Grantee’s receipt, vesting or settlement of the RSUs, the issuance of the Shares allocated to the RSUs or the participation in the Plan that cannot be satisfied by the means previously described. The Company may refuse to issue or deliver the Shares or the proceeds of the sale of Shares if Grantee fails to comply with his or her obligations in connection with the Tax-Related Items.</w:t>
      </w:r>
    </w:p>
    <w:p>
      <w:pPr>
        <w:spacing w:after="0" w:line="148" w:lineRule="exact"/>
        <w:rPr>
          <w:rFonts w:ascii="Arial" w:cs="Arial" w:eastAsia="Arial" w:hAnsi="Arial"/>
          <w:sz w:val="19"/>
          <w:szCs w:val="19"/>
          <w:color w:val="auto"/>
        </w:rPr>
      </w:pPr>
    </w:p>
    <w:p>
      <w:pPr>
        <w:ind w:right="100" w:firstLine="1304"/>
        <w:spacing w:after="0" w:line="252" w:lineRule="auto"/>
        <w:tabs>
          <w:tab w:leader="none" w:pos="1939" w:val="left"/>
        </w:tabs>
        <w:numPr>
          <w:ilvl w:val="1"/>
          <w:numId w:val="36"/>
        </w:numPr>
        <w:rPr>
          <w:rFonts w:ascii="Arial" w:cs="Arial" w:eastAsia="Arial" w:hAnsi="Arial"/>
          <w:sz w:val="19"/>
          <w:szCs w:val="19"/>
          <w:color w:val="auto"/>
        </w:rPr>
      </w:pPr>
      <w:r>
        <w:rPr>
          <w:rFonts w:ascii="Arial" w:cs="Arial" w:eastAsia="Arial" w:hAnsi="Arial"/>
          <w:sz w:val="19"/>
          <w:szCs w:val="19"/>
          <w:color w:val="auto"/>
        </w:rPr>
        <w:t>Grantee understands that Grantee may suffer adverse tax consequences as a result of Grantee’s receipt, the vesting and/or settlement of the RSUs, the issuance of Shares allocated to the RSUs and/or the disposition of such Shares. Grantee represents that Grantee has consulted any tax consultants Grantee deems advisable in connection with the receipt of the RSUs, the vesting and/or settlement of the RSUs, the issuance of Shares allocated to the RSUs and/or the disposition of such Shares and that Grantee is not relying on the Company (or the Employer) for any tax advice.</w:t>
      </w:r>
    </w:p>
    <w:p>
      <w:pPr>
        <w:spacing w:after="0" w:line="142"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of the Code</w:t>
      </w:r>
      <w:r>
        <w:rPr>
          <w:rFonts w:ascii="Arial" w:cs="Arial" w:eastAsia="Arial" w:hAnsi="Arial"/>
          <w:sz w:val="19"/>
          <w:szCs w:val="19"/>
          <w:color w:val="auto"/>
        </w:rPr>
        <w:t>. All payments made and benefits provided under this Agreement are intended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exempt from the requirements of Section 409A of the Code to the maximum extent permitted pursuant to U.S.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RSUs, Grantee hereby indemnifies the Company for any liability that arises as a result of Section 409A.</w:t>
      </w:r>
    </w:p>
    <w:p>
      <w:pPr>
        <w:spacing w:after="0" w:line="146"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No Obligation to Continue Employment</w:t>
      </w:r>
      <w:r>
        <w:rPr>
          <w:rFonts w:ascii="Arial" w:cs="Arial" w:eastAsia="Arial" w:hAnsi="Arial"/>
          <w:sz w:val="22"/>
          <w:szCs w:val="22"/>
          <w:color w:val="auto"/>
        </w:rPr>
        <w:t>. Neither the Company nor any Subsidiary is obligated by or as a result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or this Agreement to continue Grantee in employment and neither the Plan nor this Agreement shall interfere in any way with the right of the Company or any Subsidiary to terminate Grantee’s employment or consulting relationship, for any reason, with or without cause.</w:t>
      </w:r>
    </w:p>
    <w:p>
      <w:pPr>
        <w:spacing w:after="0" w:line="152" w:lineRule="exact"/>
        <w:rPr>
          <w:rFonts w:ascii="Arial" w:cs="Arial" w:eastAsia="Arial" w:hAnsi="Arial"/>
          <w:sz w:val="22"/>
          <w:szCs w:val="22"/>
          <w:color w:val="auto"/>
        </w:rPr>
      </w:pPr>
    </w:p>
    <w:p>
      <w:pPr>
        <w:jc w:val="both"/>
        <w:ind w:firstLine="656"/>
        <w:spacing w:after="0" w:line="217" w:lineRule="auto"/>
        <w:tabs>
          <w:tab w:leader="none" w:pos="1296"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Advice Regarding Grant</w:t>
      </w:r>
      <w:r>
        <w:rPr>
          <w:rFonts w:ascii="Arial" w:cs="Arial" w:eastAsia="Arial" w:hAnsi="Arial"/>
          <w:sz w:val="22"/>
          <w:szCs w:val="22"/>
          <w:color w:val="auto"/>
        </w:rPr>
        <w:t>. 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Grantee’s participation in the Plan, or Grantee’s receipt, vesting or settlement of the RSUs or the Shares allocated thereto or the sale of such Shares. Grantee is hereby advised to consult with his or her own personal tax, legal and financial advisors regarding his or her participation in the Plan and the RSUs before accepting the RSUs or otherwise taking any action related to the RSUs or the Plan.</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color w:val="auto"/>
        </w:rPr>
        <w:t>. In accepting the RSUs, Grantee acknowledges, understands and agrees that:</w:t>
      </w:r>
    </w:p>
    <w:p>
      <w:pPr>
        <w:spacing w:after="0" w:line="185" w:lineRule="exact"/>
        <w:rPr>
          <w:rFonts w:ascii="Arial" w:cs="Arial" w:eastAsia="Arial" w:hAnsi="Arial"/>
          <w:sz w:val="22"/>
          <w:szCs w:val="22"/>
          <w:color w:val="auto"/>
        </w:rPr>
      </w:pPr>
    </w:p>
    <w:p>
      <w:pPr>
        <w:ind w:firstLine="1304"/>
        <w:spacing w:after="0" w:line="232" w:lineRule="auto"/>
        <w:tabs>
          <w:tab w:leader="none" w:pos="1941"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is discretionary in nature, and may be amended, suspended or terminated by the Company at any time, to the extent permitted by the Plan;</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grant of the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7" w:lineRule="exact"/>
        <w:rPr>
          <w:sz w:val="20"/>
          <w:szCs w:val="20"/>
          <w:color w:val="auto"/>
        </w:rPr>
      </w:pPr>
    </w:p>
    <w:p>
      <w:pPr>
        <w:ind w:left="1940" w:hanging="636"/>
        <w:spacing w:after="0"/>
        <w:tabs>
          <w:tab w:leader="none" w:pos="19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Company;</w:t>
      </w:r>
    </w:p>
    <w:p>
      <w:pPr>
        <w:spacing w:after="0" w:line="161" w:lineRule="exact"/>
        <w:rPr>
          <w:rFonts w:ascii="Arial" w:cs="Arial" w:eastAsia="Arial" w:hAnsi="Arial"/>
          <w:sz w:val="19"/>
          <w:szCs w:val="19"/>
          <w:color w:val="auto"/>
        </w:rPr>
      </w:pPr>
    </w:p>
    <w:p>
      <w:pPr>
        <w:ind w:left="1940" w:hanging="636"/>
        <w:spacing w:after="0"/>
        <w:tabs>
          <w:tab w:leader="none" w:pos="19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179" w:lineRule="exact"/>
        <w:rPr>
          <w:rFonts w:ascii="Arial" w:cs="Arial" w:eastAsia="Arial" w:hAnsi="Arial"/>
          <w:sz w:val="22"/>
          <w:szCs w:val="22"/>
          <w:color w:val="auto"/>
        </w:rPr>
      </w:pPr>
    </w:p>
    <w:p>
      <w:pPr>
        <w:ind w:firstLine="1304"/>
        <w:spacing w:after="0" w:line="298" w:lineRule="auto"/>
        <w:tabs>
          <w:tab w:leader="none" w:pos="1941"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RSUs and the Shares allocated to the RSUs, and the income from and value of same, are not intended to replace any pension rights or compensation and are outside the scope of Grantee’s employment contract, if any;</w:t>
      </w:r>
    </w:p>
    <w:p>
      <w:pPr>
        <w:spacing w:after="0" w:line="105" w:lineRule="exact"/>
        <w:rPr>
          <w:rFonts w:ascii="Arial" w:cs="Arial" w:eastAsia="Arial" w:hAnsi="Arial"/>
          <w:sz w:val="19"/>
          <w:szCs w:val="19"/>
          <w:color w:val="auto"/>
        </w:rPr>
      </w:pPr>
    </w:p>
    <w:p>
      <w:pPr>
        <w:jc w:val="both"/>
        <w:ind w:firstLine="1304"/>
        <w:spacing w:after="0" w:line="218" w:lineRule="auto"/>
        <w:tabs>
          <w:tab w:leader="none" w:pos="19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RSUs and the Shares allocated to the RSUs, and the income from and value of same, are not part of normal or expected compensation for any purpose, including, without limitation, calculating any severance, resignation, termination, redundancy, dismissal, end-of- service payments, bonuses, long-service awards, holiday pay, pension or retirement or welfare benefits or similar payments;</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1939" w:val="left"/>
        </w:tabs>
        <w:numPr>
          <w:ilvl w:val="1"/>
          <w:numId w:val="38"/>
        </w:numPr>
        <w:rPr>
          <w:rFonts w:ascii="Arial" w:cs="Arial" w:eastAsia="Arial" w:hAnsi="Arial"/>
          <w:sz w:val="22"/>
          <w:szCs w:val="22"/>
          <w:color w:val="auto"/>
        </w:rPr>
      </w:pPr>
      <w:r>
        <w:rPr>
          <w:rFonts w:ascii="Arial" w:cs="Arial" w:eastAsia="Arial" w:hAnsi="Arial"/>
          <w:sz w:val="22"/>
          <w:szCs w:val="22"/>
          <w:color w:val="auto"/>
        </w:rPr>
        <w:t>unless otherwise agreed with the Company in writing, the RSUs and the Shares subject to the RSUs, and the income from and value of same, are not granted as consideration for, or in connection with, the service Grantee may provide as a director of a Subsidiary of the Company;</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future value of the Shares underlying the RSUs is unknown, indeterminable, and cannot be predicted</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certainty;</w:t>
      </w:r>
    </w:p>
    <w:p>
      <w:pPr>
        <w:spacing w:after="0" w:line="161" w:lineRule="exact"/>
        <w:rPr>
          <w:rFonts w:ascii="Arial" w:cs="Arial" w:eastAsia="Arial" w:hAnsi="Arial"/>
          <w:sz w:val="19"/>
          <w:szCs w:val="19"/>
          <w:color w:val="auto"/>
        </w:rPr>
      </w:pPr>
    </w:p>
    <w:p>
      <w:pPr>
        <w:jc w:val="both"/>
        <w:ind w:firstLine="1304"/>
        <w:spacing w:after="0" w:line="218" w:lineRule="auto"/>
        <w:tabs>
          <w:tab w:leader="none" w:pos="1986" w:val="left"/>
        </w:tabs>
        <w:numPr>
          <w:ilvl w:val="1"/>
          <w:numId w:val="38"/>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RSUs resulting from the termination of Grantee’s employment or service relationship (for any reason whatsoever, whether or not later found to be invalid or in breach of employment laws in the jurisdiction where Grantee is providing services or the terms of Grantee’s employment or service agreement, if any);</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1932" w:val="left"/>
        </w:tabs>
        <w:numPr>
          <w:ilvl w:val="1"/>
          <w:numId w:val="38"/>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39" w:val="left"/>
        </w:tabs>
        <w:numPr>
          <w:ilvl w:val="1"/>
          <w:numId w:val="38"/>
        </w:numPr>
        <w:rPr>
          <w:rFonts w:ascii="Arial" w:cs="Arial" w:eastAsia="Arial" w:hAnsi="Arial"/>
          <w:sz w:val="22"/>
          <w:szCs w:val="22"/>
          <w:color w:val="auto"/>
        </w:rPr>
      </w:pPr>
      <w:r>
        <w:rPr>
          <w:rFonts w:ascii="Arial" w:cs="Arial" w:eastAsia="Arial" w:hAnsi="Arial"/>
          <w:sz w:val="22"/>
          <w:szCs w:val="22"/>
          <w:color w:val="auto"/>
        </w:rPr>
        <w:t>no entity in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Grantee pursuant to the settlement of the RSUs or the subsequent sale of the Shares allocated to the RSUs.</w:t>
      </w:r>
    </w:p>
    <w:p>
      <w:pPr>
        <w:spacing w:after="0" w:line="151" w:lineRule="exact"/>
        <w:rPr>
          <w:rFonts w:ascii="Arial" w:cs="Arial" w:eastAsia="Arial" w:hAnsi="Arial"/>
          <w:sz w:val="22"/>
          <w:szCs w:val="22"/>
          <w:color w:val="auto"/>
        </w:rPr>
      </w:pPr>
    </w:p>
    <w:p>
      <w:pPr>
        <w:jc w:val="both"/>
        <w:ind w:firstLine="656"/>
        <w:spacing w:after="0" w:line="215" w:lineRule="auto"/>
        <w:tabs>
          <w:tab w:leader="none" w:pos="1296" w:val="left"/>
        </w:tabs>
        <w:numPr>
          <w:ilvl w:val="0"/>
          <w:numId w:val="39"/>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demand or request required or permitted to be given under this Agreement shall be in writing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w:t>
      </w:r>
      <w:r>
        <w:rPr>
          <w:rFonts w:ascii="Arial" w:cs="Arial" w:eastAsia="Arial" w:hAnsi="Arial"/>
          <w:sz w:val="22"/>
          <w:szCs w:val="22"/>
          <w:color w:val="auto"/>
        </w:rPr>
        <w:t>, 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650 California Street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22"/>
          <w:szCs w:val="22"/>
          <w:color w:val="auto"/>
        </w:rPr>
        <w:t>Floor 12</w:t>
      </w:r>
    </w:p>
    <w:p>
      <w:pPr>
        <w:ind w:left="660"/>
        <w:spacing w:after="0" w:line="204" w:lineRule="auto"/>
        <w:rPr>
          <w:sz w:val="20"/>
          <w:szCs w:val="20"/>
          <w:color w:val="auto"/>
        </w:rPr>
      </w:pPr>
      <w:r>
        <w:rPr>
          <w:rFonts w:ascii="Arial" w:cs="Arial" w:eastAsia="Arial" w:hAnsi="Arial"/>
          <w:sz w:val="22"/>
          <w:szCs w:val="22"/>
          <w:color w:val="auto"/>
        </w:rPr>
        <w:t>San Francisco, CA 94108</w:t>
      </w:r>
    </w:p>
    <w:p>
      <w:pPr>
        <w:ind w:left="660"/>
        <w:spacing w:after="0" w:line="205" w:lineRule="auto"/>
        <w:rPr>
          <w:sz w:val="20"/>
          <w:szCs w:val="20"/>
          <w:color w:val="auto"/>
        </w:rPr>
      </w:pPr>
      <w:r>
        <w:rPr>
          <w:rFonts w:ascii="Arial" w:cs="Arial" w:eastAsia="Arial" w:hAnsi="Arial"/>
          <w:sz w:val="22"/>
          <w:szCs w:val="22"/>
          <w:color w:val="auto"/>
        </w:rPr>
        <w:t>Attn: Chief People Officer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Email: equity@affirm.com</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If to Grantee</w:t>
      </w:r>
      <w:r>
        <w:rPr>
          <w:rFonts w:ascii="Arial" w:cs="Arial" w:eastAsia="Arial" w:hAnsi="Arial"/>
          <w:sz w:val="21"/>
          <w:szCs w:val="21"/>
          <w:color w:val="auto"/>
        </w:rPr>
        <w:t>, to: Grantee’s last residence or email address shown on the records of the Company or its affiliates.</w:t>
      </w:r>
    </w:p>
    <w:p>
      <w:pPr>
        <w:spacing w:after="0" w:line="19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Protection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52" w:lineRule="auto"/>
        <w:tabs>
          <w:tab w:leader="none" w:pos="1941" w:val="left"/>
        </w:tabs>
        <w:numPr>
          <w:ilvl w:val="1"/>
          <w:numId w:val="40"/>
        </w:numPr>
        <w:rPr>
          <w:rFonts w:ascii="Arial" w:cs="Arial" w:eastAsia="Arial" w:hAnsi="Arial"/>
          <w:sz w:val="19"/>
          <w:szCs w:val="19"/>
          <w:color w:val="auto"/>
        </w:rPr>
      </w:pPr>
      <w:r>
        <w:rPr>
          <w:rFonts w:ascii="Arial" w:cs="Arial" w:eastAsia="Arial" w:hAnsi="Arial"/>
          <w:sz w:val="19"/>
          <w:szCs w:val="19"/>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48" w:lineRule="exact"/>
        <w:rPr>
          <w:rFonts w:ascii="Arial" w:cs="Arial" w:eastAsia="Arial" w:hAnsi="Arial"/>
          <w:sz w:val="19"/>
          <w:szCs w:val="19"/>
          <w:color w:val="auto"/>
        </w:rPr>
      </w:pPr>
    </w:p>
    <w:p>
      <w:pPr>
        <w:jc w:val="both"/>
        <w:ind w:firstLine="1304"/>
        <w:spacing w:after="0" w:line="218" w:lineRule="auto"/>
        <w:tabs>
          <w:tab w:leader="none" w:pos="1939" w:val="left"/>
        </w:tabs>
        <w:numPr>
          <w:ilvl w:val="1"/>
          <w:numId w:val="40"/>
        </w:numPr>
        <w:rPr>
          <w:rFonts w:ascii="Arial" w:cs="Arial" w:eastAsia="Arial" w:hAnsi="Arial"/>
          <w:sz w:val="22"/>
          <w:szCs w:val="22"/>
          <w:color w:val="auto"/>
        </w:rPr>
      </w:pPr>
      <w:r>
        <w:rPr>
          <w:rFonts w:ascii="Arial" w:cs="Arial" w:eastAsia="Arial" w:hAnsi="Arial"/>
          <w:sz w:val="22"/>
          <w:szCs w:val="22"/>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54" w:lineRule="exact"/>
        <w:rPr>
          <w:rFonts w:ascii="Arial" w:cs="Arial" w:eastAsia="Arial" w:hAnsi="Arial"/>
          <w:sz w:val="22"/>
          <w:szCs w:val="22"/>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25" w:lineRule="auto"/>
        <w:tabs>
          <w:tab w:leader="none" w:pos="1941" w:val="left"/>
        </w:tabs>
        <w:numPr>
          <w:ilvl w:val="1"/>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all acts and transactions pursuant hereto and the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of the parties hereto shall be governed, construed and interpreted in accordance with the laws of the State of California, without giving effect to principles of conflicts of law.</w:t>
      </w:r>
    </w:p>
    <w:p>
      <w:pPr>
        <w:spacing w:after="0" w:line="152" w:lineRule="exact"/>
        <w:rPr>
          <w:rFonts w:ascii="Arial" w:cs="Arial" w:eastAsia="Arial" w:hAnsi="Arial"/>
          <w:sz w:val="22"/>
          <w:szCs w:val="22"/>
          <w:color w:val="auto"/>
        </w:rPr>
      </w:pPr>
    </w:p>
    <w:p>
      <w:pPr>
        <w:jc w:val="both"/>
        <w:ind w:firstLine="1304"/>
        <w:spacing w:after="0" w:line="209" w:lineRule="auto"/>
        <w:tabs>
          <w:tab w:leader="none" w:pos="1939" w:val="left"/>
        </w:tabs>
        <w:numPr>
          <w:ilvl w:val="1"/>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Jurisdiction and Venue</w:t>
      </w:r>
      <w:r>
        <w:rPr>
          <w:rFonts w:ascii="Arial" w:cs="Arial" w:eastAsia="Arial" w:hAnsi="Arial"/>
          <w:sz w:val="22"/>
          <w:szCs w:val="22"/>
          <w:color w:val="auto"/>
        </w:rPr>
        <w:t>. THE PARTIES CONSENT TO PERSONAL JURISDICTION IN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CALIFORNIA. THE PARTIES AGREE THAT ANY ACTION OR PROCEEDING ARISING FROM OR RELATED TO THIS AGREEMENT SHALL BE BROUGHT AND TRIED EXCLUSIVELY IN THE STATE OR FEDERAL COURTS LOCATED IN THE STATE OF CALIFORNIA. THE PARTIES IRREVOCABLY AND UNCONDITIONALLY WAIVE ANY OBJECTION TO THE LAYING OF VENUE OF ANY SUCH ACTION OR PROCEEDING BROUGHT IN ANY SUCH COURT. THE PARTIES EXPRESSLY ACKNOWLEDGE THAT THE STATE OF CALIFORNIA IS A FAIR, JUST AND REASONABLE FORUM AND AGREE NOT TO SEEK REMOVAL OR 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51" w:lineRule="exact"/>
        <w:rPr>
          <w:rFonts w:ascii="Arial" w:cs="Arial" w:eastAsia="Arial" w:hAnsi="Arial"/>
          <w:sz w:val="22"/>
          <w:szCs w:val="22"/>
          <w:color w:val="auto"/>
        </w:rPr>
      </w:pPr>
    </w:p>
    <w:p>
      <w:pPr>
        <w:jc w:val="both"/>
        <w:ind w:firstLine="1304"/>
        <w:spacing w:after="0" w:line="225" w:lineRule="auto"/>
        <w:tabs>
          <w:tab w:leader="none" w:pos="1941" w:val="left"/>
        </w:tabs>
        <w:numPr>
          <w:ilvl w:val="1"/>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Addendum and Sub-Plans</w:t>
      </w:r>
      <w:r>
        <w:rPr>
          <w:rFonts w:ascii="Arial" w:cs="Arial" w:eastAsia="Arial" w:hAnsi="Arial"/>
          <w:sz w:val="22"/>
          <w:szCs w:val="22"/>
          <w:color w:val="auto"/>
        </w:rPr>
        <w:t>. Notwithstanding any provisions in this Agreement, the RSUs shall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any special terms and conditions set forth in any Addendum to this Agreement for Grantee’s country (the “</w:t>
      </w:r>
      <w:r>
        <w:rPr>
          <w:rFonts w:ascii="Arial" w:cs="Arial" w:eastAsia="Arial" w:hAnsi="Arial"/>
          <w:sz w:val="22"/>
          <w:szCs w:val="22"/>
          <w:b w:val="1"/>
          <w:bCs w:val="1"/>
          <w:color w:val="auto"/>
        </w:rPr>
        <w:t>Addendum</w:t>
      </w:r>
      <w:r>
        <w:rPr>
          <w:rFonts w:ascii="Arial" w:cs="Arial" w:eastAsia="Arial" w:hAnsi="Arial"/>
          <w:sz w:val="22"/>
          <w:szCs w:val="22"/>
          <w:color w:val="auto"/>
        </w:rPr>
        <w:t>”). Moreover, if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382" w:right="339" w:bottom="1440" w:gutter="0" w:footer="0" w:header="0"/>
        </w:sectPr>
      </w:pPr>
    </w:p>
    <w:bookmarkStart w:id="110" w:name="page111"/>
    <w:bookmarkEnd w:id="110"/>
    <w:p>
      <w:pPr>
        <w:spacing w:after="0" w:line="177"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58" w:lineRule="exact"/>
        <w:rPr>
          <w:sz w:val="20"/>
          <w:szCs w:val="20"/>
          <w:color w:val="auto"/>
        </w:rPr>
      </w:pPr>
    </w:p>
    <w:p>
      <w:pPr>
        <w:jc w:val="both"/>
        <w:ind w:firstLine="1304"/>
        <w:spacing w:after="0" w:line="221" w:lineRule="auto"/>
        <w:tabs>
          <w:tab w:leader="none" w:pos="1939"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Enforcement of Rights; Amendment</w:t>
      </w:r>
      <w:r>
        <w:rPr>
          <w:rFonts w:ascii="Arial" w:cs="Arial" w:eastAsia="Arial" w:hAnsi="Arial"/>
          <w:sz w:val="21"/>
          <w:szCs w:val="21"/>
          <w:color w:val="auto"/>
        </w:rPr>
        <w:t>. This Agreement, together with the Plan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Notice, 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RSUs.</w:t>
      </w:r>
    </w:p>
    <w:p>
      <w:pPr>
        <w:spacing w:after="0" w:line="152" w:lineRule="exact"/>
        <w:rPr>
          <w:rFonts w:ascii="Arial" w:cs="Arial" w:eastAsia="Arial" w:hAnsi="Arial"/>
          <w:sz w:val="21"/>
          <w:szCs w:val="21"/>
          <w:color w:val="auto"/>
        </w:rPr>
      </w:pPr>
    </w:p>
    <w:p>
      <w:pPr>
        <w:jc w:val="both"/>
        <w:ind w:firstLine="1304"/>
        <w:spacing w:after="0" w:line="215" w:lineRule="auto"/>
        <w:tabs>
          <w:tab w:leader="none" w:pos="1941"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one or more provisions of this Agreement, the Grant Notice or the Plan are held to be</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152" w:lineRule="exact"/>
        <w:rPr>
          <w:rFonts w:ascii="Arial" w:cs="Arial" w:eastAsia="Arial" w:hAnsi="Arial"/>
          <w:sz w:val="22"/>
          <w:szCs w:val="22"/>
          <w:color w:val="auto"/>
        </w:rPr>
      </w:pPr>
    </w:p>
    <w:p>
      <w:pPr>
        <w:jc w:val="both"/>
        <w:ind w:firstLine="1304"/>
        <w:spacing w:after="0" w:line="271" w:lineRule="auto"/>
        <w:tabs>
          <w:tab w:leader="none" w:pos="1944"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Construction</w:t>
      </w:r>
      <w:r>
        <w:rPr>
          <w:rFonts w:ascii="Arial" w:cs="Arial" w:eastAsia="Arial" w:hAnsi="Arial"/>
          <w:sz w:val="19"/>
          <w:szCs w:val="19"/>
          <w:color w:val="auto"/>
        </w:rPr>
        <w:t>. This Agreement is the result of negotiations between and has been reviewed by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and their respective counsel, if any; accordingly, this Agreement shall be deemed to be the product of all of the parties hereto, and no ambiguity shall be construed in favor of or against any one of the parties hereto.</w:t>
      </w:r>
    </w:p>
    <w:p>
      <w:pPr>
        <w:spacing w:after="0" w:line="123" w:lineRule="exact"/>
        <w:rPr>
          <w:rFonts w:ascii="Arial" w:cs="Arial" w:eastAsia="Arial" w:hAnsi="Arial"/>
          <w:sz w:val="19"/>
          <w:szCs w:val="19"/>
          <w:color w:val="auto"/>
        </w:rPr>
      </w:pPr>
    </w:p>
    <w:p>
      <w:pPr>
        <w:jc w:val="both"/>
        <w:ind w:firstLine="1304"/>
        <w:spacing w:after="0" w:line="217" w:lineRule="auto"/>
        <w:tabs>
          <w:tab w:leader="none" w:pos="1939"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Electronic Signature</w:t>
      </w:r>
      <w:r>
        <w:rPr>
          <w:rFonts w:ascii="Arial" w:cs="Arial" w:eastAsia="Arial" w:hAnsi="Arial"/>
          <w:sz w:val="22"/>
          <w:szCs w:val="22"/>
          <w:color w:val="auto"/>
        </w:rPr>
        <w:t>. This Agreement may be executed in two or more counterparts,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52" w:lineRule="exact"/>
        <w:rPr>
          <w:rFonts w:ascii="Arial" w:cs="Arial" w:eastAsia="Arial" w:hAnsi="Arial"/>
          <w:sz w:val="22"/>
          <w:szCs w:val="22"/>
          <w:color w:val="auto"/>
        </w:rPr>
      </w:pPr>
    </w:p>
    <w:p>
      <w:pPr>
        <w:jc w:val="both"/>
        <w:ind w:firstLine="1304"/>
        <w:spacing w:after="0" w:line="225" w:lineRule="auto"/>
        <w:tabs>
          <w:tab w:leader="none" w:pos="1939"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The rights and benefits of this Agreement shall inure to the benefit of, and be</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enforceable by the Company’s successors and assigns. The rights and obligations of Grantee under this Agreement may only be assigned with the prior written consent of the Company.</w:t>
      </w:r>
    </w:p>
    <w:p>
      <w:pPr>
        <w:spacing w:after="0" w:line="152" w:lineRule="exact"/>
        <w:rPr>
          <w:rFonts w:ascii="Arial" w:cs="Arial" w:eastAsia="Arial" w:hAnsi="Arial"/>
          <w:sz w:val="22"/>
          <w:szCs w:val="22"/>
          <w:color w:val="auto"/>
        </w:rPr>
      </w:pPr>
    </w:p>
    <w:p>
      <w:pPr>
        <w:jc w:val="both"/>
        <w:ind w:firstLine="1304"/>
        <w:spacing w:after="0" w:line="220" w:lineRule="auto"/>
        <w:tabs>
          <w:tab w:leader="none" w:pos="1932"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Limitations Applicable to Section 16 Persons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other provision of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Grantee is subject to Section 16 of the Exchange Act, the Plan, the Grant Notice and this Agreement shall be subject to any additional limitations set forth in any applicable exemptive rule under Section 16 of the Exchange Act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7"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53" w:lineRule="exact"/>
        <w:rPr>
          <w:sz w:val="20"/>
          <w:szCs w:val="20"/>
          <w:color w:val="auto"/>
        </w:rPr>
      </w:pPr>
    </w:p>
    <w:p>
      <w:pPr>
        <w:jc w:val="both"/>
        <w:ind w:firstLine="1304"/>
        <w:spacing w:after="0" w:line="220" w:lineRule="auto"/>
        <w:tabs>
          <w:tab w:leader="none" w:pos="1932"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color w:val="auto"/>
        </w:rPr>
        <w:t>. The Company reserves the right to impose other requirements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on the RSUs and on any Shares allocated to the RSUs, to the extent the Company determines it is necessary or advisable for legal or administrative reasons, and to require Grantee to sign any additional agreements or undertakings that may be necessary to accomplish the foregoing.</w:t>
      </w:r>
    </w:p>
    <w:p>
      <w:pPr>
        <w:spacing w:after="0" w:line="152" w:lineRule="exact"/>
        <w:rPr>
          <w:rFonts w:ascii="Arial" w:cs="Arial" w:eastAsia="Arial" w:hAnsi="Arial"/>
          <w:sz w:val="22"/>
          <w:szCs w:val="22"/>
          <w:color w:val="auto"/>
        </w:rPr>
      </w:pPr>
    </w:p>
    <w:p>
      <w:pPr>
        <w:jc w:val="both"/>
        <w:ind w:firstLine="1304"/>
        <w:spacing w:after="0" w:line="221" w:lineRule="auto"/>
        <w:tabs>
          <w:tab w:leader="none" w:pos="1939"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 and Participation</w:t>
      </w:r>
      <w:r>
        <w:rPr>
          <w:rFonts w:ascii="Arial" w:cs="Arial" w:eastAsia="Arial" w:hAnsi="Arial"/>
          <w:sz w:val="21"/>
          <w:szCs w:val="21"/>
          <w:color w:val="auto"/>
        </w:rPr>
        <w:t>. The Company may, in its sole discretion, decide to deliver to</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by email or any other electronic means any documents, elections or notices related to this Agreement, the RSUs, the Shares allocated to the RSUs,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58" w:lineRule="exact"/>
        <w:rPr>
          <w:rFonts w:ascii="Arial" w:cs="Arial" w:eastAsia="Arial" w:hAnsi="Arial"/>
          <w:sz w:val="21"/>
          <w:szCs w:val="21"/>
          <w:color w:val="auto"/>
        </w:rPr>
      </w:pPr>
    </w:p>
    <w:p>
      <w:pPr>
        <w:jc w:val="both"/>
        <w:ind w:firstLine="1304"/>
        <w:spacing w:after="0" w:line="217" w:lineRule="auto"/>
        <w:tabs>
          <w:tab w:leader="none" w:pos="193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that he or she is sufficiently proficient in English, or has consulted with</w:t>
      </w:r>
      <w:r>
        <w:rPr>
          <w:rFonts w:ascii="Arial" w:cs="Arial" w:eastAsia="Arial" w:hAnsi="Arial"/>
          <w:sz w:val="22"/>
          <w:szCs w:val="22"/>
          <w:b w:val="1"/>
          <w:bCs w:val="1"/>
          <w:color w:val="auto"/>
        </w:rPr>
        <w:t xml:space="preserve"> </w:t>
      </w:r>
      <w:r>
        <w:rPr>
          <w:rFonts w:ascii="Arial" w:cs="Arial" w:eastAsia="Arial" w:hAnsi="Arial"/>
          <w:sz w:val="22"/>
          <w:szCs w:val="22"/>
          <w:color w:val="auto"/>
        </w:rPr>
        <w:t>an advisor who is sufficiently proficient in English, so as to allow Grantee to understand the terms and conditions of this Agreement. If Grantee has received this Agreement, or any other documents related to the RSUs and/or the Plan translated into a language other than English and if the meaning of the translated version is different from the English version, the English version will control.</w:t>
      </w:r>
    </w:p>
    <w:p>
      <w:pPr>
        <w:spacing w:after="0" w:line="152" w:lineRule="exact"/>
        <w:rPr>
          <w:rFonts w:ascii="Arial" w:cs="Arial" w:eastAsia="Arial" w:hAnsi="Arial"/>
          <w:sz w:val="22"/>
          <w:szCs w:val="22"/>
          <w:b w:val="1"/>
          <w:bCs w:val="1"/>
          <w:color w:val="auto"/>
        </w:rPr>
      </w:pPr>
    </w:p>
    <w:p>
      <w:pPr>
        <w:jc w:val="both"/>
        <w:ind w:firstLine="1304"/>
        <w:spacing w:after="0" w:line="219" w:lineRule="auto"/>
        <w:tabs>
          <w:tab w:leader="none" w:pos="1944"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Insider Trading/Market Abuse</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accepting the RSUs, Grantee acknowledges that he or she is bound</w:t>
      </w:r>
      <w:r>
        <w:rPr>
          <w:rFonts w:ascii="Arial" w:cs="Arial" w:eastAsia="Arial" w:hAnsi="Arial"/>
          <w:sz w:val="21"/>
          <w:szCs w:val="21"/>
          <w:b w:val="1"/>
          <w:bCs w:val="1"/>
          <w:color w:val="auto"/>
        </w:rPr>
        <w:t xml:space="preserve"> </w:t>
      </w:r>
      <w:r>
        <w:rPr>
          <w:rFonts w:ascii="Arial" w:cs="Arial" w:eastAsia="Arial" w:hAnsi="Arial"/>
          <w:sz w:val="21"/>
          <w:szCs w:val="21"/>
          <w:color w:val="auto"/>
        </w:rPr>
        <w:t>by all the 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w:t>
      </w:r>
      <w:r>
        <w:rPr>
          <w:rFonts w:ascii="Arial" w:cs="Arial" w:eastAsia="Arial" w:hAnsi="Arial"/>
          <w:sz w:val="21"/>
          <w:szCs w:val="21"/>
          <w:i w:val="1"/>
          <w:iCs w:val="1"/>
          <w:color w:val="auto"/>
        </w:rPr>
        <w:t>e.g.</w:t>
      </w:r>
      <w:r>
        <w:rPr>
          <w:rFonts w:ascii="Arial" w:cs="Arial" w:eastAsia="Arial" w:hAnsi="Arial"/>
          <w:sz w:val="21"/>
          <w:szCs w:val="21"/>
          <w:color w:val="auto"/>
        </w:rPr>
        <w:t>, RSUs)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59" w:lineRule="exact"/>
        <w:rPr>
          <w:rFonts w:ascii="Arial" w:cs="Arial" w:eastAsia="Arial" w:hAnsi="Arial"/>
          <w:sz w:val="21"/>
          <w:szCs w:val="21"/>
          <w:b w:val="1"/>
          <w:bCs w:val="1"/>
          <w:color w:val="auto"/>
        </w:rPr>
      </w:pPr>
    </w:p>
    <w:p>
      <w:pPr>
        <w:jc w:val="both"/>
        <w:ind w:firstLine="1304"/>
        <w:spacing w:after="0" w:line="217" w:lineRule="auto"/>
        <w:tabs>
          <w:tab w:leader="none" w:pos="1938"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Foreign Asset/Account, Exchange Control and Tax 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may be subject to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asset/account, exchange control, tax reporting or other requirements which may affect Grantee’s ability acquire or hold RSUs or the Shares or cash received from participating in the Plan (including dividends and the proceeds arising from the sale of the Shares) in a brokerage/bank account outside Grantee’s country. The applicable laws of Grantee’s country may require that he or she report such RSUs, Shares, accounts,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7"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transactions to the applicable authorities in such country and/or repatriate funds received in connection with the Plan to Grantee’s country within a certain time period or according to certain procedures. Grantee acknowledges that he or she is responsible for ensuring compliance with any applicable requirements and should consult his or her personal legal advisor to ensure compliance with applicable laws</w:t>
      </w:r>
    </w:p>
    <w:p>
      <w:pPr>
        <w:spacing w:after="0" w:line="155" w:lineRule="exact"/>
        <w:rPr>
          <w:sz w:val="20"/>
          <w:szCs w:val="20"/>
          <w:color w:val="auto"/>
        </w:rPr>
      </w:pPr>
    </w:p>
    <w:p>
      <w:pPr>
        <w:jc w:val="both"/>
        <w:ind w:firstLine="656"/>
        <w:spacing w:after="0" w:line="217"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acknowledges receipt of a copy of the Plan and represents that he or she is familiar</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terms and provisions thereof (and has had an opportunity to consult counsel regarding the terms of this Agreement), and hereby accepts this award of RSUs and agrees to be bound by its contractual terms as set forth herein and in the Plan. Grantee hereby agrees to accept as binding, conclusive and final all decisions and interpretations of the Plan Administrator regarding any questions relating to the RSUs.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5829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6858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-17780</wp:posOffset>
            </wp:positionV>
            <wp:extent cx="6858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6858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-17780</wp:posOffset>
            </wp:positionV>
            <wp:extent cx="5829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6858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440" w:firstLine="156"/>
        <w:spacing w:after="0" w:line="277" w:lineRule="auto"/>
        <w:tabs>
          <w:tab w:leader="none" w:pos="13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300" w:firstLine="166"/>
        <w:spacing w:after="0" w:line="263" w:lineRule="auto"/>
        <w:tabs>
          <w:tab w:leader="none" w:pos="19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40" w:firstLine="166"/>
        <w:spacing w:after="0" w:line="259" w:lineRule="auto"/>
        <w:tabs>
          <w:tab w:leader="none" w:pos="19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80" w:firstLine="166"/>
        <w:spacing w:after="0" w:line="277" w:lineRule="auto"/>
        <w:tabs>
          <w:tab w:leader="none" w:pos="19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76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31750</wp:posOffset>
            </wp:positionV>
            <wp:extent cx="25114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500" w:right="440" w:firstLine="156"/>
        <w:spacing w:after="0" w:line="277" w:lineRule="auto"/>
        <w:tabs>
          <w:tab w:leader="none" w:pos="13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300" w:firstLine="166"/>
        <w:spacing w:after="0" w:line="263" w:lineRule="auto"/>
        <w:tabs>
          <w:tab w:leader="none" w:pos="19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40" w:firstLine="166"/>
        <w:spacing w:after="0" w:line="259" w:lineRule="auto"/>
        <w:tabs>
          <w:tab w:leader="none" w:pos="193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80" w:firstLine="166"/>
        <w:spacing w:after="0" w:line="277" w:lineRule="auto"/>
        <w:tabs>
          <w:tab w:leader="none" w:pos="19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14605</wp:posOffset>
            </wp:positionV>
            <wp:extent cx="25114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769"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14, 2022</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14, 2022</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320"/>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lvl w:ilvl="1">
      <w:lvlJc w:val="left"/>
      <w:lvlText w:val="(%2)"/>
      <w:numFmt w:val="lowerLetter"/>
      <w:start w:val="1"/>
    </w:lvl>
  </w:abstractNum>
  <w:abstractNum w:abstractNumId="21">
    <w:nsid w:val="3006C83E"/>
    <w:multiLevelType w:val="hybridMultilevel"/>
    <w:lvl w:ilvl="0">
      <w:lvlJc w:val="left"/>
      <w:lvlText w:val="%1."/>
      <w:numFmt w:val="decimal"/>
      <w:start w:val="4"/>
    </w:lvl>
    <w:lvl w:ilvl="1">
      <w:lvlJc w:val="left"/>
      <w:lvlText w:val="(%2)"/>
      <w:numFmt w:val="lowerLetter"/>
      <w:start w:val="1"/>
    </w:lvl>
  </w:abstractNum>
  <w:abstractNum w:abstractNumId="22">
    <w:nsid w:val="614FD4A1"/>
    <w:multiLevelType w:val="hybridMultilevel"/>
    <w:lvl w:ilvl="0">
      <w:lvlJc w:val="left"/>
      <w:lvlText w:val="%1."/>
      <w:numFmt w:val="decimal"/>
      <w:start w:val="5"/>
    </w:lvl>
  </w:abstractNum>
  <w:abstractNum w:abstractNumId="23">
    <w:nsid w:val="419AC241"/>
    <w:multiLevelType w:val="hybridMultilevel"/>
    <w:lvl w:ilvl="0">
      <w:lvlJc w:val="left"/>
      <w:lvlText w:val="%1."/>
      <w:numFmt w:val="decimal"/>
      <w:start w:val="7"/>
    </w:lvl>
    <w:lvl w:ilvl="1">
      <w:lvlJc w:val="left"/>
      <w:lvlText w:val="(%2)"/>
      <w:numFmt w:val="lowerLetter"/>
      <w:start w:val="1"/>
    </w:lvl>
  </w:abstractNum>
  <w:abstractNum w:abstractNumId="24">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25">
    <w:nsid w:val="440BADF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6">
    <w:nsid w:val="5072367"/>
    <w:multiLevelType w:val="hybridMultilevel"/>
    <w:lvl w:ilvl="0">
      <w:lvlJc w:val="left"/>
      <w:lvlText w:val="%1"/>
      <w:numFmt w:val="decimal"/>
      <w:start w:val="1"/>
    </w:lvl>
    <w:lvl w:ilvl="1">
      <w:lvlJc w:val="left"/>
      <w:lvlText w:val="(%2)"/>
      <w:numFmt w:val="lowerLetter"/>
      <w:start w:val="9"/>
    </w:lvl>
  </w:abstractNum>
  <w:abstractNum w:abstractNumId="27">
    <w:nsid w:val="3804823E"/>
    <w:multiLevelType w:val="hybridMultilevel"/>
    <w:lvl w:ilvl="0">
      <w:lvlJc w:val="left"/>
      <w:lvlText w:val="%1."/>
      <w:numFmt w:val="decimal"/>
      <w:start w:val="10"/>
    </w:lvl>
    <w:lvl w:ilvl="1">
      <w:lvlJc w:val="left"/>
      <w:lvlText w:val="%2"/>
      <w:numFmt w:val="lowerLetter"/>
      <w:start w:val="1"/>
    </w:lvl>
  </w:abstractNum>
  <w:abstractNum w:abstractNumId="28">
    <w:nsid w:val="77465F01"/>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29">
    <w:nsid w:val="7724C67E"/>
    <w:multiLevelType w:val="hybridMultilevel"/>
    <w:lvl w:ilvl="0">
      <w:lvlJc w:val="left"/>
      <w:lvlText w:val="(%1)"/>
      <w:numFmt w:val="lowerLetter"/>
      <w:start w:val="3"/>
    </w:lvl>
  </w:abstractNum>
  <w:abstractNum w:abstractNumId="30">
    <w:nsid w:val="5C482A97"/>
    <w:multiLevelType w:val="hybridMultilevel"/>
    <w:lvl w:ilvl="0">
      <w:lvlJc w:val="left"/>
      <w:lvlText w:val="(%1)"/>
      <w:numFmt w:val="lowerLetter"/>
      <w:start w:val="8"/>
    </w:lvl>
  </w:abstractNum>
  <w:abstractNum w:abstractNumId="31">
    <w:nsid w:val="2463B9EA"/>
    <w:multiLevelType w:val="hybridMultilevel"/>
    <w:lvl w:ilvl="0">
      <w:lvlJc w:val="left"/>
      <w:lvlText w:val="%1"/>
      <w:numFmt w:val="decimal"/>
      <w:start w:val="1"/>
    </w:lvl>
    <w:lvl w:ilvl="1">
      <w:lvlJc w:val="left"/>
      <w:lvlText w:val="(%2)"/>
      <w:numFmt w:val="lowerLetter"/>
      <w:start w:val="13"/>
    </w:lvl>
  </w:abstractNum>
  <w:abstractNum w:abstractNumId="32">
    <w:nsid w:val="5E884ADC"/>
    <w:multiLevelType w:val="hybridMultilevel"/>
    <w:lvl w:ilvl="0">
      <w:lvlJc w:val="left"/>
      <w:lvlText w:val="%1."/>
      <w:numFmt w:val="decimal"/>
      <w:start w:val="17"/>
    </w:lvl>
    <w:lvl w:ilvl="1">
      <w:lvlJc w:val="left"/>
      <w:lvlText w:val="%2"/>
      <w:numFmt w:val="lowerLetter"/>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5"/>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6"/>
    </w:lvl>
  </w:abstractNum>
  <w:abstractNum w:abstractNumId="36">
    <w:nsid w:val="153EA438"/>
    <w:multiLevelType w:val="hybridMultilevel"/>
    <w:lvl w:ilvl="0">
      <w:lvlJc w:val="left"/>
      <w:lvlText w:val="%1."/>
      <w:numFmt w:val="decimal"/>
      <w:start w:val="6"/>
    </w:lvl>
    <w:lvl w:ilvl="1">
      <w:lvlJc w:val="left"/>
      <w:lvlText w:val="(%2)"/>
      <w:numFmt w:val="lowerLetter"/>
      <w:start w:val="1"/>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10"/>
    </w:lvl>
    <w:lvl w:ilvl="1">
      <w:lvlJc w:val="left"/>
      <w:lvlText w:val="%2"/>
      <w:numFmt w:val="lowerLetter"/>
      <w:start w:val="1"/>
    </w:lvl>
  </w:abstractNum>
  <w:abstractNum w:abstractNumId="39">
    <w:nsid w:val="6A2342EC"/>
    <w:multiLevelType w:val="hybridMultilevel"/>
    <w:lvl w:ilvl="0">
      <w:lvlJc w:val="left"/>
      <w:lvlText w:val="%1."/>
      <w:numFmt w:val="decimal"/>
      <w:start w:val="11"/>
    </w:lvl>
    <w:lvl w:ilvl="1">
      <w:lvlJc w:val="left"/>
      <w:lvlText w:val="(%2)"/>
      <w:numFmt w:val="lowerLetter"/>
      <w:start w:val="1"/>
    </w:lvl>
  </w:abstractNum>
  <w:abstractNum w:abstractNumId="40">
    <w:nsid w:val="2A487CB0"/>
    <w:multiLevelType w:val="hybridMultilevel"/>
    <w:lvl w:ilvl="0">
      <w:lvlJc w:val="left"/>
      <w:lvlText w:val="(%1)"/>
      <w:numFmt w:val="lowerLetter"/>
      <w:start w:val="4"/>
    </w:lvl>
  </w:abstractNum>
  <w:abstractNum w:abstractNumId="41">
    <w:nsid w:val="1D4ED43B"/>
    <w:multiLevelType w:val="hybridMultilevel"/>
    <w:lvl w:ilvl="0">
      <w:lvlJc w:val="left"/>
      <w:lvlText w:val="(%1)"/>
      <w:numFmt w:val="lowerLetter"/>
      <w:start w:val="10"/>
    </w:lvl>
  </w:abstractNum>
  <w:abstractNum w:abstractNumId="42">
    <w:nsid w:val="725A06FB"/>
    <w:multiLevelType w:val="hybridMultilevel"/>
    <w:lvl w:ilvl="0">
      <w:lvlJc w:val="left"/>
      <w:lvlText w:val="%1."/>
      <w:numFmt w:val="decimal"/>
      <w:start w:val="13"/>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71" Type="http://schemas.openxmlformats.org/officeDocument/2006/relationships/hyperlink" Target="https://www.sec.gov/Archives/edgar/data/0001820953/000110465921004835/a20-26663_24ex3d1.htm#Exhibit3_1_013332" TargetMode="External"/><Relationship Id="rId172" Type="http://schemas.openxmlformats.org/officeDocument/2006/relationships/hyperlink" Target="https://www.sec.gov/Archives/edgar/data/0001820953/000162828021018253/affirmholdings-arbylawslea.htm" TargetMode="External"/><Relationship Id="rId173" Type="http://schemas.openxmlformats.org/officeDocument/2006/relationships/hyperlink" Target="https://www.sec.gov/Archives/edgar/data/1820953/000182095321000115/exhibit41firstwarrant.htm" TargetMode="External"/><Relationship Id="rId174" Type="http://schemas.openxmlformats.org/officeDocument/2006/relationships/hyperlink" Target="https://www.sec.gov/Archives/edgar/data/1820953/000182095321000115/exhibit42-secondwarrant.htm" TargetMode="External"/><Relationship Id="rId175" Type="http://schemas.openxmlformats.org/officeDocument/2006/relationships/hyperlink" Target="https://www.sec.gov/Archives/edgar/data/1820953/000110465921142914/tm2133732d1_ex4-1.htm" TargetMode="External"/><Relationship Id="rId176" Type="http://schemas.openxmlformats.org/officeDocument/2006/relationships/hyperlink" Target="https://www.sec.gov/Archives/edgar/data/1820953/000182095321000115/exhibit101arinstallmentfin.htm" TargetMode="External"/><Relationship Id="rId177" Type="http://schemas.openxmlformats.org/officeDocument/2006/relationships/hyperlink" Target="https://www.sec.gov/Archives/edgar/data/1820953/000182095321000115/exhibit102-redactedtransa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2022-02-14T16:34:56Z</dcterms:created>
  <dcterms:modified xsi:type="dcterms:W3CDTF">2022-02-14T16:34:56Z</dcterms:modified>
</cp:coreProperties>
</file>