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1540" w:right="1260" w:hanging="328"/>
        <w:spacing w:after="0" w:line="255" w:lineRule="auto"/>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1" w:lineRule="exact"/>
        <w:rPr>
          <w:sz w:val="24"/>
          <w:szCs w:val="24"/>
          <w:color w:val="auto"/>
        </w:rPr>
      </w:pPr>
    </w:p>
    <w:p>
      <w:pPr>
        <w:ind w:left="1540" w:right="1240" w:hanging="328"/>
        <w:spacing w:after="0" w:line="255"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001-39888</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20" w:type="dxa"/>
            <w:vAlign w:val="bottom"/>
          </w:tcPr>
          <w:p>
            <w:pPr>
              <w:jc w:val="center"/>
              <w:ind w:left="61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organization)</w:t>
            </w:r>
          </w:p>
        </w:tc>
        <w:tc>
          <w:tcPr>
            <w:tcW w:w="3320" w:type="dxa"/>
            <w:vAlign w:val="bottom"/>
          </w:tcPr>
          <w:p>
            <w:pPr>
              <w:spacing w:after="0"/>
              <w:rPr>
                <w:sz w:val="20"/>
                <w:szCs w:val="20"/>
                <w:color w:val="auto"/>
              </w:rPr>
            </w:pPr>
          </w:p>
        </w:tc>
      </w:tr>
      <w:tr>
        <w:trPr>
          <w:trHeight w:val="306"/>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California Street</w:t>
            </w:r>
          </w:p>
        </w:tc>
        <w:tc>
          <w:tcPr>
            <w:tcW w:w="3320" w:type="dxa"/>
            <w:vAlign w:val="bottom"/>
          </w:tcPr>
          <w:p>
            <w:pPr>
              <w:spacing w:after="0"/>
              <w:rPr>
                <w:sz w:val="24"/>
                <w:szCs w:val="24"/>
                <w:color w:val="auto"/>
              </w:rPr>
            </w:pPr>
          </w:p>
        </w:tc>
      </w:tr>
      <w:tr>
        <w:trPr>
          <w:trHeight w:val="279"/>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3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960-1518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Pr>
          <w:p>
            <w:pPr>
              <w:spacing w:after="0"/>
              <w:rPr>
                <w:sz w:val="17"/>
                <w:szCs w:val="17"/>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AFRM</w:t>
            </w:r>
          </w:p>
        </w:tc>
        <w:tc>
          <w:tcPr>
            <w:tcW w:w="100" w:type="dxa"/>
            <w:vAlign w:val="bottom"/>
          </w:tcPr>
          <w:p>
            <w:pPr>
              <w:spacing w:after="0"/>
              <w:rPr>
                <w:sz w:val="17"/>
                <w:szCs w:val="17"/>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4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1" w:lineRule="exact"/>
        <w:rPr>
          <w:sz w:val="24"/>
          <w:szCs w:val="24"/>
          <w:color w:val="auto"/>
        </w:rPr>
      </w:pPr>
    </w:p>
    <w:p>
      <w:pPr>
        <w:ind w:right="400"/>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ind w:right="540"/>
        <w:spacing w:after="0" w:line="351" w:lineRule="auto"/>
        <w:rPr>
          <w:sz w:val="20"/>
          <w:szCs w:val="20"/>
          <w:color w:val="auto"/>
        </w:rPr>
      </w:pPr>
      <w:r>
        <w:rPr>
          <w:rFonts w:ascii="Times New Roman" w:cs="Times New Roman" w:eastAsia="Times New Roman" w:hAnsi="Times New Roman"/>
          <w:sz w:val="16"/>
          <w:szCs w:val="16"/>
          <w:color w:val="auto"/>
        </w:rPr>
        <w:t>As of May 1, 2026, the number of shares of the registrant’s Class A common stock outstanding was 294,357,801 and the number of shares of the registrant’s Class B common stock outstanding was 40,540,764.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60" w:type="dxa"/>
            <w:vAlign w:val="bottom"/>
            <w:tcBorders>
              <w:bottom w:val="single" w:sz="8" w:color="CCEEFF"/>
            </w:tcBorders>
          </w:tcPr>
          <w:p>
            <w:pPr>
              <w:spacing w:after="0"/>
              <w:rPr>
                <w:sz w:val="6"/>
                <w:szCs w:val="6"/>
                <w:color w:val="auto"/>
              </w:rPr>
            </w:pPr>
          </w:p>
        </w:tc>
        <w:tc>
          <w:tcPr>
            <w:tcW w:w="68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Cover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020" w:type="dxa"/>
            <w:vAlign w:val="bottom"/>
            <w:gridSpan w:val="8"/>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6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680" w:type="dxa"/>
            <w:vAlign w:val="bottom"/>
          </w:tcPr>
          <w:p>
            <w:pPr>
              <w:spacing w:after="0"/>
              <w:rPr>
                <w:sz w:val="16"/>
                <w:szCs w:val="16"/>
                <w:color w:val="auto"/>
              </w:rPr>
            </w:pP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FF"/>
            </w:tcBorders>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980" w:type="dxa"/>
            <w:vAlign w:val="bottom"/>
            <w:tcBorders>
              <w:bottom w:val="single" w:sz="8" w:color="CCEEFF"/>
            </w:tcBorders>
            <w:gridSpan w:val="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 Business Description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98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 Revenue</w:t>
            </w:r>
          </w:p>
        </w:tc>
        <w:tc>
          <w:tcPr>
            <w:tcW w:w="9180" w:type="dxa"/>
            <w:vAlign w:val="bottom"/>
            <w:tcBorders>
              <w:bottom w:val="single" w:sz="8" w:color="CCEEFF"/>
            </w:tcBorders>
            <w:gridSpan w:val="34"/>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4. Loans Held for Investment and Allowance for Credit Losses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0000FF"/>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5. Balance Sheet Components</w:t>
            </w:r>
          </w:p>
        </w:tc>
        <w:tc>
          <w:tcPr>
            <w:tcW w:w="7880" w:type="dxa"/>
            <w:vAlign w:val="bottom"/>
            <w:tcBorders>
              <w:bottom w:val="single" w:sz="8" w:color="CCEEFF"/>
            </w:tcBorders>
            <w:gridSpan w:val="18"/>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6. Leases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FF"/>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7. Commitments and Contingencies</w:t>
            </w:r>
          </w:p>
        </w:tc>
        <w:tc>
          <w:tcPr>
            <w:tcW w:w="7460" w:type="dxa"/>
            <w:vAlign w:val="bottom"/>
            <w:tcBorders>
              <w:bottom w:val="single" w:sz="8" w:color="CCEEFF"/>
            </w:tcBorders>
            <w:gridSpan w:val="1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8. Debt</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Securitization and Variable Interest Entities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9820" w:type="dxa"/>
            <w:vAlign w:val="bottom"/>
            <w:gridSpan w:val="39"/>
          </w:tcPr>
          <w:p>
            <w:pPr>
              <w:ind w:left="100"/>
              <w:spacing w:after="0" w:line="189" w:lineRule="exact"/>
              <w:rPr>
                <w:sz w:val="20"/>
                <w:szCs w:val="20"/>
                <w:color w:val="auto"/>
              </w:rPr>
            </w:pPr>
            <w:r>
              <w:rPr>
                <w:rFonts w:ascii="Times New Roman" w:cs="Times New Roman" w:eastAsia="Times New Roman" w:hAnsi="Times New Roman"/>
                <w:sz w:val="18"/>
                <w:szCs w:val="18"/>
                <w:color w:val="0000FF"/>
              </w:rPr>
              <w:t>Investments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9820" w:type="dxa"/>
            <w:vAlign w:val="bottom"/>
            <w:gridSpan w:val="39"/>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Derivative Financial Instruments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12. Fair Value of Financial Assets and Liabilities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13. Stockholders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Equity</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14. Equity Incentive Plans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15. Income Taxes</w:t>
            </w:r>
          </w:p>
        </w:tc>
        <w:tc>
          <w:tcPr>
            <w:tcW w:w="8760" w:type="dxa"/>
            <w:vAlign w:val="bottom"/>
            <w:tcBorders>
              <w:bottom w:val="single" w:sz="8" w:color="CCEEFF"/>
            </w:tcBorders>
            <w:gridSpan w:val="2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16. Net Income (Loss) per Share Attributable to Common Stockholders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17. Segment Information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s Discussion and Analysis of Financial Condition and Results of Operations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0000FF"/>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340" w:type="dxa"/>
            <w:vAlign w:val="bottom"/>
            <w:tcBorders>
              <w:bottom w:val="single" w:sz="8" w:color="CCEEFF"/>
            </w:tcBorders>
            <w:gridSpan w:val="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8660" w:type="dxa"/>
            <w:vAlign w:val="bottom"/>
            <w:tcBorders>
              <w:bottom w:val="single" w:sz="8" w:color="CCEEFF"/>
            </w:tcBorders>
            <w:gridSpan w:val="2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80" w:type="dxa"/>
            <w:vAlign w:val="bottom"/>
            <w:tcBorders>
              <w:top w:val="single" w:sz="8" w:color="0000FF"/>
            </w:tcBorders>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380" w:type="dxa"/>
            <w:vAlign w:val="bottom"/>
            <w:tcBorders>
              <w:top w:val="single" w:sz="8" w:color="CCEEFF"/>
            </w:tcBorders>
            <w:gridSpan w:val="16"/>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0000FF"/>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380" w:type="dxa"/>
            <w:vAlign w:val="bottom"/>
            <w:tcBorders>
              <w:bottom w:val="single" w:sz="8" w:color="CCEEFF"/>
            </w:tcBorders>
            <w:gridSpan w:val="2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-5691505</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revenue, expenses, and other operating results and key operating metrics;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merchant partners and commerce platforms and grow our relationships with existing merchant partners and commerce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a highly competitive and evolving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consumers and retain and grow our relationships with our existing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innovation, introduction of, and demand for, our products;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relationship with existing originating bank partners and card issuing bank partners and engage additional originating bank partners and card issuing bank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renew or replace our existing funding arrangements and build and grow new funding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our funding sources becoming unwilling or unable to provide funding to us on terms acceptable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loans facilitated and originated through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use and provide AI-powered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rate of our revenue and related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sustained profitability in the future;</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acquisitions, investments, and other strategic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into new international geographies;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regulatory inquiries, and proceedings;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regulatory environment, including governmental actions to cap interest rates;</w:t>
      </w:r>
    </w:p>
    <w:p>
      <w:pPr>
        <w:spacing w:after="0" w:line="10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on our business, including the impacts of persistent inflation, an elevated interest rate environment and corresponding elevated negotiated interest rate spreads, ongoing recessionary concerns, uncertainty relating to the magnitude, duration and impact of tariffs on global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potential impact of macroeconomic conditions on the stability of the consumers and financial institutions with whom we do business; and</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rates of the markets in which we compete.</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2025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1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16"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1,723,413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1,354,455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401,968</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871,425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8,572,972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7,025,534</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(396,929)</w:t>
            </w: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8,060,659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6,628,606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426,177</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668,292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572,637</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534,156</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57,210</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351,927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295,360</w:t>
            </w:r>
          </w:p>
        </w:tc>
        <w:tc>
          <w:tcPr>
            <w:tcW w:w="0" w:type="dxa"/>
            <w:vAlign w:val="bottom"/>
          </w:tcPr>
          <w:p>
            <w:pPr>
              <w:spacing w:after="0"/>
              <w:rPr>
                <w:sz w:val="1"/>
                <w:szCs w:val="1"/>
                <w:color w:val="auto"/>
              </w:rPr>
            </w:pPr>
          </w:p>
        </w:tc>
      </w:tr>
      <w:tr>
        <w:trPr>
          <w:trHeight w:val="228"/>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13,141,580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11,154,929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82,820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211,700</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157,272</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1,128,617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1,153,000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5,327,589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4,833,855</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2,417,705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1,622,808</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9,358,170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8,085,919</w:t>
            </w:r>
          </w:p>
        </w:tc>
        <w:tc>
          <w:tcPr>
            <w:tcW w:w="0" w:type="dxa"/>
            <w:vAlign w:val="bottom"/>
          </w:tcPr>
          <w:p>
            <w:pPr>
              <w:spacing w:after="0"/>
              <w:rPr>
                <w:sz w:val="1"/>
                <w:szCs w:val="1"/>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294,229,690 shares issued and</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outstanding as of March 31, 2026; 3,030,000,000 shares authorized, 284,378,565 shares issued and outstanding as of June 30,</w:t>
            </w:r>
          </w:p>
        </w:tc>
        <w:tc>
          <w:tcPr>
            <w:tcW w:w="2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40,616,641 shares issued and outstanding</w:t>
            </w:r>
          </w:p>
        </w:tc>
        <w:tc>
          <w:tcPr>
            <w:tcW w:w="2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March 31, 2026; 140,000,000 shares authorized, 40,734,234 shares issued and outstanding as of June 30, 2025</w:t>
            </w:r>
          </w:p>
        </w:tc>
        <w:tc>
          <w:tcPr>
            <w:tcW w:w="24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6,550,639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6,140,893</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(2,743,638)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(3,056,818)</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(15,069)</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3,783,410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3,069,009</w:t>
            </w:r>
          </w:p>
        </w:tc>
        <w:tc>
          <w:tcPr>
            <w:tcW w:w="0" w:type="dxa"/>
            <w:vAlign w:val="bottom"/>
          </w:tcPr>
          <w:p>
            <w:pPr>
              <w:spacing w:after="0"/>
              <w:rPr>
                <w:sz w:val="1"/>
                <w:szCs w:val="1"/>
                <w:color w:val="auto"/>
              </w:rPr>
            </w:pP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13,141,580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11,154,929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p>
      <w:pPr>
        <w:ind w:right="60" w:firstLine="177"/>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372,392</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192,638</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6,828,758</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(458,139)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(365,656)</w:t>
            </w:r>
          </w:p>
        </w:tc>
      </w:tr>
      <w:tr>
        <w:trPr>
          <w:trHeight w:val="203"/>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7,883,059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6,463,101</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8,261,166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6,661,329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23,998</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4,833,855</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Funding debt</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2,409,921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1,592,139</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2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7,769,390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6,455,621</w:t>
            </w:r>
          </w:p>
        </w:tc>
      </w:tr>
      <w:tr>
        <w:trPr>
          <w:trHeight w:val="202"/>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 of consolidated VIEs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491,776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205,707</w:t>
            </w: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4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268,027</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213,973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847,553</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643,207</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network revenue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66,467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208,832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164,194</w:t>
            </w:r>
          </w:p>
        </w:tc>
      </w:tr>
      <w:tr>
        <w:trPr>
          <w:trHeight w:val="189"/>
        </w:trPr>
        <w:tc>
          <w:tcPr>
            <w:tcW w:w="4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network revenue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334,494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272,545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1,056,385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807,401</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532,449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1,480,198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1,189,132</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sales of loans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264,739</w:t>
            </w: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44,622</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1,038,765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783,135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3,095,122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2,347,995</w:t>
            </w:r>
          </w:p>
        </w:tc>
      </w:tr>
      <w:tr>
        <w:trPr>
          <w:trHeight w:val="18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67,964</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57,290</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235,581</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181,805</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460,056</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113,762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335,507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319,539</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329,504</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191,619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544,595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435,123</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355,293</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145,304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134,303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431,468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412,196</w:t>
            </w: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and other</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950,337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791,527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2,825,406</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2,493,332</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88,429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(8,393)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269,716</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(145,337)</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53,918</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135,221</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107,376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5,345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323,633</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(10,116)</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6,942</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102,900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313,180</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(17,058)</w:t>
            </w:r>
          </w:p>
        </w:tc>
        <w:tc>
          <w:tcPr>
            <w:tcW w:w="0" w:type="dxa"/>
            <w:vAlign w:val="bottom"/>
          </w:tcPr>
          <w:p>
            <w:pPr>
              <w:spacing w:after="0"/>
              <w:rPr>
                <w:sz w:val="1"/>
                <w:szCs w:val="1"/>
                <w:color w:val="auto"/>
              </w:rPr>
            </w:pPr>
          </w:p>
        </w:tc>
      </w:tr>
      <w:tr>
        <w:trPr>
          <w:trHeight w:val="17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(23,573)</w:t>
            </w:r>
          </w:p>
        </w:tc>
        <w:tc>
          <w:tcPr>
            <w:tcW w:w="0" w:type="dxa"/>
            <w:vAlign w:val="bottom"/>
          </w:tcPr>
          <w:p>
            <w:pPr>
              <w:spacing w:after="0"/>
              <w:rPr>
                <w:sz w:val="1"/>
                <w:szCs w:val="1"/>
                <w:color w:val="auto"/>
              </w:rPr>
            </w:pP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 available for sale, net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cash flow hedges</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income (loss)</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(6,655)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3,049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(22,939)</w:t>
            </w:r>
          </w:p>
        </w:tc>
        <w:tc>
          <w:tcPr>
            <w:tcW w:w="0" w:type="dxa"/>
            <w:vAlign w:val="bottom"/>
          </w:tcPr>
          <w:p>
            <w:pPr>
              <w:spacing w:after="0"/>
              <w:rPr>
                <w:sz w:val="1"/>
                <w:szCs w:val="1"/>
                <w:color w:val="auto"/>
              </w:rPr>
            </w:pPr>
          </w:p>
        </w:tc>
      </w:tr>
      <w:tr>
        <w:trPr>
          <w:trHeight w:val="22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96,245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304,655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(39,998)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common stockholders for Class A</w:t>
            </w: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337,142,686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324,053,967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333,860,094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321,505,149</w:t>
            </w:r>
          </w:p>
        </w:tc>
        <w:tc>
          <w:tcPr>
            <w:tcW w:w="0" w:type="dxa"/>
            <w:vAlign w:val="bottom"/>
          </w:tcPr>
          <w:p>
            <w:pPr>
              <w:spacing w:after="0"/>
              <w:rPr>
                <w:sz w:val="1"/>
                <w:szCs w:val="1"/>
                <w:color w:val="auto"/>
              </w:rPr>
            </w:pPr>
          </w:p>
        </w:tc>
      </w:tr>
      <w:tr>
        <w:trPr>
          <w:trHeight w:val="188"/>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348,096,861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344,224,332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348,556,556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321,505,149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325,112,799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6,140,893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(3,056,818)</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(15,069)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3,069,009</w:t>
            </w:r>
          </w:p>
        </w:tc>
        <w:tc>
          <w:tcPr>
            <w:tcW w:w="0" w:type="dxa"/>
            <w:vAlign w:val="bottom"/>
          </w:tcPr>
          <w:p>
            <w:pPr>
              <w:spacing w:after="0"/>
              <w:rPr>
                <w:sz w:val="1"/>
                <w:szCs w:val="1"/>
                <w:color w:val="auto"/>
              </w:rPr>
            </w:pPr>
          </w:p>
        </w:tc>
      </w:tr>
      <w:tr>
        <w:trPr>
          <w:trHeight w:val="139"/>
        </w:trPr>
        <w:tc>
          <w:tcPr>
            <w:tcW w:w="3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3,020,789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1,914,916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80,694</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80,694</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330,048,504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6,299,395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(2,976,124)</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(24,389)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3,298,885</w:t>
            </w:r>
          </w:p>
        </w:tc>
        <w:tc>
          <w:tcPr>
            <w:tcW w:w="0" w:type="dxa"/>
            <w:vAlign w:val="bottom"/>
          </w:tcPr>
          <w:p>
            <w:pPr>
              <w:spacing w:after="0"/>
              <w:rPr>
                <w:sz w:val="1"/>
                <w:szCs w:val="1"/>
                <w:color w:val="auto"/>
              </w:rPr>
            </w:pPr>
          </w:p>
        </w:tc>
      </w:tr>
      <w:tr>
        <w:trPr>
          <w:trHeight w:val="119"/>
        </w:trPr>
        <w:tc>
          <w:tcPr>
            <w:tcW w:w="3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276,350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1,729,655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61,206</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124,436</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(83,972)</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129,586</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129,586</w:t>
            </w:r>
          </w:p>
        </w:tc>
        <w:tc>
          <w:tcPr>
            <w:tcW w:w="0" w:type="dxa"/>
            <w:vAlign w:val="bottom"/>
          </w:tcPr>
          <w:p>
            <w:pPr>
              <w:spacing w:after="0"/>
              <w:rPr>
                <w:sz w:val="1"/>
                <w:szCs w:val="1"/>
                <w:color w:val="auto"/>
              </w:rPr>
            </w:pPr>
          </w:p>
        </w:tc>
      </w:tr>
      <w:tr>
        <w:trPr>
          <w:trHeight w:val="190"/>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332,207,105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6,410,335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(2,846,538)</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(16,939)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3,546,861</w:t>
            </w:r>
          </w:p>
        </w:tc>
        <w:tc>
          <w:tcPr>
            <w:tcW w:w="0" w:type="dxa"/>
            <w:vAlign w:val="bottom"/>
          </w:tcPr>
          <w:p>
            <w:pPr>
              <w:spacing w:after="0"/>
              <w:rPr>
                <w:sz w:val="1"/>
                <w:szCs w:val="1"/>
                <w:color w:val="auto"/>
              </w:rPr>
            </w:pPr>
          </w:p>
        </w:tc>
      </w:tr>
      <w:tr>
        <w:trPr>
          <w:trHeight w:val="125"/>
        </w:trPr>
        <w:tc>
          <w:tcPr>
            <w:tcW w:w="32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1,095,628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1,543,598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40,497</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115,485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(54,261)</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Gain on cash flow hedges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102,900</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102,900</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334,846,331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6,550,639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(2,743,638)</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(23,594)</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3,783,410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311,053,031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5,862,555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(3,109,004)</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2,731,989</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432,277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2,492,095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107,263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143,711</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5,589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313,977,403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6,053,917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(3,209,226)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(9,122)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2,835,572</w:t>
            </w:r>
          </w:p>
        </w:tc>
        <w:tc>
          <w:tcPr>
            <w:tcW w:w="0" w:type="dxa"/>
            <w:vAlign w:val="bottom"/>
          </w:tcPr>
          <w:p>
            <w:pPr>
              <w:spacing w:after="0"/>
              <w:rPr>
                <w:sz w:val="1"/>
                <w:szCs w:val="1"/>
                <w:color w:val="auto"/>
              </w:rPr>
            </w:pPr>
          </w:p>
        </w:tc>
      </w:tr>
      <w:tr>
        <w:trPr>
          <w:trHeight w:val="115"/>
        </w:trPr>
        <w:tc>
          <w:tcPr>
            <w:tcW w:w="32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2,762,075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30,700</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204,650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5,092</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(3,526,590)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2,317,736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86,776</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130,806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(95,335)</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80,360</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80,360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315,735,274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5,961,956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(3,128,866)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(47,553)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2,785,540</w:t>
            </w:r>
          </w:p>
        </w:tc>
        <w:tc>
          <w:tcPr>
            <w:tcW w:w="0" w:type="dxa"/>
            <w:vAlign w:val="bottom"/>
          </w:tcPr>
          <w:p>
            <w:pPr>
              <w:spacing w:after="0"/>
              <w:rPr>
                <w:sz w:val="1"/>
                <w:szCs w:val="1"/>
                <w:color w:val="auto"/>
              </w:rPr>
            </w:pPr>
          </w:p>
        </w:tc>
      </w:tr>
      <w:tr>
        <w:trPr>
          <w:trHeight w:val="115"/>
        </w:trPr>
        <w:tc>
          <w:tcPr>
            <w:tcW w:w="32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1,037,308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10,528</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3,499,453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2,248,706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36,062</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119,976</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(83,043)</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3,550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322,520,741</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6,045,479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(3,126,062)</w:t>
            </w:r>
          </w:p>
        </w:tc>
        <w:tc>
          <w:tcPr>
            <w:tcW w:w="8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(44,504)</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2,874,916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163195</wp:posOffset>
            </wp:positionV>
            <wp:extent cx="1019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86" w:lineRule="exact"/>
        <w:rPr>
          <w:sz w:val="20"/>
          <w:szCs w:val="20"/>
          <w:color w:val="auto"/>
        </w:rPr>
      </w:pPr>
    </w:p>
    <w:p>
      <w:pPr>
        <w:ind w:left="560" w:hanging="308"/>
        <w:spacing w:after="0"/>
        <w:tabs>
          <w:tab w:leader="none" w:pos="5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r>
      <w:tr>
        <w:trPr>
          <w:trHeight w:val="171"/>
        </w:trPr>
        <w:tc>
          <w:tcPr>
            <w:tcW w:w="79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313,180</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(17,058)</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(loss) to net cash used in operating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 for losses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573,448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460,056</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premiums and discounts on loans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(171,827)</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sales of loans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(431,480)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(264,739)</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(82,418)</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fair value of assets and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5,456</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commercial agreement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39,424</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23,298</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Accrued interest on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(34,182)</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agreement warrant expense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230,102</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255,938</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215,985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161,081</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9,980</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Purchases and origination of loans held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(2,089,516)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(3,051,742)</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the sale of loans held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2,088,537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3,051,803</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123,897</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(17,992)</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(23,230)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Payable to third-party loan buyers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17,353</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interest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7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33,570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(18,813)</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934,811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719,272</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origination of loans held for investment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(33,397,975)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(22,727,969)</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sale of loans held for investment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14,103,336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8,122,806</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and other loan servicing activity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17,925,622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13,649,667</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to property, equipment and software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(141,069)</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(544,887)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(553,595)</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maturities and repayments of securities available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984,387</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investing inflows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101,224</w:t>
            </w:r>
          </w:p>
        </w:tc>
      </w:tr>
      <w:tr>
        <w:trPr>
          <w:trHeight w:val="17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outflows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(64,000)</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(1,355,168)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(628,550)</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convertible notes</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920,000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funding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27,331,029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14,023,995</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notes and certificates by securitization trust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repayments of funding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(26,521,828)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(13,932,542)</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of notes issued by securitization trust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(42,759)</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Extinguishment of convertible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(1,012,856)</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exercise of common stock options and warrants and contributions to ESPP</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49,915</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r>
      <w:tr>
        <w:trPr>
          <w:trHeight w:val="17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(251,210)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(241,586)</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1,144,040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364,166</w:t>
            </w:r>
          </w:p>
        </w:tc>
      </w:tr>
      <w:tr>
        <w:trPr>
          <w:trHeight w:val="16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(14,328)</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717,882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440,560</w:t>
            </w:r>
          </w:p>
        </w:tc>
      </w:tr>
      <w:tr>
        <w:trPr>
          <w:trHeight w:val="16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1,756,423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1,295,399</w:t>
            </w:r>
          </w:p>
        </w:tc>
      </w:tr>
      <w:tr>
        <w:trPr>
          <w:trHeight w:val="20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2,474,305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1,735,959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1,723,413</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1,351,148</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750,892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384,811</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2,474,305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1,735,959</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7"/>
        </w:trPr>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314,227</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302,791</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12,501</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141,169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138,555</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retained under unconsolidated securitization transactions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41,940</w:t>
            </w:r>
          </w:p>
        </w:tc>
      </w:tr>
      <w:tr>
        <w:trPr>
          <w:trHeight w:val="188"/>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 of use assets obtained in exchange for operating lease liabilities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7,418</w:t>
            </w: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consumers more effectively through our frictionless point-of-sale payment solutions.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26, 2025, the Company filed a certificate of conversion with the Secretary of State of the State of Delaware and filed articles of conversion and articles of incorporation with the Secretary of State of the State of Nevada, which as of July 1, 2025, effected a change in our jurisdiction of incorporation from Delaware to Nevada.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2025. The balance sheet as of June 30, 2025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4"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 Within the interim condensed consolidated financial statements and tables presented in the accompanying notes, certain columns and rows may not sum due to the use of rounded numbers for disclosure purposes.</w:t>
      </w:r>
    </w:p>
    <w:p>
      <w:pPr>
        <w:spacing w:after="0" w:line="211"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8"/>
          <w:szCs w:val="18"/>
          <w:color w:val="auto"/>
        </w:rPr>
        <w:t>Our VIE variable interests arise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directly originated loans, the evaluation for impairment of intangible assets and goodwill, the fair value of available for sale debt securities including retained interests in our securitization trusts and residual interest in structured transactions, the fair value of risk sharing arrangements,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2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7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significant accounting policies as disclosed in Note 2. Summary of Significant Accounting Policies of our Annual Report on Form 10-K for the fiscal year ended June 30, 2025, which was filed with the SEC on August 28,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2"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new guidance is expected to increase transparency and usefulness of income tax disclosures through improvements to the rate reconciliation, income taxes paid, and other disclosure requirements. The ASU is effective for fiscal years beginning after December 15, 2024 and should be applied on a prospective basis, although retrospective application is permitted. Early adoption is permitted for annual financial statements that have not yet been issued or made available for issuance. We will apply the guidance beginning with our Annual Report on Form 10-K for the fiscal year ended June 30, 2026. We are in the process of evaluating the impact of adopting this accounting standard update on our consolidated financial statements and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Comprehensive Income</w:t>
      </w:r>
    </w:p>
    <w:p>
      <w:pPr>
        <w:spacing w:after="0" w:line="26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Subsequent to the issuance of ASU 2024-03, the FASB issued ASU 2025-01 to clarify the effective date of ASU 2024-03. The new guidance requires disclosure, in the notes to the financial statements, specified information about certain income statement costs and expenses for each interim and annual reporting period. The ASU is effective for fiscal years beginning after December 15, 2026 and interim periods within fiscal years beginning after December 15, 2027,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with Conversion and Other Options</w:t>
      </w:r>
    </w:p>
    <w:p>
      <w:pPr>
        <w:spacing w:after="0" w:line="25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The new guidance clarifies the requirements for determining whether certain settlements of convertible debt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an induced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conversion. The ASU is effective for fiscal years beginning after December 15, 2025 and interim periods within those annual reporting periods,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for Accounts Receivable and Contract Assets</w:t>
      </w:r>
    </w:p>
    <w:p>
      <w:pPr>
        <w:spacing w:after="0" w:line="25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new guidance introduces a practical expedient for estimating expected credit losses on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contract assets arising from transactions accounted for under Topic 606. The ASU is effective for fiscal years beginning after December 15, 2025 and interim periods within those annual reporting periods, and should be applied on a prospective basis.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w:t>
      </w:r>
      <w:r>
        <w:rPr>
          <w:rFonts w:ascii="Times New Roman" w:cs="Times New Roman" w:eastAsia="Times New Roman" w:hAnsi="Times New Roman"/>
          <w:sz w:val="18"/>
          <w:szCs w:val="18"/>
          <w:i w:val="1"/>
          <w:iCs w:val="1"/>
          <w:color w:val="auto"/>
        </w:rPr>
        <w:t>Intangibles—Goodwill and Other—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new guidance primarily changes the software cost capitalization criteria and modifies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development cost guidance. The ASU is effective for fiscal years beginning after December 15, 2027 and interim periods within those annual reporting periods, and may be applied on a prospective, modified transition, or retrospective basis approach.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The new guidance is primarily intended to enable entities to achieve and maintain hedge accounting for a broader group of highly effective economic hedges. The ASU is effective for fiscal years beginning after December 15, 2026 and interim periods within those annual reporting periods, and should be applied on a prospective basis. The amendments may also be applied to hedging relationships existing as of the date of adoption.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Reporting</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new guidance primarily clarifies the required interim disclosure requirements. The ASU is effective for fiscal years beginning after December 15, 2027 and interim periods within those annual reporting periods, and may be applied on either a prospective or retrospective basis. Early adoption is permitted.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revenue source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2820" w:type="dxa"/>
            <w:vAlign w:val="bottom"/>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network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643,207</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 network revenue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164,194</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1,189,132</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264,739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3,095,122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2,347,995</w:t>
            </w: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 — Revenue from Contracts with Customers</w:t>
      </w:r>
    </w:p>
    <w:p>
      <w:pPr>
        <w:spacing w:after="0" w:line="2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service comprises a single performance obligation to merchants to facilitate transactions with consumers. From time to time, we offer merchants incentives to promote our platform to their customers, such as fee reductions, rebates, or other prepaid incentives. These amounts are recorded as a reduction to merchant network revenue.</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w:t>
      </w:r>
    </w:p>
    <w:p>
      <w:pPr>
        <w:spacing w:after="0" w:line="207" w:lineRule="exact"/>
        <w:rPr>
          <w:sz w:val="20"/>
          <w:szCs w:val="20"/>
          <w:color w:val="auto"/>
        </w:rPr>
      </w:pPr>
    </w:p>
    <w:p>
      <w:pPr>
        <w:ind w:right="340" w:firstLine="648"/>
        <w:spacing w:after="0" w:line="281" w:lineRule="auto"/>
        <w:rPr>
          <w:sz w:val="20"/>
          <w:szCs w:val="20"/>
          <w:color w:val="auto"/>
        </w:rPr>
      </w:pPr>
      <w:r>
        <w:rPr>
          <w:rFonts w:ascii="Times New Roman" w:cs="Times New Roman" w:eastAsia="Times New Roman" w:hAnsi="Times New Roman"/>
          <w:sz w:val="17"/>
          <w:szCs w:val="17"/>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merchant successfully confirms the transaction. Affiliate network revenue was $29.1 million and $100.1 million for the three and nine months ended March 31, 2026, respectively, and $30.3 million and $90.6 million for the three and nine months ended March 31, 2025, respectively.</w:t>
      </w:r>
    </w:p>
    <w:p>
      <w:pPr>
        <w:spacing w:after="0" w:line="2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reviewed merchant network revenue by merchant as a percentage of total revenue for the three and nine months ended March 31, 2026 and 2025, and no individual merchant accounted for 10% or more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 — Revenue from Contracts with Customers</w:t>
      </w:r>
    </w:p>
    <w:p>
      <w:pPr>
        <w:spacing w:after="0" w:line="254"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18"/>
          <w:szCs w:val="18"/>
          <w:color w:val="auto"/>
        </w:rPr>
        <w:t>We have agreements with card-issuing partners to facilitate the issuance of physical and one-time-use virtual cards to be used by consumers at checkout. Prior to purchase, consumers can apply at Affirm.com or via the Affirm App and, upon approval, use a physical or virtual card to complete their purchase online or in-store. Eligible consumers can also use the Affirm Card, a card issued by a card-issuing partner to pay in full or pay later, by using a unique post-purchase feature that allows them to instantly apply for an installment loan for any eligible debit transaction. Where applicable, after the merchant confirms the transaction, we or our originating bank partner originates a loan to the consumer. The merchant is charged interchange fees for each successful card transaction, and a portion of this revenue is shared with us by our card-issuing partners.</w:t>
      </w:r>
    </w:p>
    <w:p>
      <w:pPr>
        <w:spacing w:after="0" w:line="205"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incentives to promote our platform to their customers, such as rebates of interchange fees incurred by the merchant. These amounts are recorded as a reduction of card network revenue.</w:t>
      </w:r>
    </w:p>
    <w:p>
      <w:pPr>
        <w:spacing w:after="0" w:line="2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service comprises a single performance obligation to the card-issuing partner to facilitate transactions with consumers.</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246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Contractual interest income on unpaid principal balance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1,055,971</w:t>
            </w:r>
          </w:p>
        </w:tc>
      </w:tr>
      <w:tr>
        <w:trPr>
          <w:trHeight w:val="229"/>
        </w:trPr>
        <w:tc>
          <w:tcPr>
            <w:tcW w:w="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discount on loans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186,450</w:t>
            </w: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w:t>
            </w: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receivable charged-off, net of recoveries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(38,666)</w:t>
            </w:r>
          </w:p>
        </w:tc>
      </w:tr>
      <w:tr>
        <w:trPr>
          <w:trHeight w:val="248"/>
        </w:trPr>
        <w:tc>
          <w:tcPr>
            <w:tcW w:w="20" w:type="dxa"/>
            <w:vAlign w:val="bottom"/>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1,189,132</w:t>
            </w: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17" w:lineRule="exact"/>
        <w:rPr>
          <w:sz w:val="20"/>
          <w:szCs w:val="20"/>
          <w:color w:val="auto"/>
        </w:rPr>
      </w:pPr>
    </w:p>
    <w:p>
      <w:pPr>
        <w:jc w:val="both"/>
        <w:ind w:left="660" w:right="80" w:hanging="328"/>
        <w:spacing w:after="0" w:line="235"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Contractual interest income on unpaid principal balance, for the three and nine months ended March 31, 2025, was previously reported as $369.7 million and $1.08 billion, respectively. These amounts have been corrected herein; the correction is not material to the previously issued financial statements.</w:t>
      </w:r>
    </w:p>
    <w:p>
      <w:pPr>
        <w:spacing w:after="0" w:line="2" w:lineRule="exact"/>
        <w:rPr>
          <w:rFonts w:ascii="Times New Roman" w:cs="Times New Roman" w:eastAsia="Times New Roman" w:hAnsi="Times New Roman"/>
          <w:sz w:val="23"/>
          <w:szCs w:val="23"/>
          <w:color w:val="auto"/>
          <w:vertAlign w:val="superscript"/>
        </w:rPr>
      </w:pPr>
    </w:p>
    <w:p>
      <w:pPr>
        <w:ind w:left="660" w:right="20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receivable charged-off, net of recoveries, for the three and nine months ended March 31, 2025, was previously reported as $27.5 million and $65.4 million, respectively. These amounts have been corrected herein; the correction is not material to the previously issued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March 31, 2026 and June 30, 2025, the unpaid principal balance of loans held for investment on non-accrual status was $6.0 million and $6.2 million, respectively.</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charged-off.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 Additionally, we recognize a risk sharing asset or liability in certain arrangements where payments are made or received based on the actual versus expected loan performance, as contractually agreed upon with the third party.</w:t>
      </w:r>
    </w:p>
    <w:p>
      <w:pPr>
        <w:spacing w:after="0" w:line="21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Refer to Note 9. Securitization and Variable Interest Entities for further discussion on transfers of loan receivables. Refer to Note 11. Derivative Financial Instruments and Note 12. Fair Value of Financial Assets and Liabilities for further discussion of risk sharing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8,597,051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7,050,446</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67,953</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loan purchase commitment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directly originated loans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8,572,972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7,025,534</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Loans held for investment includes loans originated through our originating bank partners and directly originated loans. Loans that are underwritten using our technology platform and originated by our originating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partners are later purchased by us. We purchased loans from our originating bank partners in the amount of $9.4 billion and $28.9 billion during the three and nine months ended March 31, 2026, respectively, and $7.1 billion and $21.6 billion during the three and nine months ended March 31, 2025, respectively. We directly originated $2.3 billion and $7.0 billion of loans during the three and nine months ended March 31, 2026, respectively, and $1.5 billion and $4.5 billion during the three and nine months ended March 31, 2025, respectively.</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portfolio consists of interest bearing and non-interest bearing consumer loans with original term lengths of up to sixty months originated in markets including the U.S., U.K., and Canada, with the majority of loans originated within the U.S. While we view our loan portfolio as a single product segment, unsecured consumer loans, we consider factors such as country of origin, loan product, origination channel, merchant and various borrower characteristics to predict future losses.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closely monitor the performance of our loan receivables to manage and evaluate our exposure to credit risk. Credit risk management begins with initial underwriting and continues through to full repayment of a loan. To assess a consumer who requests a loan, we use, among other indicators, internally developed risk models that leverage detailed information from external sources, such as credit bureaus where available, as well as the consumer’s prior repayment history on our platform. We evaluate the credit quality of our loan receivable based on the aging status of the loan.</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an aging analysis of the amortized cost basis excluding accrued interest receivable, by fiscal year of origination, of loans held for investment by delinquency status as of March 31, 2026 and June 30, 2025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9"/>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 Basis by Fiscal Year of Origination</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 3 calendar days past due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7,164,994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782,797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8,031,209</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180,830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216,086</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76,955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93,578</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61,844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78,167</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46,207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64,553</w:t>
            </w:r>
          </w:p>
        </w:tc>
      </w:tr>
      <w:tr>
        <w:trPr>
          <w:trHeight w:val="19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7,530,830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866,129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71,015</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8,483,593</w:t>
            </w: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8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$64.5 million of loan receivables as of March 31, 2026 that are 90 days or more past due, but are not on non-accrual status.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9"/>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 Basis by Fiscal Year of Origination</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 3 calendar days past due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6,268,050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6,618,117</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156,941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168,156</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66,944</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56,633</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41,889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w:t>
            </w:r>
          </w:p>
        </w:tc>
      </w:tr>
      <w:tr>
        <w:trPr>
          <w:trHeight w:val="19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6,580,225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319,680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53,076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6,957,582</w:t>
            </w: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8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$47.6 million of loan receivables as of June 30, 2025 that are 90 days or more past due, but are not on non-accrual status.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0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charge-offs by fiscal year of origination as of March 31, 2026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26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7"/>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2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Net Charge-offs by Fiscal Year of Origination</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charge-offs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(349,961)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(19,317)</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rPr>
              <w:t>(1,521)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(496,152)</w:t>
            </w:r>
          </w:p>
        </w:tc>
      </w:tr>
      <w:tr>
        <w:trPr>
          <w:trHeight w:val="196"/>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Current period recoveries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26,633</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15,119</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color w:val="auto"/>
              </w:rPr>
              <w:t>5,706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54,729</w:t>
            </w:r>
          </w:p>
        </w:tc>
      </w:tr>
      <w:tr>
        <w:trPr>
          <w:trHeight w:val="22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charge-offs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(120,690)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(323,328)</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4,185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(441,423)</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maintain an allowance for credit losses at a level sufficient to absorb expected credit losses based on evaluating known and inherent risks in our loan portfolio. The allowance for credit losses reflects our estimate of expected lifetime credit losses as of the balance sheet date. Our estimate considers the remaining contractual term of our loan portfolio, historical credit losses, consumer payment history and estimated recoveries. We also consider current economic conditions and evolving consumer behavioral patterns. Adjustments to the allowance for changes in our estimate of lifetime expected credit losses are recognized in earnings through the provision for credit losses presented within our interim condensed consolidated statements of operations and comprehensive income (loss). When available information confirms that specific loans or portions thereof are uncollectible, identified amounts are charged off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the allowance for credit losses, including charge-offs, recoveries and provision for loan losses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Pr>
          <w:p>
            <w:pPr>
              <w:spacing w:after="0"/>
              <w:rPr>
                <w:sz w:val="18"/>
                <w:szCs w:val="18"/>
                <w:color w:val="auto"/>
              </w:rPr>
            </w:pPr>
          </w:p>
        </w:tc>
        <w:tc>
          <w:tcPr>
            <w:tcW w:w="29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7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309,097</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442,347</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(409,152)</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32,695</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374,987</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for Borrowers Experiencing Financial Difficulty</w:t>
      </w:r>
    </w:p>
    <w:p>
      <w:pPr>
        <w:spacing w:after="0" w:line="34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a loan modification program for borrowers experiencing financial difficulty if certain eligibility criteria are met. A loan is evaluated for modification program eligibility when a borrower self-reports financial hardship, either when a borrower contacts us directly or upon making contact with the borrower to determine eligibility when a loan payment is past due. The objectives of the loan modification program are to offer borrowers assistance during times of financial stress, increase collections, and minimize losses.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 provides the borrower relief by lowering monthly payments through extending the term length of the loan; however, the total remaining term may not exceed twenty-four months. In addition, the total interest due from the consumer will not exceed the initial total interest due prior to modification, and a loan may not be re-amortized more than once.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excluding accrued interest receivable that were modified for borrowers experiencing financial difficulty during the three and nine months ended March 31, 2026 and 2025, by type of modification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80" w:type="dxa"/>
            <w:vAlign w:val="bottom"/>
          </w:tcPr>
          <w:p>
            <w:pPr>
              <w:spacing w:after="0"/>
              <w:rPr>
                <w:sz w:val="20"/>
                <w:szCs w:val="20"/>
                <w:color w:val="auto"/>
              </w:rPr>
            </w:pPr>
          </w:p>
        </w:tc>
        <w:tc>
          <w:tcPr>
            <w:tcW w:w="32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13,110</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re-amortization</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13,360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of total loan receivables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payment deferrals during the three and nine months ended March 31, 2026 and 2025, the length of each deferral period was one month.</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a loan re-amortization during the three and nine months ended March 31, 2026 and 2025, the payment amount was generally reduced by half and the term of the loan was extended between one month and twelve months.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spacing w:after="0" w:line="21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delinquency status as of March 31, 2026 and 2025, by amortized cost basis excluding accrued interest receivable, of loan receivables that have been modified within the last 12 months where the borrower was experiencing financial difficulty at the time of modification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 3 calendar days past due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23,600</w:t>
            </w:r>
          </w:p>
        </w:tc>
      </w:tr>
      <w:tr>
        <w:trPr>
          <w:trHeight w:val="21"/>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 3 calendar days past due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13,977</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With respect to modifications during the 12 months preceding March 31, 2026 and 2025, respectively, where the borrower was experiencing financial difficulty at the time of modification, the amortized cost basis of loans which have been charged off was $5.3 million and $10.4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8"/>
          <w:szCs w:val="18"/>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$24.0 million and $18.8 million as of March 31, 2026 and June 30, 2025,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1,276,136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987,399</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21,990</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1,027,952</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(455,315)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572,637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648"/>
        <w:spacing w:after="0" w:line="297"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$74.9 million and $215.7 million for the three and nine months ended March 31, 2026, respectively, and $59.4 million and $159.8 million for the three and nine months ended March 31, 2025,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three and nine months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nine months ended March 31, 2026 were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534,156</w:t>
            </w:r>
          </w:p>
        </w:tc>
      </w:tr>
      <w:tr>
        <w:trPr>
          <w:trHeight w:val="229"/>
        </w:trPr>
        <w:tc>
          <w:tcPr>
            <w:tcW w:w="92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529,284</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40" w:type="dxa"/>
            <w:vAlign w:val="bottom"/>
            <w:tcBorders>
              <w:bottom w:val="single" w:sz="8" w:color="auto"/>
            </w:tcBorders>
          </w:tcPr>
          <w:p>
            <w:pPr>
              <w:spacing w:after="0"/>
              <w:rPr>
                <w:sz w:val="16"/>
                <w:szCs w:val="16"/>
                <w:color w:val="auto"/>
              </w:rPr>
            </w:pPr>
          </w:p>
        </w:tc>
        <w:tc>
          <w:tcPr>
            <w:tcW w:w="7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103" w:lineRule="exact"/>
        <w:rPr>
          <w:sz w:val="20"/>
          <w:szCs w:val="20"/>
          <w:color w:val="auto"/>
        </w:rPr>
      </w:pPr>
    </w:p>
    <w:p>
      <w:pPr>
        <w:ind w:left="660" w:right="840" w:hanging="328"/>
        <w:spacing w:after="0" w:line="540" w:lineRule="auto"/>
        <w:tabs>
          <w:tab w:leader="none" w:pos="64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Adjustments to goodwill during the nine months ended March 31, 2026 primarily pertained to foreign currency translation adjustments. No impairment losses related to goodwill were recorded during the three and nine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restart"/>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restart"/>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immaterial for the three and nine months ended March 31, 2026, and for the three months ended March 31, 2025. Amortization expense for intangible assets was $1.3 million for the nine months ended March 31, 2025. No impairment losses related to intangible assets were recorded during the three and nine months ended March 31, 2026 and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fiscal year 2022, we granted warrants in connection with our commercial agreements with certain subsidiaries of Amazon.com, Inc. (“Amazon”) and recognized an asset of $133.5 million based on the grant date fair value of the warrants that were fully vested upon grant. The asset is amortized over the expected benefit period, which was extended from four to nine years in November 2025 upon the execution of a commercial agreement that superseded the prior agreement. For the three and nine months ended March 31, 2026, we recognized amortization expense of $0.2 million and $7.4 million, respectively, and $5.1 million and $15.6 million for the three and nine months ended March 31, 2025, respectively, in our interim condensed consolidated statements of operations and comprehensive income (loss) as a component of sales and marketing expense. As of March 31, 2026, the accumulated amortization is $128.7 million and the remaining net asset value is $4.8 million, which will be recognized over the remaining useful life of 4.8 years. Refer to Note 13. Stockholders’ Equity for further discussion of the warrants.</w:t>
      </w:r>
    </w:p>
    <w:p>
      <w:pPr>
        <w:spacing w:after="0" w:line="20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fiscal year 2021, we granted warrants in exchange for the opportunity to acquire new merchant partners through a commercial agreement with Shopify Inc. (“Shopify”). We recognized an asset of $270.6 million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grant-date fair value of the vested warrants. We amortize the asset over the expected benefit period, which was extended from six to nine years during fiscal year 2025 upon execution of a commercial agreement that superseded the prior agreement. The benefit period is reevaluated each reporting period. For the three and nine months ended March 31, 2026, we recorded amortization expense related to the commercial agreement asset of $2.8 million and $8.4 million, respectively, and $5.8 million and $23.9 million for the three and nine months ended March 31, 2025, respectively, in our interim condensed consolidated statements of operations and comprehensive income (loss) as a component of sales and marketing expense. As of March 31, 2026, the accumulated amortization is $233.9 million and the remaining net asset value is $36.7 million, which will be recognized over the remaining useful life of 3.3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reserves</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held at cost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merchant incentives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payroll taxes for stock-based compensation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deferred tax asset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lease office space under operating leases with various expiration dates through 2034. We have the option to renew or extend our leases. Certain lease agreements include the option to terminate the lease with prior written notice ranging from nine months to one year. As of March 31, 2026, we have not considered such provisions in the determination of the lease term, as it is not reasonably certain these options will be exercised. Leases have remaining terms that range from less than one year to eight years.</w:t>
      </w:r>
    </w:p>
    <w:p>
      <w:pPr>
        <w:spacing w:after="0" w:line="19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March 31, 2026 and June 30, 2025, the collateral totaled $4.7 million and $4.5 million, respectively, which was in the form of securities that have been classified as securities available for sale at fair value 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is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40" w:type="dxa"/>
            <w:vAlign w:val="bottom"/>
            <w:gridSpan w:val="5"/>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20" w:type="dxa"/>
            <w:vAlign w:val="bottom"/>
          </w:tcPr>
          <w:p>
            <w:pPr>
              <w:spacing w:after="0"/>
              <w:rPr>
                <w:sz w:val="18"/>
                <w:szCs w:val="18"/>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r>
      <w:tr>
        <w:trPr>
          <w:trHeight w:val="225"/>
        </w:trPr>
        <w:tc>
          <w:tcPr>
            <w:tcW w:w="4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$9,554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$8,633</w:t>
            </w:r>
          </w:p>
        </w:tc>
        <w:tc>
          <w:tcPr>
            <w:tcW w:w="20" w:type="dxa"/>
            <w:vAlign w:val="bottom"/>
          </w:tcPr>
          <w:p>
            <w:pPr>
              <w:spacing w:after="0"/>
              <w:rPr>
                <w:sz w:val="19"/>
                <w:szCs w:val="19"/>
                <w:color w:val="auto"/>
              </w:rPr>
            </w:pPr>
          </w:p>
        </w:tc>
      </w:tr>
      <w:tr>
        <w:trPr>
          <w:trHeight w:val="203"/>
        </w:trPr>
        <w:tc>
          <w:tcPr>
            <w:tcW w:w="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50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3"/>
        </w:trPr>
        <w:tc>
          <w:tcPr>
            <w:tcW w:w="40" w:type="dxa"/>
            <w:vAlign w:val="bottom"/>
          </w:tcPr>
          <w:p>
            <w:pPr>
              <w:spacing w:after="0"/>
              <w:rPr>
                <w:sz w:val="24"/>
                <w:szCs w:val="24"/>
                <w:color w:val="auto"/>
              </w:rPr>
            </w:pPr>
          </w:p>
        </w:tc>
        <w:tc>
          <w:tcPr>
            <w:tcW w:w="6700" w:type="dxa"/>
            <w:vAlign w:val="bottom"/>
            <w:gridSpan w:val="5"/>
          </w:tcPr>
          <w:p>
            <w:pPr>
              <w:ind w:left="30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Lease expenses for our short-term leases were immaterial for the periods presented.</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40" w:type="dxa"/>
            <w:vAlign w:val="bottom"/>
          </w:tcPr>
          <w:p>
            <w:pPr>
              <w:spacing w:after="0"/>
              <w:rPr>
                <w:sz w:val="24"/>
                <w:szCs w:val="2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Lease term and discount rate information are summarized as follows: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4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Borders>
              <w:bottom w:val="single" w:sz="8" w:color="auto"/>
            </w:tcBorders>
          </w:tcPr>
          <w:p>
            <w:pPr>
              <w:spacing w:after="0"/>
              <w:rPr>
                <w:sz w:val="20"/>
                <w:szCs w:val="20"/>
                <w:color w:val="auto"/>
              </w:rPr>
            </w:pPr>
          </w:p>
        </w:tc>
      </w:tr>
      <w:tr>
        <w:trPr>
          <w:trHeight w:val="226"/>
        </w:trPr>
        <w:tc>
          <w:tcPr>
            <w:tcW w:w="4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9"/>
                <w:szCs w:val="19"/>
                <w:color w:val="auto"/>
              </w:rPr>
            </w:pPr>
          </w:p>
        </w:tc>
      </w:tr>
      <w:tr>
        <w:trPr>
          <w:trHeight w:val="234"/>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0"/>
                <w:szCs w:val="20"/>
                <w:color w:val="auto"/>
              </w:rPr>
            </w:pPr>
          </w:p>
        </w:tc>
      </w:tr>
      <w:tr>
        <w:trPr>
          <w:trHeight w:val="549"/>
        </w:trPr>
        <w:tc>
          <w:tcPr>
            <w:tcW w:w="40" w:type="dxa"/>
            <w:vAlign w:val="bottom"/>
          </w:tcPr>
          <w:p>
            <w:pPr>
              <w:spacing w:after="0"/>
              <w:rPr>
                <w:sz w:val="24"/>
                <w:szCs w:val="24"/>
                <w:color w:val="auto"/>
              </w:rPr>
            </w:pPr>
          </w:p>
        </w:tc>
        <w:tc>
          <w:tcPr>
            <w:tcW w:w="7940" w:type="dxa"/>
            <w:vAlign w:val="bottom"/>
            <w:gridSpan w:val="7"/>
          </w:tcPr>
          <w:p>
            <w:pPr>
              <w:ind w:left="620"/>
              <w:spacing w:after="0"/>
              <w:rPr>
                <w:sz w:val="20"/>
                <w:szCs w:val="20"/>
                <w:color w:val="auto"/>
              </w:rPr>
            </w:pPr>
            <w:r>
              <w:rPr>
                <w:rFonts w:ascii="Times New Roman" w:cs="Times New Roman" w:eastAsia="Times New Roman" w:hAnsi="Times New Roman"/>
                <w:sz w:val="18"/>
                <w:szCs w:val="18"/>
                <w:color w:val="auto"/>
              </w:rPr>
              <w:t>As of March 31, 2026, future minimum lease payments are as follows, by fiscal year (in thousands):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 w:type="dxa"/>
            <w:vAlign w:val="bottom"/>
          </w:tcPr>
          <w:p>
            <w:pPr>
              <w:spacing w:after="0"/>
              <w:rPr>
                <w:sz w:val="9"/>
                <w:szCs w:val="9"/>
                <w:color w:val="auto"/>
              </w:rPr>
            </w:pPr>
          </w:p>
        </w:tc>
        <w:tc>
          <w:tcPr>
            <w:tcW w:w="4440" w:type="dxa"/>
            <w:vAlign w:val="bottom"/>
            <w:gridSpan w:val="2"/>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40" w:type="dxa"/>
            <w:vAlign w:val="bottom"/>
          </w:tcPr>
          <w:p>
            <w:pPr>
              <w:spacing w:after="0"/>
              <w:rPr>
                <w:sz w:val="19"/>
                <w:szCs w:val="19"/>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Repurchase Obligations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March 31, 2026, the aggregate outstanding balance of loans held by third-party investors or unconsolidated VIEs was $9.4 billion, of which we have recorded a repurchase liability of $6.8 million within accrued expenses and other liabilities in our interim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Kusnier v. Affirm Holdings, Inc.</w:t>
      </w:r>
    </w:p>
    <w:p>
      <w:pPr>
        <w:spacing w:after="0" w:line="2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December 8, 2022, plaintiff Mark Kusnier filed a putative class action lawsuit against Affirm, Max Levchin, and Michael Linford in the U.S. District Court for the Northern District of California (the “Kusnier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contained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sought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 On August 14, 2025, the Court resolved plaintiffs' motion in Affirm's favor. On September 30, 2025, the Court dismissed the action with prejudice. On October 29, 2025, plaintiffs filed a notice of appeal to the U.S. Court of Appeals for the Ninth Circuit. Briefing is underway in the appeal.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Quiroga v. Levchin, et al.</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Jeffries v. Levchin, et al.</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Vallieres v. Levchin, et al.</w:t>
      </w:r>
    </w:p>
    <w:p>
      <w:pPr>
        <w:spacing w:after="0" w:line="254"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spacing w:after="0" w:line="222"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based on current knowledge, that the aggregate amount or range of losses that are estimable with respect to our legal proceedings, including the matters described above, would not have a material adverse effect within our consolidated financial position, results of operations or cash flows. Amounts accrued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March 31, 2026 were not material. The ultimate outcome of legal proceedings involves judgments, estimates and inherent uncertainties, and cannot be predicted with 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Debt outstanding as of March 31, 2026 includes amounts classified within our interim condensed consolidated balance sheets as funding debt, notes issued by securitization trusts, and convertible senior notes, net. Secured debt includes borrowings from our warehouse facilities, variable funding notes, notes issued by securitization trusts and sale and repurchase agreements. Unsecured debt includes outstanding convertible senior notes and any borrowings on our unsecured revolving credit facility.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and terms of our secured and unsecured debt as of March 31, 2026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Debt Outstanding net</w:t>
            </w:r>
          </w:p>
        </w:tc>
      </w:tr>
      <w:tr>
        <w:trPr>
          <w:trHeight w:val="137"/>
        </w:trPr>
        <w:tc>
          <w:tcPr>
            <w:tcW w:w="3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of unamortized</w:t>
            </w:r>
          </w:p>
        </w:tc>
      </w:tr>
      <w:tr>
        <w:trPr>
          <w:trHeight w:val="200"/>
        </w:trPr>
        <w:tc>
          <w:tcPr>
            <w:tcW w:w="362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Unused</w:t>
            </w:r>
          </w:p>
        </w:tc>
        <w:tc>
          <w:tcPr>
            <w:tcW w:w="144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Maturity by</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Borrowing</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Debt Outstanding</w:t>
            </w:r>
          </w:p>
        </w:tc>
        <w:tc>
          <w:tcPr>
            <w:tcW w:w="160" w:type="dxa"/>
            <w:vAlign w:val="bottom"/>
          </w:tcPr>
          <w:p>
            <w:pPr>
              <w:spacing w:after="0"/>
              <w:rPr>
                <w:sz w:val="17"/>
                <w:szCs w:val="17"/>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premiums and</w:t>
            </w:r>
          </w:p>
        </w:tc>
      </w:tr>
      <w:tr>
        <w:trPr>
          <w:trHeight w:val="162"/>
        </w:trPr>
        <w:tc>
          <w:tcPr>
            <w:tcW w:w="36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 Fees</w:t>
            </w:r>
          </w:p>
        </w:tc>
        <w:tc>
          <w:tcPr>
            <w:tcW w:w="144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Capacity </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4"/>
                <w:szCs w:val="14"/>
                <w:color w:val="auto"/>
              </w:rPr>
            </w:pP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9"/>
                <w:szCs w:val="9"/>
                <w:b w:val="1"/>
                <w:bCs w:val="1"/>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discount</w:t>
            </w:r>
          </w:p>
        </w:tc>
      </w:tr>
      <w:tr>
        <w:trPr>
          <w:trHeight w:val="18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Secured debt</w:t>
            </w: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95"/>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Funding debt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warehouse facilities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0.20% - 0.50%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2027 - 2032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1,671,663</w:t>
            </w:r>
          </w:p>
        </w:tc>
      </w:tr>
      <w:tr>
        <w:trPr>
          <w:trHeight w:val="203"/>
        </w:trPr>
        <w:tc>
          <w:tcPr>
            <w:tcW w:w="362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International warehouse facilities </w:t>
            </w:r>
            <w:r>
              <w:rPr>
                <w:rFonts w:ascii="Times New Roman" w:cs="Times New Roman" w:eastAsia="Times New Roman" w:hAnsi="Times New Roman"/>
                <w:sz w:val="18"/>
                <w:szCs w:val="18"/>
                <w:color w:val="auto"/>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 - 0.95%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2028 - 2031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547,987</w:t>
            </w:r>
          </w:p>
        </w:tc>
      </w:tr>
      <w:tr>
        <w:trPr>
          <w:trHeight w:val="203"/>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Variable funding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192,255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189,855</w:t>
            </w:r>
          </w:p>
        </w:tc>
      </w:tr>
      <w:tr>
        <w:trPr>
          <w:trHeight w:val="19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repurchase agreements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2029 - 2030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w:t>
            </w:r>
          </w:p>
        </w:tc>
      </w:tr>
      <w:tr>
        <w:trPr>
          <w:trHeight w:val="21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2030 - 2035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5,350,000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5,327,589</w:t>
            </w:r>
          </w:p>
        </w:tc>
      </w:tr>
      <w:tr>
        <w:trPr>
          <w:trHeight w:val="189"/>
        </w:trPr>
        <w:tc>
          <w:tcPr>
            <w:tcW w:w="3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12,914,352</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7,791,781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7,745,294</w:t>
            </w: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debt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Convertible senior notes: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 Notes</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220,988</w:t>
            </w:r>
          </w:p>
        </w:tc>
      </w:tr>
      <w:tr>
        <w:trPr>
          <w:trHeight w:val="19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2029 Notes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907,629</w:t>
            </w:r>
          </w:p>
        </w:tc>
      </w:tr>
      <w:tr>
        <w:trPr>
          <w:trHeight w:val="21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1,141,321</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1,128,617</w:t>
            </w:r>
          </w:p>
        </w:tc>
      </w:tr>
      <w:tr>
        <w:trPr>
          <w:trHeight w:val="22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13,244,352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8,933,102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8,873,911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340" w:right="100" w:hanging="332"/>
        <w:spacing w:after="0" w:line="239"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stated interest rate reflects the fixed or variable interest rate in effect for each of our contractual arrangements as of March 31, 2026, weighted by the outstanding principal balance as of that date. The interest rate resets periodically for our variable rate debt, typically based on a reference rate such as Secured Overnight Financing Rate (“SOFR”), Canadian Overnight Repo Rate Average (“CORRA”) or Sterling Overnight Index Average (“SONIA”), or an alternative rate based on the cost of funds for the lender, plus any applicable spread.</w:t>
      </w:r>
    </w:p>
    <w:p>
      <w:pPr>
        <w:ind w:left="320" w:hanging="312"/>
        <w:spacing w:after="0" w:line="196"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total revolving commitment amount, inclusive of debt outstanding as of March 31, 2026.</w:t>
      </w:r>
    </w:p>
    <w:p>
      <w:pPr>
        <w:spacing w:after="0" w:line="1" w:lineRule="exact"/>
        <w:rPr>
          <w:rFonts w:ascii="Times New Roman" w:cs="Times New Roman" w:eastAsia="Times New Roman" w:hAnsi="Times New Roman"/>
          <w:sz w:val="23"/>
          <w:szCs w:val="23"/>
          <w:color w:val="auto"/>
          <w:vertAlign w:val="superscript"/>
        </w:rPr>
      </w:pPr>
    </w:p>
    <w:p>
      <w:pPr>
        <w:ind w:left="340" w:right="320" w:hanging="332"/>
        <w:spacing w:after="0" w:line="228"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loans are pledged as collateral for borrowings in our secured debt facilities, except for our sales and repurchase agreements which are collateralized by securitization notes receivable and certificates retained by the Company and classified as securities available for sale at fair value. The carrying value of these pledged assets was $8.4 billion as of March 31, 2026.</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international facilities finance loan receivables originated in Canada and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by Fiscal Year</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aggregate future maturities of our funding debt, notes issued by securitization trusts and convertible notes consists of the following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421,677</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1,064,767</w:t>
            </w:r>
          </w:p>
        </w:tc>
      </w:tr>
      <w:tr>
        <w:trPr>
          <w:trHeight w:val="230"/>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516,868</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1,675,952</w:t>
            </w:r>
          </w:p>
        </w:tc>
      </w:tr>
      <w:tr>
        <w:trPr>
          <w:trHeight w:val="23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5,253,838</w:t>
            </w:r>
          </w:p>
        </w:tc>
      </w:tr>
      <w:tr>
        <w:trPr>
          <w:trHeight w:val="22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8,933,102</w:t>
            </w:r>
          </w:p>
        </w:tc>
      </w:tr>
      <w:tr>
        <w:trPr>
          <w:trHeight w:val="23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(59,191)</w:t>
            </w:r>
          </w:p>
        </w:tc>
      </w:tr>
      <w:tr>
        <w:trPr>
          <w:trHeight w:val="248"/>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8,873,911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17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Through certain consolidated subsidiaries, which are typically trusts, we enter into secured borrowing arrangements with banks and other financial institutions. Through each of these subsidiaries we enter into a loan or credit and security agreement where we borrow against loans pledged as collateral. Financing terms, including the advance rate and financing spread, vary across these revolving facilities and generally depend on the types of collateral that may be pledged and respective concentration limits.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terms.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Borrowings under these agreements are classified as funding debt within our interim condensed consolidated balance sheets and proceeds from the borrowings can only be used for the purposes of funding loans. These borrowing facilities are bankruptcy-remote special-purpose vehicles in which creditors do not have recourse against the general credit of Affirm.</w:t>
      </w:r>
    </w:p>
    <w:p>
      <w:pPr>
        <w:spacing w:after="0" w:line="21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funding debt agreements contain certain customary negative covenants and financial covenants including maintaining certain levels of minimum liquidity, maximum leverage, and minimum tangible net worth. As of March 31, 2026, we were in compliance with all applicable covenants in the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Funding Note</w:t>
      </w:r>
    </w:p>
    <w:p>
      <w:pPr>
        <w:spacing w:after="0" w:line="25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affects the level of utilization of the VFN. Outstanding borrowings under the VFN are classified as funding debt within our interim condensed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254"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notes pledged. We record the debt outstanding under our sale and repurchase agreements within our funding debt in the interim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Issued by Securitization Trusts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issue asset-backed securities through securitization trusts using a combination of term, amortizing, revolving and variable funding structures. Each trust may issue one or more classes of notes, which will be repaid through collections on the loans in accordance with the trust priority of payments. For consolidated securitization trusts, asset-backed notes held by third-party investors are classified as notes issued by securitization trusts within our interim condensed consolidated balance sheets. We defer and amortize debt issuance costs for consolidated securitization trusts on a straight-line basis over the expected life of the notes. Refer to Note 9 Securitization and Variable Interest Entities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43"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7"/>
          <w:szCs w:val="17"/>
          <w:color w:val="auto"/>
        </w:rPr>
        <w:t>We have a Revolving Credit Agreement with a syndicate of banks for a $330.0 million unsecured revolving credit facility. Proceeds of the borrowings under this facility will be used for general corporate purposes in the ordinary course of business. This facility bears interest at a rate equal to, either (a) for SOFR borrowing, a SOFR rate determined by reference to the forward-looking term SOFR rate for the interest period, plus an applicable margin of 1.75% per annum or (b) for alternative base rate borrowings, a base rate determined by reference to the highest of (i) the federal funds rate plus 0.50% per annum, (ii) the rate last quoted by the Wall Street Journal as the U.S. prime rate and (iii) the one-month forward-looking term SOFR rate plus</w:t>
      </w:r>
    </w:p>
    <w:p>
      <w:pPr>
        <w:spacing w:after="0" w:line="2" w:lineRule="exact"/>
        <w:rPr>
          <w:sz w:val="20"/>
          <w:szCs w:val="20"/>
          <w:color w:val="auto"/>
        </w:rPr>
      </w:pPr>
    </w:p>
    <w:p>
      <w:pPr>
        <w:jc w:val="both"/>
        <w:ind w:right="280"/>
        <w:spacing w:after="0" w:line="234" w:lineRule="auto"/>
        <w:rPr>
          <w:sz w:val="20"/>
          <w:szCs w:val="20"/>
          <w:color w:val="auto"/>
        </w:rPr>
      </w:pPr>
      <w:r>
        <w:rPr>
          <w:rFonts w:ascii="Times New Roman" w:cs="Times New Roman" w:eastAsia="Times New Roman" w:hAnsi="Times New Roman"/>
          <w:sz w:val="18"/>
          <w:szCs w:val="18"/>
          <w:color w:val="auto"/>
        </w:rPr>
        <w:t>1.00% per annum, in each case, plus an applicable margin of 0.75% per annum. The facility contains certain financial covenants which may result in an acceleration of the maturity if not maintained, and requires payment of a monthly unused commitment fee of 0.20% per annum on the undrawn balance available.</w:t>
      </w:r>
    </w:p>
    <w:p>
      <w:pPr>
        <w:spacing w:after="0" w:line="21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were in compliance with all applicable covenants in the agreement. There were no borrowings outstanding under the facility as of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7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outstanding: (i) $221.3 million aggregate principal amount of 0.00% convertible senior notes due November 15, 2026 (the “2026 Notes”) and (ii) $920.0 million principal amount of 0.75% convertible senior notes due December 15, 2029 (the “2029 Notes”), in each case unless earlier converted, redeemed or repurchased in accordance with their terms. No sinking fund is provided for either series.</w:t>
      </w:r>
    </w:p>
    <w:p>
      <w:pPr>
        <w:spacing w:after="0" w:line="21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notes are convertible into shares of our Class A common stock under specified conditions. In each case, the conversion rate is subject to adjustment upon the occurrence of certain events, and, upon conversion, we may settle the conversion obligation in cash, shares of our Class A common stock, or a combination of cash and shares, as discussed below.</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Upon conversion, we will pay cash up to the aggregate principal amount of the notes and may settle the remainder, if any, in cash, shares of our common stock, or a combination of both, at our election. The amount due upon conversion is based on a daily conversion value over a 40 trading day observation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18"/>
          <w:szCs w:val="18"/>
          <w:color w:val="auto"/>
        </w:rPr>
        <w:t>The 2029 Notes bear interest at a fixed rate of 0.75% per year, payable semiannually in arrears on June 15 and December 15 of each year. Each $1,000 of principal of the 2029 Notes is initially convertible into 9.8992 shares of our common stock, which is equivalent to an initial conversion price of approximately $101.02 per share. The conversion rate is subject to adjustment upon the occurrence of certain specified events set forth in the indenture governing the 2029 Notes (the “2029 Indenture”).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may convert their 2029 Notes, at their option:</w:t>
      </w:r>
    </w:p>
    <w:p>
      <w:pPr>
        <w:spacing w:after="0" w:line="252" w:lineRule="exact"/>
        <w:rPr>
          <w:sz w:val="20"/>
          <w:szCs w:val="20"/>
          <w:color w:val="auto"/>
        </w:rPr>
      </w:pPr>
    </w:p>
    <w:p>
      <w:pPr>
        <w:ind w:left="1300" w:right="280" w:hanging="320"/>
        <w:spacing w:after="0" w:line="282"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September 15, 2029 until the close of business on the second scheduled trading day immediately preceding the maturity date.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date, only if specified conditions are met, as follows:</w:t>
      </w:r>
    </w:p>
    <w:p>
      <w:pPr>
        <w:spacing w:after="0" w:line="117" w:lineRule="exact"/>
        <w:rPr>
          <w:rFonts w:ascii="Times New Roman" w:cs="Times New Roman" w:eastAsia="Times New Roman" w:hAnsi="Times New Roman"/>
          <w:sz w:val="18"/>
          <w:szCs w:val="18"/>
          <w:color w:val="auto"/>
        </w:rPr>
      </w:pPr>
    </w:p>
    <w:p>
      <w:pPr>
        <w:ind w:left="580" w:right="260" w:hanging="5"/>
        <w:spacing w:after="0" w:line="266" w:lineRule="auto"/>
        <w:tabs>
          <w:tab w:leader="none" w:pos="7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the Class A common stock is at least 130% of the conversion price for at least 20 trading days (whether or not consecutive) during any 30 consecutive trading day period ending on, and including, the last trading day of the immediately preceding calendar quarter;</w:t>
      </w:r>
    </w:p>
    <w:p>
      <w:pPr>
        <w:spacing w:after="0" w:line="202" w:lineRule="exact"/>
        <w:rPr>
          <w:rFonts w:ascii="Times New Roman" w:cs="Times New Roman" w:eastAsia="Times New Roman" w:hAnsi="Times New Roman"/>
          <w:sz w:val="18"/>
          <w:szCs w:val="18"/>
          <w:color w:val="auto"/>
        </w:rPr>
      </w:pPr>
    </w:p>
    <w:p>
      <w:pPr>
        <w:ind w:left="580" w:right="120" w:hanging="5"/>
        <w:spacing w:after="0" w:line="266" w:lineRule="auto"/>
        <w:tabs>
          <w:tab w:leader="none" w:pos="7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following any five consecutive trading day period (the “measurement period”) in which the trading price (as defined in the 2029 Indenture) per $1,000 principal amount of the 2029 Notes is less than 98% of the product of the last reported sale price of our Class A common stock and the conversion rate for each trading day in the measurement period;</w:t>
      </w:r>
    </w:p>
    <w:p>
      <w:pPr>
        <w:spacing w:after="0" w:line="202" w:lineRule="exact"/>
        <w:rPr>
          <w:rFonts w:ascii="Times New Roman" w:cs="Times New Roman" w:eastAsia="Times New Roman" w:hAnsi="Times New Roman"/>
          <w:sz w:val="18"/>
          <w:szCs w:val="18"/>
          <w:color w:val="auto"/>
        </w:rPr>
      </w:pPr>
    </w:p>
    <w:p>
      <w:pPr>
        <w:ind w:left="580" w:right="840" w:hanging="5"/>
        <w:spacing w:after="0" w:line="282" w:lineRule="auto"/>
        <w:tabs>
          <w:tab w:leader="none" w:pos="7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notes for redemption, at any time before the close of business on the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redeem all or part of the 2029 Notes for cash on or after December 20, 2027 if the last reported sale price of our Class A common stock has been at least 130% of the conversion price then in effect for at least 20 trading days (whether or not consecutive) during any 30 consecutive trading day period ending on, and including, the trading day immediately preceding the date we provide notice of redemption. The redemption price equals 100% of the principal amount of the 2029 Notes to be redeemed, plus accrued and unpaid interest, if any.</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a fundamental change (as defined in the 2029 Indenture) occurs prior to the maturity date, holders of the 2029 Notes may require us to repurchase all or a portion of their notes for cash equal to 100% of the principal amount of the 2029 Notes, plus any accrued and unpaid interest. In addition, certain corporate events may require us to increase the conversion rate for holders who elect to convert their 2029 Notes in connection with such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54" w:lineRule="exact"/>
        <w:rPr>
          <w:sz w:val="20"/>
          <w:szCs w:val="20"/>
          <w:color w:val="auto"/>
        </w:rPr>
      </w:pPr>
    </w:p>
    <w:p>
      <w:pPr>
        <w:jc w:val="both"/>
        <w:ind w:right="160" w:firstLine="648"/>
        <w:spacing w:after="0" w:line="274" w:lineRule="auto"/>
        <w:rPr>
          <w:sz w:val="20"/>
          <w:szCs w:val="20"/>
          <w:color w:val="auto"/>
        </w:rPr>
      </w:pPr>
      <w:r>
        <w:rPr>
          <w:rFonts w:ascii="Times New Roman" w:cs="Times New Roman" w:eastAsia="Times New Roman" w:hAnsi="Times New Roman"/>
          <w:sz w:val="18"/>
          <w:szCs w:val="18"/>
          <w:color w:val="auto"/>
        </w:rPr>
        <w:t>The 2026 Notes do not bear interest. Each $1,000 of principal of the 2026 Notes is initially convertible into 4.6371 shares of our common stock, which is equivalent to an initial conversion price of approximately $215.65 per share. The conversion rate is subject to adjustment upon the occurrence of certain specified events set forth in the indenture governing the 2026 Notes (the “2026 Indenture”).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may convert their 2026 Notes, at their option:</w:t>
      </w:r>
    </w:p>
    <w:p>
      <w:pPr>
        <w:spacing w:after="0" w:line="252" w:lineRule="exact"/>
        <w:rPr>
          <w:sz w:val="20"/>
          <w:szCs w:val="20"/>
          <w:color w:val="auto"/>
        </w:rPr>
      </w:pPr>
    </w:p>
    <w:p>
      <w:pPr>
        <w:ind w:left="1300" w:right="54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August 15, 2026 until the close of business on the second scheduled trading day immediately preceding the maturity date.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date, only if specified conditions are met,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right="260" w:hanging="5"/>
        <w:spacing w:after="0" w:line="266"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the Class A common stock is at least 130% of the conversion price for at least 20 trading days (whether or not consecutive) during any 30 consecutive trading day period ending on, and including, the last trading day of the immediately preceding calendar quarter;</w:t>
      </w:r>
    </w:p>
    <w:p>
      <w:pPr>
        <w:spacing w:after="0" w:line="202" w:lineRule="exact"/>
        <w:rPr>
          <w:rFonts w:ascii="Times New Roman" w:cs="Times New Roman" w:eastAsia="Times New Roman" w:hAnsi="Times New Roman"/>
          <w:sz w:val="18"/>
          <w:szCs w:val="18"/>
          <w:color w:val="auto"/>
        </w:rPr>
      </w:pPr>
    </w:p>
    <w:p>
      <w:pPr>
        <w:ind w:left="580" w:right="120" w:hanging="5"/>
        <w:spacing w:after="0" w:line="266"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following any five consecutive trading day period (the “measurement period”) in which the trading price (as defined in the 2026 Indenture) per $1,000 principal amount of the 2026 Notes is less than 98% of the product of the last reported sale price of our Class A common stock and the conversion rate for each trading day in the measurement period;</w:t>
      </w:r>
    </w:p>
    <w:p>
      <w:pPr>
        <w:spacing w:after="0" w:line="202" w:lineRule="exact"/>
        <w:rPr>
          <w:rFonts w:ascii="Times New Roman" w:cs="Times New Roman" w:eastAsia="Times New Roman" w:hAnsi="Times New Roman"/>
          <w:sz w:val="18"/>
          <w:szCs w:val="18"/>
          <w:color w:val="auto"/>
        </w:rPr>
      </w:pPr>
    </w:p>
    <w:p>
      <w:pPr>
        <w:ind w:left="580" w:right="840" w:hanging="5"/>
        <w:spacing w:after="0" w:line="282"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notes for redemption, at any time before the close of business on the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may redeem all or part of the 2026 Notes for cash if the last reported sale price of our Class A common stock has been at least 130% of the conversion price then in effect for at least 20 trading days (whether or not consecutive) during any 30 consecutive trading day period ending on, and including, the trading day immediately preceding the date we provide notice of redemption. The redemption price equals 100% of the principal amount of the 2026 Notes to be redeemed, plus accrued and unpaid special interest, if any.</w:t>
      </w:r>
    </w:p>
    <w:p>
      <w:pPr>
        <w:spacing w:after="0" w:line="21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2026 Indenture) occurs prior to the maturity date, holders of the 2026 Notes may require us to repurchase all or a portion of their notes for cash equal to 100% of the principal amount of the 2026 Notes, plus any accrued and unpaid interest. In addition, certain corporate events may require us to increase the conversion rate for holders who elect to convert their 2026 Notes in connection with such events.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a Portion of the 2026 Notes</w:t>
      </w:r>
    </w:p>
    <w:p>
      <w:pPr>
        <w:spacing w:after="0" w:line="26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2026, we paid $25.8 million in cash for the repurchase of $27.4 million aggregate principal amount of the 2026 Notes. The carrying amount of the extinguished 2026 Notes was approximately $27.3 million during the nine months ended March 31, 2026, resulting in a $1.5 million gain on early extinguishment of debt. The repurchased 2026 Notes were received and canceled. There were no repurchases of our 2026 Notes during the three months ended March 31, 2026.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related to the convertible senior notes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5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 Notes</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0"/>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 Notes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of debt issuance costs</w:t>
            </w: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Coupon interest expense </w:t>
            </w:r>
            <w:r>
              <w:rPr>
                <w:rFonts w:ascii="Times New Roman" w:cs="Times New Roman" w:eastAsia="Times New Roman" w:hAnsi="Times New Roman"/>
                <w:sz w:val="23"/>
                <w:szCs w:val="23"/>
                <w:color w:val="auto"/>
                <w:vertAlign w:val="superscript"/>
              </w:rPr>
              <w:t>(1) (2)</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expenses related to the convertible notes</w:t>
            </w: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0"/>
        </w:trPr>
        <w:tc>
          <w:tcPr>
            <w:tcW w:w="5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our interim condensed consolidated statement of operations and comprehensive income (loss) within other income, net.</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coupon interest expense is related to the 2029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Securitization and Variable Interest Entities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We consolidate VIEs when we are deemed to be the primary beneficiary. For the primary beneficiary evaluation, we consider whether we have both the power to direct the activities that most significantly affect the VIEs’ economic performance and the obligation to absorb losses or the right to receive benefits that could potentially be significant to the VIEs. We consider both qualitative and quantitative factors regarding the nature, size and form of our involvement with the VIEs. We reevaluate whether we are the primary beneficiary of the VIEs on an ongoing basis.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established certain entities, deemed to be VIEs, to enter into warehouse credit facilities for the purpose of purchasing loans from our originating bank partners and funding directly originated loans. Refer to Note 8. Debt for additional information. We retain the residual interest in each warehouse credit facility which absorbs the variability of the VIEs. The creditors of the VIEs have no recourse to the general credit of Affirm and the liabilities of the VIEs can only be settled by the respective VIEs’ assets. In addition to the retained residual interest, our continued involvement in the VIEs includes loan servicing responsibilities over the life of the underlying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Securitizations</w:t>
      </w:r>
    </w:p>
    <w:p>
      <w:pPr>
        <w:spacing w:after="0" w:line="254"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color w:val="auto"/>
        </w:rPr>
        <w:t>We finance the origination and purchase of loans through our asset-backed securitization program using a combination of term,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For each securitization, the residual trust certificates represent the right to receive excess cash from the loan repayments each collection period after all fees and required distributions have been made to the note holders. In addition to the retained residual trust certificates, our continued involvement includes loan servicing responsibilities over the life of the underlying loans.</w:t>
      </w:r>
    </w:p>
    <w:p>
      <w:pPr>
        <w:spacing w:after="0" w:line="22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assessing the primary beneficiary for both Warehouse Credit Facilities and Securitizations VIEs, through our role as the servicer, we have the power to direct the activities that most significantly affect the VIEs’ economic performance. In addition, through the retained residual interests, we have economic exposure to the pledged loans that could potentially be significant to the VIEs. We also earn a servicing fee which has a senior distribution priority in the payment waterfall. Servicing fees are considered variable interests when we also hold significant retained interests in the VIEs that would absorb losses or receive benefits that are more than insignificant. Therefore, we are the primary beneficiary.</w:t>
      </w:r>
    </w:p>
    <w:p>
      <w:pPr>
        <w:spacing w:after="0" w:line="21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Where we consolidate the VIEs, the loans held in the VIEs are included in loans held for investment within our interim condensed consolidated balance sheets. Outstanding borrowings from the Warehouse Credit Facilities VIEs and Variable Funding Note under the Securitizations VIE are recorded in funding debt within our interim condensed consolidated balance sheets. The notes sold to third-party investors by the Securitizations VIEs are recorded in notes issued by securitization trusts within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aggregate carrying value of financial assets and liabilities from our involvement with consolidated VIEs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2,237,978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256,165</w:t>
            </w:r>
          </w:p>
        </w:tc>
      </w:tr>
      <w:tr>
        <w:trPr>
          <w:trHeight w:val="229"/>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Securitizations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235,611</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491,776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164,044</w:t>
            </w:r>
          </w:p>
        </w:tc>
      </w:tr>
      <w:tr>
        <w:trPr>
          <w:trHeight w:val="229"/>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Securitizations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4,993,148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4,951,485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41,663</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35"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Liabilities include an outstanding balance of $189.9 million and $103.9 million on a VFN classified as funding debt as of March 31, 2026 and June 30, 2025, respectively, and asset-backed securities of $5.3 billion and $4.8 billion, respectively, classified as notes issued from securitization trusts.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70"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We are involved with various unconsolidated VIEs, established for the purposes of securitization and forward flow arrangements. We retain economic exposure as variable interests in these unconsolidated VIEs, which consist of securitization notes receivable and certificates in unconsolidated trusts, residual interests in structured transactions, and risk sharing assets and liabilities. While we continue to be involved with the unconsolidated VIEs through our role as the servicer, we determined that we are not the primary beneficiary as of March 31, 2026. Factors we considered for this determination are that we hold an insignificant variable interest or rights held by other variable interest holders convey power in the unconsolidated VIEs.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 notes receivable and certificates in unconsolidated securitization trusts</w:t>
      </w:r>
    </w:p>
    <w:p>
      <w:pPr>
        <w:spacing w:after="0" w:line="254"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8"/>
          <w:szCs w:val="18"/>
          <w:color w:val="auto"/>
        </w:rPr>
        <w:t>We have investments in certain unconsolidated securitization trusts in the form of notes and certificates. These notes and certificates are considered variable interests that absorb a portion of the variability of the trusts. The principal and interest payments on these investments are dependent on the performance of the underlying loans held within each trust.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Residual interests in structured transactions</w:t>
      </w:r>
    </w:p>
    <w:p>
      <w:pPr>
        <w:spacing w:after="0" w:line="26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Under certain forward flow arrangements with third-party loan buyers, we hold a beneficial interest representing our right to receive a portion of the residual cash flows from the underlying loans sold in connection with the transaction. The loans are held in an unconsolidated VIE that has been established by the third-party loan buyers.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sharing assets and liabilities</w:t>
      </w:r>
    </w:p>
    <w:p>
      <w:pPr>
        <w:spacing w:after="0" w:line="254" w:lineRule="exact"/>
        <w:rPr>
          <w:sz w:val="20"/>
          <w:szCs w:val="20"/>
          <w:color w:val="auto"/>
        </w:rPr>
      </w:pPr>
    </w:p>
    <w:p>
      <w:pPr>
        <w:ind w:right="480" w:firstLine="648"/>
        <w:spacing w:after="0" w:line="274" w:lineRule="auto"/>
        <w:rPr>
          <w:sz w:val="20"/>
          <w:szCs w:val="20"/>
          <w:color w:val="auto"/>
        </w:rPr>
      </w:pPr>
      <w:r>
        <w:rPr>
          <w:rFonts w:ascii="Times New Roman" w:cs="Times New Roman" w:eastAsia="Times New Roman" w:hAnsi="Times New Roman"/>
          <w:sz w:val="18"/>
          <w:szCs w:val="18"/>
          <w:color w:val="auto"/>
        </w:rPr>
        <w:t>Under certain other forward flow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unconsolidated VIEs where we hold a variable interest but are not the primary beneficiary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8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Maximum Exposure to</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800" w:type="dxa"/>
            <w:vAlign w:val="bottom"/>
            <w:gridSpan w:val="2"/>
          </w:tcPr>
          <w:p>
            <w:pPr>
              <w:jc w:val="right"/>
              <w:ind w:right="12"/>
              <w:spacing w:after="0" w:line="155" w:lineRule="exact"/>
              <w:rPr>
                <w:sz w:val="20"/>
                <w:szCs w:val="20"/>
                <w:color w:val="auto"/>
              </w:rPr>
            </w:pPr>
            <w:r>
              <w:rPr>
                <w:rFonts w:ascii="Times New Roman" w:cs="Times New Roman" w:eastAsia="Times New Roman" w:hAnsi="Times New Roman"/>
                <w:sz w:val="16"/>
                <w:szCs w:val="16"/>
                <w:b w:val="1"/>
                <w:bCs w:val="1"/>
                <w:color w:val="auto"/>
              </w:rPr>
              <w:t>Maximum Exposure to</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center"/>
              <w:ind w:right="680"/>
              <w:spacing w:after="0" w:line="216" w:lineRule="exact"/>
              <w:rPr>
                <w:sz w:val="20"/>
                <w:szCs w:val="20"/>
                <w:color w:val="auto"/>
              </w:rPr>
            </w:pPr>
            <w:r>
              <w:rPr>
                <w:rFonts w:ascii="Times New Roman" w:cs="Times New Roman" w:eastAsia="Times New Roman" w:hAnsi="Times New Roman"/>
                <w:sz w:val="16"/>
                <w:szCs w:val="16"/>
                <w:b w:val="1"/>
                <w:bCs w:val="1"/>
                <w:color w:val="auto"/>
                <w:w w:val="92"/>
              </w:rPr>
              <w:t>Losses</w:t>
            </w:r>
            <w:r>
              <w:rPr>
                <w:rFonts w:ascii="Times New Roman" w:cs="Times New Roman" w:eastAsia="Times New Roman" w:hAnsi="Times New Roman"/>
                <w:sz w:val="21"/>
                <w:szCs w:val="21"/>
                <w:b w:val="1"/>
                <w:bCs w:val="1"/>
                <w:color w:val="auto"/>
                <w:w w:val="92"/>
                <w:vertAlign w:val="superscript"/>
              </w:rPr>
              <w:t>(4)</w:t>
            </w:r>
          </w:p>
        </w:tc>
        <w:tc>
          <w:tcPr>
            <w:tcW w:w="1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ind w:right="532"/>
              <w:spacing w:after="0" w:line="216" w:lineRule="exact"/>
              <w:rPr>
                <w:sz w:val="20"/>
                <w:szCs w:val="20"/>
                <w:color w:val="auto"/>
              </w:rPr>
            </w:pPr>
            <w:r>
              <w:rPr>
                <w:rFonts w:ascii="Times New Roman" w:cs="Times New Roman" w:eastAsia="Times New Roman" w:hAnsi="Times New Roman"/>
                <w:sz w:val="16"/>
                <w:szCs w:val="16"/>
                <w:b w:val="1"/>
                <w:bCs w:val="1"/>
                <w:color w:val="auto"/>
              </w:rPr>
              <w:t>Losses</w:t>
            </w:r>
            <w:r>
              <w:rPr>
                <w:rFonts w:ascii="Times New Roman" w:cs="Times New Roman" w:eastAsia="Times New Roman" w:hAnsi="Times New Roman"/>
                <w:sz w:val="21"/>
                <w:szCs w:val="21"/>
                <w:b w:val="1"/>
                <w:bCs w:val="1"/>
                <w:color w:val="auto"/>
                <w:vertAlign w:val="superscript"/>
              </w:rPr>
              <w:t>(4)</w:t>
            </w:r>
          </w:p>
        </w:tc>
        <w:tc>
          <w:tcPr>
            <w:tcW w:w="0" w:type="dxa"/>
            <w:vAlign w:val="bottom"/>
          </w:tcPr>
          <w:p>
            <w:pPr>
              <w:spacing w:after="0"/>
              <w:rPr>
                <w:sz w:val="1"/>
                <w:szCs w:val="1"/>
                <w:color w:val="auto"/>
              </w:rPr>
            </w:pPr>
          </w:p>
        </w:tc>
      </w:tr>
      <w:tr>
        <w:trPr>
          <w:trHeight w:val="161"/>
        </w:trPr>
        <w:tc>
          <w:tcPr>
            <w:tcW w:w="37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Securitization notes receivable and certificates in</w:t>
            </w:r>
          </w:p>
        </w:tc>
        <w:tc>
          <w:tcPr>
            <w:tcW w:w="20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7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unconsolidated securitization trusts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Residual interests in structured transactions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sharing assets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sharing liabilities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24,467</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within Securities available for sale at fair value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within Other assets</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within Accrued expenses and other liabilities</w:t>
      </w:r>
    </w:p>
    <w:p>
      <w:pPr>
        <w:spacing w:after="0" w:line="2" w:lineRule="exact"/>
        <w:rPr>
          <w:rFonts w:ascii="Times New Roman" w:cs="Times New Roman" w:eastAsia="Times New Roman" w:hAnsi="Times New Roman"/>
          <w:sz w:val="23"/>
          <w:szCs w:val="23"/>
          <w:color w:val="auto"/>
          <w:vertAlign w:val="superscript"/>
        </w:rPr>
      </w:pPr>
    </w:p>
    <w:p>
      <w:pPr>
        <w:ind w:left="660" w:right="140" w:hanging="328"/>
        <w:spacing w:after="0" w:line="21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Maximum exposure to losses represents our exposure through our continuing involvement as servicer, through our retained interests, and legal or contractual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Securities Available for Sale</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securities available for sale, at fair value, consist of the following as of each date presented within the interim condensed consolidated balance sheets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70,920</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3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bonds - US</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264,199</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126,761</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r>
      <w:tr>
        <w:trPr>
          <w:trHeight w:val="229"/>
        </w:trPr>
        <w:tc>
          <w:tcPr>
            <w:tcW w:w="71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344,434</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963,397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780" w:hanging="328"/>
        <w:spacing w:after="0" w:line="22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and June 30, 2025, these securities include $100.5 million and $75.4 million, respectively, pledged as collateral in connection with our standby letters of credit for office leases and certain commercial agreements.</w:t>
      </w:r>
    </w:p>
    <w:p>
      <w:pPr>
        <w:ind w:left="660" w:right="160" w:hanging="328"/>
        <w:spacing w:after="0" w:line="21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include $9.3 million and $34.5 million as of March 31, 2026 and June 30, 2025, respectively, pledged as collateral in connection with sale and repurchase agreements as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p>
      <w:pPr>
        <w:spacing w:after="0" w:line="25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allowance for credit losses, and fair value of securities available for sale as of March 31, 2026 and June 30, 2025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777,890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7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264,199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Agency bonds </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892,477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14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and June 30, 2025, Agency bonds, Corporate bonds, Commercial paper, and US government bonds included $20.3 million and $21.1 million, respectively, classified as cash and cash equivalents within the interim condensed consolidated balance sheets.</w:t>
      </w:r>
    </w:p>
    <w:p>
      <w:pPr>
        <w:ind w:left="660" w:right="78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and June 30, 2025, these securities include $100.5 million and $75.4 million, respectively, pledged as collateral in connection with our standby letters of credit for office leases and certain commercial agreements.</w:t>
      </w:r>
    </w:p>
    <w:p>
      <w:pPr>
        <w:spacing w:after="0" w:line="1" w:lineRule="exact"/>
        <w:rPr>
          <w:rFonts w:ascii="Times New Roman" w:cs="Times New Roman" w:eastAsia="Times New Roman" w:hAnsi="Times New Roman"/>
          <w:sz w:val="23"/>
          <w:szCs w:val="23"/>
          <w:color w:val="auto"/>
          <w:vertAlign w:val="superscript"/>
        </w:rPr>
      </w:pPr>
    </w:p>
    <w:p>
      <w:pPr>
        <w:ind w:left="660" w:right="42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$9.3 million and $34.5 million as of March 31, 2026 and June 30, 2025, respectively, of these securities have been pledged as collateral in connection with sale and repurchase agreements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June 30, 2025, there were no material reversals of prior period allowance for credit losses recognized for available for sale securities.</w:t>
      </w:r>
    </w:p>
    <w:p>
      <w:pPr>
        <w:spacing w:after="0" w:line="18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March 31, 2026 and June 30, 2025,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367,338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355,037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80" w:hanging="328"/>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securities with unrealized losses for which an allowance for credit losses has not been recorded totaled 91 and 67 as of March 31, 2026 and June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length of time to contractual maturities of securities available for sale as of March 31, 2026 and June 30, 2025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60" w:type="dxa"/>
            <w:vAlign w:val="bottom"/>
          </w:tcPr>
          <w:p>
            <w:pPr>
              <w:spacing w:after="0"/>
              <w:rPr>
                <w:sz w:val="13"/>
                <w:szCs w:val="13"/>
                <w:color w:val="auto"/>
              </w:rPr>
            </w:pPr>
          </w:p>
        </w:tc>
        <w:tc>
          <w:tcPr>
            <w:tcW w:w="2580" w:type="dxa"/>
            <w:vAlign w:val="bottom"/>
            <w:gridSpan w:val="9"/>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tcBorders>
              <w:top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40" w:type="dxa"/>
            <w:vAlign w:val="bottom"/>
            <w:tcBorders>
              <w:top w:val="single" w:sz="8" w:color="auto"/>
              <w:bottom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513,985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262,794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776,779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8"/>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8"/>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39,008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264,199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139,325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Agency bonds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349,429</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75,469</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673,109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673,543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892,477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140" w:hanging="328"/>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and June 30, 2025, Agency bonds, Corporate bonds, Commercial paper, and US government bonds included $20.3 million and $21.1 million, respectively, classified as cash and cash equivalents within the interim condensed consolidated balance sheets.</w:t>
      </w:r>
    </w:p>
    <w:p>
      <w:pPr>
        <w:ind w:left="640" w:hanging="308"/>
        <w:spacing w:after="0" w:line="196"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life of expected cash flows as of March 31, 2026 and June 30, 2025.</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proceeds from matured or redeemed securities were $257.8 million and $672.7 million for the three and nine months ended March 31, 2026, respectively, and $283.9 million and $990.4 million for the three and nine months ended March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available for sale securities, no gains and losses were realized for the three and nine months ended March 31, 2026 and were immaterial for the three and nine months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Held at Cost</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Equity security investments without a readily determinable fair value held at cost were $40.4 million and $40.3 million as of March 31, 2026 and June 30, 2025, respectively, and are included in other assets within the interim condensed consolidated balance sheets.</w:t>
      </w:r>
    </w:p>
    <w:p>
      <w:pPr>
        <w:spacing w:after="0" w:line="18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We did not record any impairment during the three and nine months ended March 31, 2026 or for the three months ended March 31, 2025. We recognized an impairment of $3.0 million for the nine months ended March 31, 2025 within other income, net in the interim consolidated statements of operations and comprehensive income (loss) in connection with one of our non-marketable equity security investments.</w:t>
      </w:r>
    </w:p>
    <w:p>
      <w:pPr>
        <w:spacing w:after="0" w:line="203" w:lineRule="exact"/>
        <w:rPr>
          <w:sz w:val="20"/>
          <w:szCs w:val="20"/>
          <w:color w:val="auto"/>
        </w:rPr>
      </w:pPr>
    </w:p>
    <w:p>
      <w:pPr>
        <w:jc w:val="both"/>
        <w:ind w:right="360" w:firstLine="648"/>
        <w:spacing w:after="0" w:line="312" w:lineRule="auto"/>
        <w:rPr>
          <w:sz w:val="20"/>
          <w:szCs w:val="20"/>
          <w:color w:val="auto"/>
        </w:rPr>
      </w:pPr>
      <w:r>
        <w:rPr>
          <w:rFonts w:ascii="Times New Roman" w:cs="Times New Roman" w:eastAsia="Times New Roman" w:hAnsi="Times New Roman"/>
          <w:sz w:val="17"/>
          <w:szCs w:val="17"/>
          <w:color w:val="auto"/>
        </w:rPr>
        <w:t>For the three and nine months ended March 31, 2026, there were no upward or downward adjustments due to observable changes in orderly transactions. For the three and nine months ended March 31, 2025, we recognized an upward adjustment of $0.1 million and $2.6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fair value, including interest accruals, and outstanding notional amounts of derivative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June 30, 2025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0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r>
      <w:tr>
        <w:trPr>
          <w:trHeight w:val="241"/>
        </w:trPr>
        <w:tc>
          <w:tcPr>
            <w:tcW w:w="3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2"/>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derivative assets/liabilities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11,773,237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9,066,783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cash flow hedges on Accumulated Other Comprehensive Income (Loss) (“AOCI”)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0"/>
                <w:szCs w:val="20"/>
                <w:color w:val="auto"/>
              </w:rPr>
            </w:pPr>
          </w:p>
        </w:tc>
        <w:tc>
          <w:tcPr>
            <w:tcW w:w="264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08"/>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reclassified into earnings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55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at end of period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240" w:hanging="328"/>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into earnings are presented in the interim condensed consolidated statements of operations and comprehensive income (loss) within funding costs.</w:t>
      </w:r>
    </w:p>
    <w:p>
      <w:pPr>
        <w:ind w:left="660" w:right="60" w:hanging="328"/>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we estimated that $0.7 million of net derivative gains included in AOCI are expected to be reclassified into earnings within the next 12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derivative instruments on income and indicates where within the interim consolidated statements of operations and comprehensive income (loss) such impact is reported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Location of gains (losses) where the</w:t>
            </w: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80" w:type="dxa"/>
            <w:vAlign w:val="bottom"/>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10"/>
        </w:trPr>
        <w:tc>
          <w:tcPr>
            <w:tcW w:w="308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effects of derivatives are recorded</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 effects of cash flow hedging</w:t>
            </w:r>
          </w:p>
        </w:tc>
        <w:tc>
          <w:tcPr>
            <w:tcW w:w="2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Funding costs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 effects of derivatives not designated in hedging relationships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assets/liabilities</w:t>
            </w:r>
          </w:p>
        </w:tc>
        <w:tc>
          <w:tcPr>
            <w:tcW w:w="2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sales of loans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12. Fair Value of Financial Assets and Liabilities for additional information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March 31, 2026 and June 30, 2025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97,312</w:t>
            </w: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45,586</w:t>
            </w:r>
          </w:p>
        </w:tc>
      </w:tr>
      <w:tr>
        <w:trPr>
          <w:trHeight w:val="23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257,461</w:t>
            </w:r>
          </w:p>
        </w:tc>
      </w:tr>
      <w:tr>
        <w:trPr>
          <w:trHeight w:val="22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86,824</w:t>
            </w: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289,118</w:t>
            </w: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32,286</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97,629</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712,539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910,935</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 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264,199</w:t>
            </w: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344,434</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1,010,126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June 30, 2025, there were no transfers between levels.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(Level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 and Securities Available for Sale</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held level 2 debt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Derivatives</w:t>
      </w:r>
    </w:p>
    <w:p>
      <w:pPr>
        <w:spacing w:after="0" w:line="2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and June 30, 2025,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11. Derivative Financial Instruments in the notes to the interim condensed consolidated financial statements for further details on our derivative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2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residual interests in structured transactions,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1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significant unobservable inputs, as applicable, were used in the fair value measurement of the Company’s Level 3 assets and liabilities:</w:t>
      </w:r>
    </w:p>
    <w:p>
      <w:pPr>
        <w:spacing w:after="0" w:line="189" w:lineRule="exact"/>
        <w:rPr>
          <w:sz w:val="20"/>
          <w:szCs w:val="20"/>
          <w:color w:val="auto"/>
        </w:rPr>
      </w:pPr>
    </w:p>
    <w:p>
      <w:pPr>
        <w:ind w:left="660" w:right="3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Compensation - The compensation rate is expressed as a percentage of the outstanding loan balance that a willing market participant would require for servicing loans with similar characteristics.</w:t>
      </w:r>
    </w:p>
    <w:p>
      <w:pPr>
        <w:spacing w:after="0" w:line="53"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Rate - The rate used to discount estimated future cash flows to present value in determining fair value. It reflects the rate of return market participants would require to compensate for time value of money plus a premium based on relative risk, liquidity and other market based factors.</w:t>
      </w:r>
    </w:p>
    <w:p>
      <w:pPr>
        <w:spacing w:after="0" w:line="31"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Rate - The estimated annualized rate of charge-offs affecting the projected unpaid principal balance and expected term of the loan portfolio.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Rate - The estimated lifetime rate of loan charge-offs as a percentage of the initial settled principal balance.</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 - The estimated annualized excess loan payment received in a given month as a percentage of the outstanding principal balance at the beginning of the month minus the scheduled principal payment.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Rate - The rate of refunded transactions as a percentage of the outstanding loan balance over the remaining life of the loan portfolio.</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Profitability - The estimated future profit to be shared with enterprise partners as a percentage of total loans outstanding, based on the terms of the respective commercial agreements.</w:t>
      </w:r>
    </w:p>
    <w:p>
      <w:pPr>
        <w:spacing w:after="0" w:line="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or decreases in any of the inputs in isolation could result in a significantly lower or higher fair value measurement.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25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sold loans with an unpaid principal balance of $5.0 billion and $15.9 billion for the three and nine months ended March 31, 2026, respectively, and $3.6 billion and $11.0 billion for the three and nine months ended March 31, 2025, respectively, for which we retained servicing rights.</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June 30, 2025, we serviced loans which we sold with a remaining unpaid principal balance of $9.4 billion and $7.8 billion, respectively. We earned $44.6 million and $127.1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servicing income for the three and nine months ended March 31, 2026, respectively, and $32.1 million and $86.7 million for the three and nine months ended March 31, 2025, respectively.</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As of March 31, 2026 and June 30, 2025, the aggregate fair value of the servicing assets was measured at $0.7 million and $0.9 million, respectively, and presented within other assets in the interim condensed consolidated balance sheets. The aggregate fair value of the servicing liabilities was immaterial as of March 31, 2026 and June 30,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6"/>
              </w:rPr>
              <w:t>906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6"/>
              </w:rPr>
              <w:t>574</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8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center"/>
              <w:ind w:left="633"/>
              <w:spacing w:after="0"/>
              <w:rPr>
                <w:sz w:val="20"/>
                <w:szCs w:val="20"/>
                <w:color w:val="auto"/>
              </w:rPr>
            </w:pPr>
            <w:r>
              <w:rPr>
                <w:rFonts w:ascii="Times New Roman" w:cs="Times New Roman" w:eastAsia="Times New Roman" w:hAnsi="Times New Roman"/>
                <w:sz w:val="18"/>
                <w:szCs w:val="18"/>
                <w:color w:val="auto"/>
                <w:w w:val="96"/>
              </w:rPr>
              <w:t>254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6"/>
              </w:rPr>
              <w:t>230</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(476)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633"/>
              <w:spacing w:after="0"/>
              <w:rPr>
                <w:sz w:val="20"/>
                <w:szCs w:val="20"/>
                <w:color w:val="auto"/>
              </w:rPr>
            </w:pPr>
            <w:r>
              <w:rPr>
                <w:rFonts w:ascii="Times New Roman" w:cs="Times New Roman" w:eastAsia="Times New Roman" w:hAnsi="Times New Roman"/>
                <w:sz w:val="18"/>
                <w:szCs w:val="18"/>
                <w:color w:val="auto"/>
                <w:w w:val="96"/>
              </w:rPr>
              <w:t>684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6"/>
              </w:rPr>
              <w:t>595</w:t>
            </w:r>
          </w:p>
        </w:tc>
      </w:tr>
      <w:tr>
        <w:trPr>
          <w:trHeight w:val="20"/>
        </w:trPr>
        <w:tc>
          <w:tcPr>
            <w:tcW w:w="5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90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6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liabilities</w:t>
            </w:r>
          </w:p>
        </w:tc>
        <w:tc>
          <w:tcPr>
            <w:tcW w:w="96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5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servicing assets and liabilities as of March 31, 2026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(1)</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14.97 %</w:t>
            </w:r>
          </w:p>
        </w:tc>
      </w:tr>
      <w:tr>
        <w:trPr>
          <w:trHeight w:val="230"/>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Servicing liabilities </w:t>
            </w:r>
            <w:r>
              <w:rPr>
                <w:rFonts w:ascii="Times New Roman" w:cs="Times New Roman" w:eastAsia="Times New Roman" w:hAnsi="Times New Roman"/>
                <w:sz w:val="23"/>
                <w:szCs w:val="23"/>
                <w:color w:val="auto"/>
                <w:vertAlign w:val="superscript"/>
              </w:rPr>
              <w:t>(2)</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4"/>
        </w:trPr>
        <w:tc>
          <w:tcPr>
            <w:tcW w:w="29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(1)</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12.04 %</w:t>
            </w:r>
          </w:p>
        </w:tc>
      </w:tr>
      <w:tr>
        <w:trPr>
          <w:trHeight w:val="230"/>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Servicing liabilities </w:t>
            </w:r>
            <w:r>
              <w:rPr>
                <w:rFonts w:ascii="Times New Roman" w:cs="Times New Roman" w:eastAsia="Times New Roman" w:hAnsi="Times New Roman"/>
                <w:sz w:val="23"/>
                <w:szCs w:val="23"/>
                <w:color w:val="auto"/>
                <w:vertAlign w:val="superscript"/>
              </w:rPr>
              <w:t>(2)</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4"/>
        </w:trPr>
        <w:tc>
          <w:tcPr>
            <w:tcW w:w="29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414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7"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1" w:lineRule="exact"/>
        <w:rPr>
          <w:rFonts w:ascii="Times New Roman" w:cs="Times New Roman" w:eastAsia="Times New Roman" w:hAnsi="Times New Roman"/>
          <w:sz w:val="23"/>
          <w:szCs w:val="23"/>
          <w:color w:val="auto"/>
          <w:vertAlign w:val="superscript"/>
        </w:rPr>
      </w:pPr>
    </w:p>
    <w:p>
      <w:pPr>
        <w:ind w:left="660" w:right="40" w:hanging="328"/>
        <w:spacing w:after="0" w:line="228"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servicing agreements with a fair value of zero. These agreements are included in the sensitivity analysis to demonstrate the impact of changes in the discount rate and adequate compensation rate. Default rate is not a significant unobservable input for agreements with a fair value of zero.</w:t>
      </w:r>
    </w:p>
    <w:p>
      <w:pPr>
        <w:spacing w:after="0" w:line="22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Servicing liabilities </w:t>
            </w:r>
            <w:r>
              <w:rPr>
                <w:rFonts w:ascii="Times New Roman" w:cs="Times New Roman" w:eastAsia="Times New Roman" w:hAnsi="Times New Roman"/>
                <w:sz w:val="23"/>
                <w:szCs w:val="23"/>
                <w:i w:val="1"/>
                <w:iCs w:val="1"/>
                <w:color w:val="auto"/>
                <w:vertAlign w:val="superscript"/>
              </w:rPr>
              <w:t>(1)</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1" w:lineRule="exact"/>
        <w:rPr>
          <w:sz w:val="20"/>
          <w:szCs w:val="20"/>
          <w:color w:val="auto"/>
        </w:rPr>
      </w:pPr>
    </w:p>
    <w:p>
      <w:pPr>
        <w:ind w:left="660" w:right="40" w:hanging="328"/>
        <w:spacing w:after="0" w:line="235"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servicing agreements with a fair value of zero. These agreements are included in the sensitivity analysis to demonstrate the impact of changes in the discount rate and adequate compensation rate. Default rate is not a significant unobservable input for agreements with a fair value of zero.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25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discounted cash flow model and recorded at fair value and presented within accrued expenses and other liabilities in the interim condensed consolidated balance sheets. Any changes in the fair value of the liability are reflected in other income, net, in the interim condensed consolidated statements of operations and comprehensive income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paid</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performance fee liability as of March 31, 2026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4"/>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0" w:type="dxa"/>
            <w:vAlign w:val="bottom"/>
          </w:tcPr>
          <w:p>
            <w:pPr>
              <w:spacing w:after="0"/>
              <w:rPr>
                <w:sz w:val="1"/>
                <w:szCs w:val="1"/>
                <w:color w:val="auto"/>
              </w:rPr>
            </w:pPr>
          </w:p>
        </w:tc>
      </w:tr>
      <w:tr>
        <w:trPr>
          <w:trHeight w:val="54"/>
        </w:trPr>
        <w:tc>
          <w:tcPr>
            <w:tcW w:w="6700" w:type="dxa"/>
            <w:vAlign w:val="bottom"/>
            <w:gridSpan w:val="4"/>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8.72%</w:t>
            </w:r>
          </w:p>
        </w:tc>
        <w:tc>
          <w:tcPr>
            <w:tcW w:w="0" w:type="dxa"/>
            <w:vAlign w:val="bottom"/>
          </w:tcPr>
          <w:p>
            <w:pPr>
              <w:spacing w:after="0"/>
              <w:rPr>
                <w:sz w:val="1"/>
                <w:szCs w:val="1"/>
                <w:color w:val="auto"/>
              </w:rPr>
            </w:pPr>
          </w:p>
        </w:tc>
      </w:tr>
      <w:tr>
        <w:trPr>
          <w:trHeight w:val="229"/>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Rate</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w:t>
            </w:r>
          </w:p>
        </w:tc>
        <w:tc>
          <w:tcPr>
            <w:tcW w:w="0" w:type="dxa"/>
            <w:vAlign w:val="bottom"/>
          </w:tcPr>
          <w:p>
            <w:pPr>
              <w:spacing w:after="0"/>
              <w:rPr>
                <w:sz w:val="1"/>
                <w:szCs w:val="1"/>
                <w:color w:val="auto"/>
              </w:rPr>
            </w:pPr>
          </w:p>
        </w:tc>
      </w:tr>
      <w:tr>
        <w:trPr>
          <w:trHeight w:val="415"/>
        </w:trPr>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4"/>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0" w:type="dxa"/>
            <w:vAlign w:val="bottom"/>
          </w:tcPr>
          <w:p>
            <w:pPr>
              <w:spacing w:after="0"/>
              <w:rPr>
                <w:sz w:val="1"/>
                <w:szCs w:val="1"/>
                <w:color w:val="auto"/>
              </w:rPr>
            </w:pPr>
          </w:p>
        </w:tc>
      </w:tr>
      <w:tr>
        <w:trPr>
          <w:trHeight w:val="51"/>
        </w:trPr>
        <w:tc>
          <w:tcPr>
            <w:tcW w:w="6700" w:type="dxa"/>
            <w:vAlign w:val="bottom"/>
            <w:gridSpan w:val="4"/>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Rate</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w:t>
            </w:r>
          </w:p>
        </w:tc>
        <w:tc>
          <w:tcPr>
            <w:tcW w:w="0" w:type="dxa"/>
            <w:vAlign w:val="bottom"/>
          </w:tcPr>
          <w:p>
            <w:pPr>
              <w:spacing w:after="0"/>
              <w:rPr>
                <w:sz w:val="1"/>
                <w:szCs w:val="1"/>
                <w:color w:val="auto"/>
              </w:rPr>
            </w:pPr>
          </w:p>
        </w:tc>
      </w:tr>
      <w:tr>
        <w:trPr>
          <w:trHeight w:val="256"/>
        </w:trPr>
        <w:tc>
          <w:tcPr>
            <w:tcW w:w="5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4460" w:type="dxa"/>
            <w:vAlign w:val="bottom"/>
            <w:gridSpan w:val="2"/>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(1)</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Loss Rate is net of recoveries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(2)</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Unobservable inputs were weighted by remaining principal balances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 Notes Receivable and Residual Trust Certificates</w:t>
      </w:r>
    </w:p>
    <w:p>
      <w:pPr>
        <w:spacing w:after="0" w:line="254" w:lineRule="exact"/>
        <w:rPr>
          <w:sz w:val="20"/>
          <w:szCs w:val="20"/>
          <w:color w:val="auto"/>
        </w:rPr>
      </w:pPr>
    </w:p>
    <w:p>
      <w:pPr>
        <w:ind w:right="380" w:firstLine="648"/>
        <w:spacing w:after="0" w:line="329" w:lineRule="auto"/>
        <w:rPr>
          <w:sz w:val="20"/>
          <w:szCs w:val="20"/>
          <w:color w:val="auto"/>
        </w:rPr>
      </w:pPr>
      <w:r>
        <w:rPr>
          <w:rFonts w:ascii="Times New Roman" w:cs="Times New Roman" w:eastAsia="Times New Roman" w:hAnsi="Times New Roman"/>
          <w:sz w:val="17"/>
          <w:szCs w:val="17"/>
          <w:color w:val="auto"/>
        </w:rPr>
        <w:t>As of March 31, 2026, we held notes receivable and residual trust certificates with an aggregate fair value of $56.5 million in connection with unconsolidated securitizations. The balances correspond to the 5% economic risk retention we are required to maintain as the securitization sponsor.</w:t>
      </w:r>
    </w:p>
    <w:p>
      <w:pPr>
        <w:spacing w:after="0" w:line="15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in the interim condensed consolidated balance sheets. Changes in the fair value, other than declines in fair value due to credit recognized as an allowance, are reflected in other comprehensive income in the interim condensed consolidated statements of operations and comprehensive income (loss). Declines in fair value due to credit are reflected in other income, net in the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notes receivable and residual trust certificates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41,940</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(due to payments)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(46,401)</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Reversal of (impairment on) securities available for sale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notes receivable and residual trust certificates as of March 31, 2026 and June 30,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22.60%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Default Rate</w:t>
            </w:r>
            <w:r>
              <w:rPr>
                <w:rFonts w:ascii="Times New Roman" w:cs="Times New Roman" w:eastAsia="Times New Roman" w:hAnsi="Times New Roman"/>
                <w:sz w:val="23"/>
                <w:szCs w:val="23"/>
                <w:color w:val="auto"/>
                <w:vertAlign w:val="superscript"/>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8.46%</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321"/>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40" w:type="dxa"/>
            <w:vAlign w:val="bottom"/>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(2)</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30.29%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6.89%</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Default Rate</w:t>
            </w:r>
            <w:r>
              <w:rPr>
                <w:rFonts w:ascii="Times New Roman" w:cs="Times New Roman" w:eastAsia="Times New Roman" w:hAnsi="Times New Roman"/>
                <w:sz w:val="23"/>
                <w:szCs w:val="23"/>
                <w:color w:val="auto"/>
                <w:vertAlign w:val="superscript"/>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7.65%</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24.85%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cumulative loss relative to the outstanding balance as of March 31, 2026 and June 30, 2025</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notes receivable and residual trust certificates given hypothetical changes in significant unobservable inputs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change of 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change of 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Residual Interests in Structured Transactions</w:t>
      </w:r>
    </w:p>
    <w:p>
      <w:pPr>
        <w:spacing w:after="0" w:line="2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held residual interests in structured transactions with an aggregate fair value of $5.8 million in connection with certain forward flow loan sale transactions.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in the interim condensed consolidated balance sheets. Changes in the fair value, except for credit impairments, are reflected in other comprehensive income in the interim condensed consolidated statements of operations and comprehensive income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assets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04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 March</w:t>
            </w:r>
          </w:p>
        </w:tc>
      </w:tr>
      <w:tr>
        <w:trPr>
          <w:trHeight w:val="214"/>
        </w:trPr>
        <w:tc>
          <w:tcPr>
            <w:tcW w:w="6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31, 2026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31, 2026</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w:t>
            </w: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distribution received</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the end of period</w:t>
            </w:r>
          </w:p>
        </w:tc>
        <w:tc>
          <w:tcPr>
            <w:tcW w:w="4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residual interests are the discount rate, loss rate, and</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prepayment rate. Significant increases or decreases in any of the inputs in isolation could result in a significantly lower or higher fair value measurement.</w:t>
      </w:r>
    </w:p>
    <w:p>
      <w:pPr>
        <w:spacing w:after="0" w:line="234"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residual interests in structured transactions as of March 31, 2026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3"/>
        </w:trPr>
        <w:tc>
          <w:tcPr>
            <w:tcW w:w="6700" w:type="dxa"/>
            <w:vAlign w:val="bottom"/>
            <w:gridSpan w:val="2"/>
            <w:vMerge w:val="continue"/>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46.98%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3"/>
        </w:trPr>
        <w:tc>
          <w:tcPr>
            <w:tcW w:w="6700" w:type="dxa"/>
            <w:vAlign w:val="bottom"/>
            <w:gridSpan w:val="2"/>
            <w:vMerge w:val="continue"/>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8.88%</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48.85%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residual interests in structured transactions given hypothetical changes in significant unobservable inputs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40%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40%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20%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40%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 Share Liability</w:t>
      </w:r>
    </w:p>
    <w:p>
      <w:pPr>
        <w:spacing w:after="0" w:line="2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commercial agreements with certain enterprise partners, in which we are obligated to share in the profitability of transactions facilitated by our platform. Upon capture of a loan under these programs, we record a liability associated with the estimated future profit to be shared over the life of the loan based on estimated profitability levels of each program. The liability is measured using a discounted cash flow model and recorded at fair value and presented within accrued expenses and other liabilities in the interim condensed consolidated balance sheets.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profit share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Facilitation of loans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performance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w:t>
            </w: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profit sharing liability as of March 31, 2026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760" w:type="dxa"/>
            <w:vAlign w:val="bottom"/>
            <w:tcBorders>
              <w:bottom w:val="single" w:sz="8" w:color="auto"/>
            </w:tcBorders>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18"/>
                <w:szCs w:val="18"/>
                <w:color w:val="auto"/>
              </w:rPr>
            </w:pPr>
          </w:p>
        </w:tc>
        <w:tc>
          <w:tcPr>
            <w:tcW w:w="15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60" w:type="dxa"/>
            <w:vAlign w:val="bottom"/>
          </w:tcPr>
          <w:p>
            <w:pPr>
              <w:ind w:left="24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2.69%</w:t>
            </w:r>
          </w:p>
        </w:tc>
      </w:tr>
      <w:tr>
        <w:trPr>
          <w:trHeight w:val="330"/>
        </w:trPr>
        <w:tc>
          <w:tcPr>
            <w:tcW w:w="6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20" w:type="dxa"/>
            <w:vAlign w:val="bottom"/>
            <w:tcBorders>
              <w:bottom w:val="single" w:sz="8" w:color="auto"/>
            </w:tcBorders>
          </w:tcPr>
          <w:p>
            <w:pPr>
              <w:spacing w:after="0"/>
              <w:rPr>
                <w:sz w:val="24"/>
                <w:szCs w:val="24"/>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1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relative fair value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Sharing Arrangements</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certain capital funding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or quarter loans were sold.</w:t>
      </w:r>
    </w:p>
    <w:p>
      <w:pPr>
        <w:spacing w:after="0" w:line="20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account for these arrangements as derivatives measured at fair value with gains and losses recognized in gain on sales of loans in our interim condensed consolidated statements of operations and comprehensive income (loss). For each counterparty, we have recognized a net asset or net liability based on the estimated fair value of future payments we expect to receive from or make to the counterparty. As of March 31, 2026, we estimated the fair value of future settlements using a discounted cash flow model.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33,884</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19,173</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settlements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w w:val="99"/>
              </w:rPr>
              <w:t>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settlements</w:t>
            </w:r>
          </w:p>
        </w:tc>
        <w:tc>
          <w:tcPr>
            <w:tcW w:w="9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left="673"/>
              <w:spacing w:after="0"/>
              <w:rPr>
                <w:sz w:val="20"/>
                <w:szCs w:val="20"/>
                <w:color w:val="auto"/>
              </w:rPr>
            </w:pPr>
            <w:r>
              <w:rPr>
                <w:rFonts w:ascii="Times New Roman" w:cs="Times New Roman" w:eastAsia="Times New Roman" w:hAnsi="Times New Roman"/>
                <w:sz w:val="18"/>
                <w:szCs w:val="18"/>
                <w:color w:val="auto"/>
                <w:w w:val="99"/>
              </w:rPr>
              <w:t>(90)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center"/>
              <w:ind w:left="71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0"/>
        </w:trPr>
        <w:tc>
          <w:tcPr>
            <w:tcW w:w="5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risk sharing arrangements as of March 31, 2026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660" w:type="dxa"/>
            <w:vAlign w:val="bottom"/>
            <w:tcBorders>
              <w:bottom w:val="single" w:sz="8" w:color="auto"/>
            </w:tcBorders>
          </w:tcPr>
          <w:p>
            <w:pPr>
              <w:spacing w:after="0"/>
              <w:rPr>
                <w:sz w:val="18"/>
                <w:szCs w:val="18"/>
                <w:color w:val="auto"/>
              </w:rPr>
            </w:pPr>
          </w:p>
        </w:tc>
      </w:tr>
      <w:tr>
        <w:trPr>
          <w:trHeight w:val="212"/>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17.75%</w:t>
            </w:r>
          </w:p>
        </w:tc>
      </w:tr>
      <w:tr>
        <w:trPr>
          <w:trHeight w:val="229"/>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3.34%</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4.95%</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21.63%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19.60%</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4.47%</w:t>
            </w:r>
          </w:p>
        </w:tc>
      </w:tr>
      <w:tr>
        <w:trPr>
          <w:trHeight w:val="564"/>
        </w:trPr>
        <w:tc>
          <w:tcPr>
            <w:tcW w:w="31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60" w:type="dxa"/>
            <w:vAlign w:val="bottom"/>
            <w:tcBorders>
              <w:bottom w:val="single" w:sz="8" w:color="auto"/>
            </w:tcBorders>
          </w:tcPr>
          <w:p>
            <w:pPr>
              <w:spacing w:after="0"/>
              <w:rPr>
                <w:sz w:val="24"/>
                <w:szCs w:val="24"/>
                <w:color w:val="auto"/>
              </w:rPr>
            </w:pPr>
          </w:p>
        </w:tc>
      </w:tr>
      <w:tr>
        <w:trPr>
          <w:trHeight w:val="212"/>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4.91%</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22.89%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21.34%</w:t>
            </w: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principal balance of loans sold under each cohort</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0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256" w:lineRule="exact"/>
        <w:rPr>
          <w:sz w:val="20"/>
          <w:szCs w:val="20"/>
          <w:color w:val="auto"/>
        </w:rPr>
      </w:pPr>
    </w:p>
    <w:p>
      <w:pPr>
        <w:ind w:right="6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fair value and our assessment of the classification of this measurement within the fair value hierarchy for financial assets and liabilities held at amortized cost as of March 31, 2026 and June 30,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5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8,795,231</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8,795,231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1,077,881</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5,350,906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Funding debt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2,420,742</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8,873,911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1,077,881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7,771,648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8,849,529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debt</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1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Borders>
              <w:top w:val="single" w:sz="8" w:color="auto"/>
            </w:tcBorders>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80" w:type="dxa"/>
            <w:vAlign w:val="bottom"/>
            <w:tcBorders>
              <w:top w:val="single" w:sz="8" w:color="auto"/>
            </w:tcBorders>
            <w:vMerge w:val="restart"/>
          </w:tcPr>
          <w:p>
            <w:pPr>
              <w:spacing w:after="0"/>
              <w:rPr>
                <w:sz w:val="14"/>
                <w:szCs w:val="14"/>
                <w:color w:val="auto"/>
              </w:rPr>
            </w:pPr>
          </w:p>
        </w:tc>
        <w:tc>
          <w:tcPr>
            <w:tcW w:w="106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top w:val="single" w:sz="8" w:color="auto"/>
            </w:tcBorders>
            <w:vMerge w:val="restart"/>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top w:val="single" w:sz="8" w:color="auto"/>
            </w:tcBorders>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2"/>
              <w:spacing w:after="0" w:line="161"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14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441"/>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6,628,606</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0" w:type="dxa"/>
            <w:vAlign w:val="bottom"/>
          </w:tcPr>
          <w:p>
            <w:pPr>
              <w:spacing w:after="0"/>
              <w:rPr>
                <w:sz w:val="1"/>
                <w:szCs w:val="1"/>
                <w:color w:val="auto"/>
              </w:rPr>
            </w:pPr>
          </w:p>
        </w:tc>
      </w:tr>
      <w:tr>
        <w:trPr>
          <w:trHeight w:val="223"/>
        </w:trPr>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6,628,606</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80" w:type="dxa"/>
            <w:vAlign w:val="bottom"/>
          </w:tcPr>
          <w:p>
            <w:pPr>
              <w:spacing w:after="0"/>
              <w:rPr>
                <w:sz w:val="24"/>
                <w:szCs w:val="24"/>
                <w:color w:val="auto"/>
              </w:rPr>
            </w:pP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1,205,287</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1,205,287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4,833,855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4,868,980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1,622,808</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1,640,765</w:t>
            </w:r>
          </w:p>
        </w:tc>
        <w:tc>
          <w:tcPr>
            <w:tcW w:w="0" w:type="dxa"/>
            <w:vAlign w:val="bottom"/>
          </w:tcPr>
          <w:p>
            <w:pPr>
              <w:spacing w:after="0"/>
              <w:rPr>
                <w:sz w:val="1"/>
                <w:szCs w:val="1"/>
                <w:color w:val="auto"/>
              </w:rPr>
            </w:pPr>
          </w:p>
        </w:tc>
      </w:tr>
      <w:tr>
        <w:trPr>
          <w:trHeight w:val="223"/>
        </w:trPr>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7,609,663</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1,205,287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6,509,745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7,715,032</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-1233805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-942340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-625475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-334010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121" w:right="339" w:bottom="1440" w:gutter="0" w:footer="0" w:header="0"/>
        </w:sectPr>
      </w:pPr>
    </w:p>
    <w:p>
      <w:pPr>
        <w:spacing w:after="0" w:line="146" w:lineRule="exact"/>
        <w:rPr>
          <w:sz w:val="20"/>
          <w:szCs w:val="20"/>
          <w:color w:val="auto"/>
        </w:rPr>
      </w:pPr>
    </w:p>
    <w:p>
      <w:pPr>
        <w:ind w:left="660" w:hanging="328"/>
        <w:spacing w:after="0" w:line="243" w:lineRule="auto"/>
        <w:tabs>
          <w:tab w:leader="none" w:pos="648" w:val="left"/>
        </w:tabs>
        <w:numPr>
          <w:ilvl w:val="1"/>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includes convertible senior notes due 2026 with a carrying amount and fair value of $221.0 million and $215.0 million, respectively, and convertible senior notes due 2029 with a carrying amount and fair value of $907.6 million and $862.9 million, respectively. As of June 30, 2025, includes convertible senior notes due 2026 with a carrying amount and fair value of $247.9 million and $232.7 million, respectively, and convertible senior notes due 2029 with a carrying amount and fair value of $905.1 million and $972.6 million, respectively. The estimated fair value of the convertible senior notes is determined based on a market approach, using the estimated or actual bids and offers of the notes in an over-the-counter market on the last business day of the period.</w:t>
      </w:r>
    </w:p>
    <w:p>
      <w:pPr>
        <w:spacing w:after="0" w:line="219"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shares of common stock reserved for issuance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equity compensation plans</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22,718,645</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39,122,013</w:t>
            </w:r>
          </w:p>
        </w:tc>
      </w:tr>
      <w:tr>
        <w:trPr>
          <w:trHeight w:val="230"/>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equity compensation plans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68,429,699</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53,851,610</w:t>
            </w:r>
          </w:p>
        </w:tc>
      </w:tr>
      <w:tr>
        <w:trPr>
          <w:trHeight w:val="24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91,148,344</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92,973,623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warrants are included as a component of additional paid in capital within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November 2025, in connection with the execution of an amended commercial agreement with Amazon, we modified the exercise price of the warrants vesting February 2026 and thereafter from $100 per share to $63.06 per share</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The fair value of the warrants was remeasured as of the modification date using the Black Scholes-Merton option pricing model with the following assumptions: a dividend yield of zero; remaining years to maturity of 3.6; volatility of 94%; and a risk-free rate of 3.63%. The remaining fair value of the warrants, including the $37.7 million incremental cost resulting from the modification, will be recognized within our consolidated statements of operations and comprehensive income (loss) as a component of sales and marketing expense as the warrants vest, based upon Amazon’s satisfaction of the vesting conditions.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31, 2026, we recognized $40.5 million and $142.7 million, respectively, within sales and marketing expense, compared to $36.1 million and $230.1 million for the three and nine months ended March 31, 2025, respectively, for the warrant shares that vested during the respective periods. Refer to Note 5. Balance Sheet Components for more information on the commercial agreement asset recognized in connection with the warrants and the related amortization.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for the nine months ended March 31, 2026:</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9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 Exercise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 (years)</w:t>
            </w:r>
          </w:p>
        </w:tc>
        <w:tc>
          <w:tcPr>
            <w:tcW w:w="0" w:type="dxa"/>
            <w:vAlign w:val="bottom"/>
          </w:tcPr>
          <w:p>
            <w:pPr>
              <w:spacing w:after="0"/>
              <w:rPr>
                <w:sz w:val="1"/>
                <w:szCs w:val="1"/>
                <w:color w:val="auto"/>
              </w:rPr>
            </w:pPr>
          </w:p>
        </w:tc>
      </w:tr>
      <w:tr>
        <w:trPr>
          <w:trHeight w:val="22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June 30, 2025</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0.00</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March 31, 2026</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3.10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2026</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12,655,168</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3.10</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compensation expense related to the unvested warrants was approximately $479.0 million, which is expected to be recognized over a remaining weighted-average period of 2.6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share repurchases during the three and nine months ended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Plan</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our Amended and Restated 2012 Stock Plan (the “Plan”), we may grant incentive and nonqualified stock options, restricted stock, restricted stock units (“RSUs”), and performance stock units (“PSUs”) to employees, officers, directors, and consultants. As of March 31, 2026, the maximum number of shares of common stock which may be issued under the Plan is 192,859,800 Class A shares and there were 68,429,699 shares of Class A common stock available for future grants under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Stock option awards generally vest over a period of four years, with some awards vesting 25% on the 12 month anniversary of the vesting commencement date and the remaining 75% vesting ratably over the next three years. The contractual term is 10 years from the date of grant, or three months after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nine months ended March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12,955,978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259,756</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Vested and exercisable, and expected to vest thereafter</w:t>
            </w:r>
            <w:r>
              <w:rPr>
                <w:rFonts w:ascii="Times New Roman" w:cs="Times New Roman" w:eastAsia="Times New Roman" w:hAnsi="Times New Roman"/>
                <w:sz w:val="20"/>
                <w:szCs w:val="20"/>
                <w:color w:val="auto"/>
                <w:vertAlign w:val="superscript"/>
              </w:rPr>
              <w:t>(1)</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10,395,041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expected to vest reflect the application of an estimated forfeiture rate.</w:t>
      </w:r>
    </w:p>
    <w:p>
      <w:pPr>
        <w:spacing w:after="0" w:line="225"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There were no options granted during the nine months ended March 31, 2026. As of March 31, 2026, unrecognized compensation expense related to unvested stock options was approximately $23.7 million, which is expected to be recognized over a remaining weighted-average period of 1.6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Award</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November 2020,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Class A common stock (the “Value Creation Award”). During the three months ended March 31, 2026, the performance period ended and 8,500,000 unvested shares expired. We recognized stock-based compensation on these awards based on the grant date fair value using an accelerated attribution method over the requisite service period, and only if performance-based conditions were considered probable of being satisfied. We incurred stock-based compensation expense of $0.8 million and $11.8 million during the three and nine months ended March 31, 2026, respectively, and $6.4 million and $31.1 million during the three and nine months ended March 31, 2025, respectively, associated with the Value Creation Award as a component of general and administrative expense within the interim condensed consolidated statements of operations and comprehensive income (loss).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Value Creation Award activity for the nine months ended March 31,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there is no remaining unrecognized compensation expense related to the Value Creation Award.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RSUs are subject to a service-based vesting condition. We record stock-based compensation expense for service-based RSUs on a straight-line basis over the requisite service period, which is generally one to three years.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nine months ended March 31, 2026:</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4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8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0" w:type="dxa"/>
            <w:vAlign w:val="bottom"/>
          </w:tcPr>
          <w:p>
            <w:pPr>
              <w:spacing w:after="0"/>
              <w:rPr>
                <w:sz w:val="1"/>
                <w:szCs w:val="1"/>
                <w:color w:val="auto"/>
              </w:rPr>
            </w:pPr>
          </w:p>
        </w:tc>
      </w:tr>
      <w:tr>
        <w:trPr>
          <w:trHeight w:val="214"/>
        </w:trPr>
        <w:tc>
          <w:tcPr>
            <w:tcW w:w="648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13,666,035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(8,873,166)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(1,211,709)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compensation expense related to unvested RSUs was approximately $420.0 million, which is expected to be recognized over a remaining weighted-average period of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grant PSUs to select executives and employees. Vesting is contingent upon completion of a continuous three-year service period and the achievement of company financial performance goals, including target growth rates for revenue less transaction costs and adjusted operating income. The number of shares that vest at the end of the performance period will range between 0% and 200% of the target shares based on actual performance against the applicable targets, which will be measured at the end of each fiscal year and averaged at the end of the three-year period. We record stock-based compensation expense for the number of PSUs that are probable of vesting based on the estimated achievement of the performance conditions. If the minimum conditions are not met, any recognized compensation cost will be reversed. The expense is recognized on a straight-line basis over the three-year period.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PSU activity during the nine months ended March 31,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10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compensation expense related to unvested PSUs was approximately $64.5 million, which is expected to be recognized over a remaining weighted-average period of 2.3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offer an Employee Stock Purchase Plan (“ESPP”) to our employees. A total of 19.1 million shares of Class A common stock are reserved and available for issuance under the ESPP and 2.2 million shares have been issued as of March 31, 2026.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6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170,868</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70,957</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255,938</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138,555</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20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March 31, 2026 and March 31, 2025, we recorded income tax expense (benefit) of $4.5 million and $10.5 million, and $2.5 million and $6.9 million, respectively, which was primarily attributable to various foreign income taxes.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we continue to recognize a full valuation allowance against our U.S. federal and state and certain foreign net deferred tax assets. We will release the domestic valuation allowance when there is sufficient positive evidence to support a conclusion that it is more likely than not the deferred tax assets will be realized. Recent earnings performance has improved the mix of positive versus negative evidence, and if these trends were to continue, we expect that additional positive evidence may be available within our fiscal year ending June 30, 2026 to support the release of a significant portion of the domestic valuation allowance. The timing and amount of any valuation allowance release is subject to change based on multiple factors, including our level of profitability and the extent to which we believe we can sustain it over time. Release of any portion of the valuation allowance would result in the recognition of certain deferred tax assets with a potential corresponding decrease to income tax expense for the period the release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(Loss) per Share Attributable to Common Stockholders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basic and diluted net income (loss) per share attributable to common stockholders for Class A and Class B common stock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attributable to common stockholders -</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274,998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38,182</w:t>
            </w:r>
          </w:p>
        </w:tc>
        <w:tc>
          <w:tcPr>
            <w:tcW w:w="0" w:type="dxa"/>
            <w:vAlign w:val="bottom"/>
          </w:tcPr>
          <w:p>
            <w:pPr>
              <w:spacing w:after="0"/>
              <w:rPr>
                <w:sz w:val="1"/>
                <w:szCs w:val="1"/>
                <w:color w:val="auto"/>
              </w:rPr>
            </w:pPr>
          </w:p>
        </w:tc>
      </w:tr>
      <w:tr>
        <w:trPr>
          <w:trHeight w:val="156"/>
        </w:trPr>
        <w:tc>
          <w:tcPr>
            <w:tcW w:w="426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attributable to common stockholders -</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276,608</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36,572</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296,470,028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40,672,658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293,156,526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40,703,568</w:t>
            </w:r>
          </w:p>
        </w:tc>
        <w:tc>
          <w:tcPr>
            <w:tcW w:w="0" w:type="dxa"/>
            <w:vAlign w:val="bottom"/>
          </w:tcPr>
          <w:p>
            <w:pPr>
              <w:spacing w:after="0"/>
              <w:rPr>
                <w:sz w:val="1"/>
                <w:szCs w:val="1"/>
                <w:color w:val="auto"/>
              </w:rPr>
            </w:pPr>
          </w:p>
        </w:tc>
      </w:tr>
      <w:tr>
        <w:trPr>
          <w:trHeight w:val="230"/>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Dilutive effect of stock equivalents: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6,164,455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6,665,478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7,670,609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creation award vested shares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stock units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307,424,203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40,672,658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307,852,988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40,703,568</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577"/>
        </w:trPr>
        <w:tc>
          <w:tcPr>
            <w:tcW w:w="4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155"/>
        </w:trPr>
        <w:tc>
          <w:tcPr>
            <w:tcW w:w="424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36"/>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diluted</w:t>
            </w:r>
          </w:p>
        </w:tc>
        <w:tc>
          <w:tcPr>
            <w:tcW w:w="34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283,262,753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40,791,214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279,578,539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41,926,610</w:t>
            </w:r>
          </w:p>
        </w:tc>
        <w:tc>
          <w:tcPr>
            <w:tcW w:w="0" w:type="dxa"/>
            <w:vAlign w:val="bottom"/>
          </w:tcPr>
          <w:p>
            <w:pPr>
              <w:spacing w:after="0"/>
              <w:rPr>
                <w:sz w:val="1"/>
                <w:szCs w:val="1"/>
                <w:color w:val="auto"/>
              </w:rPr>
            </w:pPr>
          </w:p>
        </w:tc>
      </w:tr>
      <w:tr>
        <w:trPr>
          <w:trHeight w:val="230"/>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Dilutive effect of stock equivalents: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8,801,161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creation award vested shares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303,433,118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40,791,214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279,578,539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41,926,610</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4"/>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income (loss) per share attributable to common stockholders because their inclusion would have been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9,155,168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6,753,922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9,155,168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6,753,922</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3,599,333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677,495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3,599,333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17,213,079</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953,308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685,931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13,210,001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223,996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creation award vested shares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13,440,432</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8,384,725</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13,440,432</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41,400,998</w:t>
            </w:r>
          </w:p>
        </w:tc>
      </w:tr>
      <w:tr>
        <w:trPr>
          <w:trHeight w:val="21"/>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is managed on a consolidated basis as a single operating and reportable segment. This reflects the way in which our Chief Operating Decision Maker (“CODM”), the Chief Executive Officer of Affirm Holdings, Inc., regularly reviews internally reported financial information. Net income is the primary measure of segment profit and loss reviewed by the CODM. Net income is used in the budget and forecast process, to assess business performance, and to make decisions on strategy and resource allocation.</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CODM is regularly provided with the consolidated expenses presented within the interim condensed consolidated statement of operations and comprehensive income (loss). Refer to the interim condensed consolidated statement of operations and comprehensive income (loss) for further information related to our revenues, expenses, and net income.</w:t>
      </w:r>
    </w:p>
    <w:p>
      <w:pPr>
        <w:spacing w:after="0" w:line="20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Refer to the interim condensed consolidated statement of cash flows for further information related to significant noncash items including depreciation and amortization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than the amounts presented within the interim condensed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3. Revenue for further information on the types of products and services the Company derives its revenues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2025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spacing w:after="0" w:line="13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consumer acquisition tools. Our solutions empower merchants to more efficiently promote and sell their products, optimize their consumer acquisition strategies, and drive incremental sales. We also provide valuable product-level data and insights — information that merchants cannot easily get elsewhere — to better inform their strategies. Finally, for consumers, our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a loan, manage payments, open a high-yield savings account, and access a personalized marketplace.</w:t>
      </w:r>
    </w:p>
    <w:p>
      <w:pPr>
        <w:spacing w:after="0" w:line="14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gridSpan w:val="2"/>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1,038,765</w:t>
            </w:r>
          </w:p>
        </w:tc>
        <w:tc>
          <w:tcPr>
            <w:tcW w:w="3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783,135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255,630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3,095,122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2,347,995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747,127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32 %</w:t>
            </w:r>
          </w:p>
        </w:tc>
        <w:tc>
          <w:tcPr>
            <w:tcW w:w="0" w:type="dxa"/>
            <w:vAlign w:val="bottom"/>
          </w:tcPr>
          <w:p>
            <w:pPr>
              <w:spacing w:after="0"/>
              <w:rPr>
                <w:sz w:val="1"/>
                <w:szCs w:val="1"/>
                <w:color w:val="auto"/>
              </w:rPr>
            </w:pPr>
          </w:p>
        </w:tc>
      </w:tr>
      <w:tr>
        <w:trPr>
          <w:trHeight w:val="208"/>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950,337</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791,527</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158,810</w:t>
            </w:r>
          </w:p>
        </w:tc>
        <w:tc>
          <w:tcPr>
            <w:tcW w:w="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20 %</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2,825,406</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2,493,332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332,074</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13 %</w:t>
            </w:r>
          </w:p>
        </w:tc>
        <w:tc>
          <w:tcPr>
            <w:tcW w:w="0" w:type="dxa"/>
            <w:vAlign w:val="bottom"/>
          </w:tcPr>
          <w:p>
            <w:pPr>
              <w:spacing w:after="0"/>
              <w:rPr>
                <w:sz w:val="1"/>
                <w:szCs w:val="1"/>
                <w:color w:val="auto"/>
              </w:rPr>
            </w:pPr>
          </w:p>
        </w:tc>
      </w:tr>
      <w:tr>
        <w:trPr>
          <w:trHeight w:val="211"/>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88,429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96,822</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269,716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(145,337)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415,053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(81,303)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145"/>
        </w:trPr>
        <w:tc>
          <w:tcPr>
            <w:tcW w:w="192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Income (loss) before</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107,376</w:t>
            </w:r>
          </w:p>
        </w:tc>
        <w:tc>
          <w:tcPr>
            <w:tcW w:w="3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5,345</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102,031</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20"/>
              <w:spacing w:after="0" w:line="361" w:lineRule="exact"/>
              <w:rPr>
                <w:sz w:val="20"/>
                <w:szCs w:val="20"/>
                <w:color w:val="auto"/>
              </w:rPr>
            </w:pPr>
            <w:r>
              <w:rPr>
                <w:rFonts w:ascii="Times New Roman" w:cs="Times New Roman" w:eastAsia="Times New Roman" w:hAnsi="Times New Roman"/>
                <w:sz w:val="32"/>
                <w:szCs w:val="32"/>
                <w:b w:val="1"/>
                <w:bCs w:val="1"/>
                <w:color w:val="auto"/>
                <w:vertAlign w:val="subscript"/>
              </w:rPr>
              <w:t>NM</w:t>
            </w:r>
            <w:r>
              <w:rPr>
                <w:rFonts w:ascii="Times New Roman" w:cs="Times New Roman" w:eastAsia="Times New Roman" w:hAnsi="Times New Roman"/>
                <w:sz w:val="11"/>
                <w:szCs w:val="11"/>
                <w:b w:val="1"/>
                <w:bCs w:val="1"/>
                <w:color w:val="auto"/>
              </w:rPr>
              <w:t xml:space="preserve"> (1)</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323,633</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333,749</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line="361" w:lineRule="exact"/>
              <w:rPr>
                <w:sz w:val="20"/>
                <w:szCs w:val="20"/>
                <w:color w:val="auto"/>
              </w:rPr>
            </w:pPr>
            <w:r>
              <w:rPr>
                <w:rFonts w:ascii="Times New Roman" w:cs="Times New Roman" w:eastAsia="Times New Roman" w:hAnsi="Times New Roman"/>
                <w:sz w:val="32"/>
                <w:szCs w:val="32"/>
                <w:b w:val="1"/>
                <w:bCs w:val="1"/>
                <w:color w:val="auto"/>
                <w:vertAlign w:val="subscript"/>
              </w:rPr>
              <w:t>NM</w:t>
            </w:r>
            <w:r>
              <w:rPr>
                <w:rFonts w:ascii="Times New Roman" w:cs="Times New Roman" w:eastAsia="Times New Roman" w:hAnsi="Times New Roman"/>
                <w:sz w:val="11"/>
                <w:szCs w:val="11"/>
                <w:b w:val="1"/>
                <w:bCs w:val="1"/>
                <w:color w:val="auto"/>
              </w:rPr>
              <w:t xml:space="preserve"> (1)</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102,900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100,096</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313,180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330,238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141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 meaningful (“NM”)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three main loan product offerings: Pay-in-X, 0% annual percentage rate (“APR”) monthly installment loans and interest-bearing monthly installment loans. Pay-in-X primarily consists of short-term payment plans with one to four 0% APR installments.</w:t>
      </w:r>
    </w:p>
    <w:p>
      <w:pPr>
        <w:spacing w:after="0" w:line="135" w:lineRule="exact"/>
        <w:rPr>
          <w:sz w:val="20"/>
          <w:szCs w:val="20"/>
          <w:color w:val="auto"/>
        </w:rPr>
      </w:pPr>
    </w:p>
    <w:p>
      <w:pPr>
        <w:ind w:right="220" w:firstLine="648"/>
        <w:spacing w:after="0" w:line="274" w:lineRule="auto"/>
        <w:rPr>
          <w:sz w:val="20"/>
          <w:szCs w:val="20"/>
          <w:color w:val="auto"/>
        </w:rPr>
      </w:pPr>
      <w:r>
        <w:rPr>
          <w:rFonts w:ascii="Times New Roman" w:cs="Times New Roman" w:eastAsia="Times New Roman" w:hAnsi="Times New Roman"/>
          <w:sz w:val="18"/>
          <w:szCs w:val="18"/>
          <w:color w:val="auto"/>
        </w:rPr>
        <w:t>From merchants, we typically earn a fee when we help them convert a sale and facilitate a transaction. Merchant fees depend on the individual arrangement between us and each merchant and may vary based on the terms of the product offering; we generally earn larger merchant fees on 0% APR financing products.</w:t>
      </w:r>
    </w:p>
    <w:p>
      <w:pPr>
        <w:spacing w:after="0" w:line="14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w:t>
      </w:r>
    </w:p>
    <w:p>
      <w:pPr>
        <w:spacing w:after="0" w:line="14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the Affirm Card, a card that can be used physically or virtually and which allows consumers to link a bank account to pay in full, or pay later by accessing credit through the Affirm App. Similarly, we also facilitate the issuance of one-time-use virtual cards directly to consumers through our app, allowing them to shop with merchants that may not yet be fully integrated with Affirm. When these cards are used over established card networks, we earn a portion of the interchange fee from the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8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interim condensed consolidated financial statements for more information on the performance fee liability.</w:t>
      </w:r>
    </w:p>
    <w:p>
      <w:pPr>
        <w:spacing w:after="0" w:line="20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the U.K., and across most states in the U.S. through our consolidated subsidiaries. For the three and nine months ended March 31, 2026, we directly originated approximately $2.3 billion, or 20%, and $7.0 billion, or 19%, respectively, of loans compared to approximately $1.5 billion, or 17%, and $4.5 billion, or 17%, for the same periods in 2025.</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act as the servicer on all loans that we originate directly or purchase from our originating bank partners and earn a servicing fee on loans held by third parties, including bank partners prior to loan purchase and third-party loan buyers if subsequently sold as part of our funding strategy. In the normal course of business, we do not sell the servicing rights on any of the loans. To allow for flexible staffing to support overflow and seasonal traffic, we partner with several sub-servicers to manage consumer care, first priority collections, and third-party collections in accordance with our policies and procedures.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2025, as updated from time to time in our filings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20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variable funding notes, forward flow arrangements, and partnerships with banks. Given the short duration and strong performance of our assets, funding can be recycled quickly, resulting in a high-velocity, capital efficient funding model. As of March 31, 2026 and June 30, 2025, our equity capital as a percentage of our total platform portfolio, defined as the unpaid principal balance of all loans facilitated through our platform, was 5% and 4%, respectively.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189"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8"/>
          <w:szCs w:val="18"/>
          <w:color w:val="auto"/>
        </w:rPr>
        <w:t>The shifts in merchant volumes and products offered in any period affect our operating results. These shifts impact GMV, revenue, our financial results, and our key operating metric performance for that period. Differences in loan product mix result in varying loan terms, APRs, and payment frequencies.</w:t>
      </w:r>
    </w:p>
    <w:p>
      <w:pPr>
        <w:spacing w:after="0" w:line="14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Product and economic terms of commercial agreements vary among our merchants, which may impact our results.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as a percentage of GMV in any given period varies across products. As such, as we continue to expand our network to include more merchants and product offerings, revenue as a percentage of GMV may vary.</w:t>
      </w:r>
    </w:p>
    <w:p>
      <w:pPr>
        <w:spacing w:after="0" w:line="121" w:lineRule="exact"/>
        <w:rPr>
          <w:sz w:val="20"/>
          <w:szCs w:val="20"/>
          <w:color w:val="auto"/>
        </w:rPr>
      </w:pPr>
    </w:p>
    <w:p>
      <w:pPr>
        <w:jc w:val="both"/>
        <w:ind w:right="80" w:firstLine="648"/>
        <w:spacing w:after="0" w:line="272" w:lineRule="auto"/>
        <w:rPr>
          <w:sz w:val="20"/>
          <w:szCs w:val="20"/>
          <w:color w:val="auto"/>
        </w:rPr>
      </w:pPr>
      <w:r>
        <w:rPr>
          <w:rFonts w:ascii="Times New Roman" w:cs="Times New Roman" w:eastAsia="Times New Roman" w:hAnsi="Times New Roman"/>
          <w:sz w:val="17"/>
          <w:szCs w:val="17"/>
          <w:color w:val="auto"/>
        </w:rPr>
        <w:t>Additionally, our operating results are impacted by the percentage of GMV related to transactions occurring through direct merchant point-of-sale integrations relative to GMV processed by our card-issuing partners, which includes transactions on the Affirm Card, our one-time-use virtual debit cards, and with merchants that integrate Affirm services through one of our platform partners or utilize one of our card-issuing partners to process transactions.</w:t>
      </w:r>
    </w:p>
    <w:p>
      <w:pPr>
        <w:spacing w:after="0" w:line="2"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While commercial and economic terms vary across these offerings, we generally earn a portion of the interchange fees paid by the merchant which are shared with us through our agreement with the card-issuing partner.</w:t>
      </w:r>
    </w:p>
    <w:p>
      <w:pPr>
        <w:spacing w:after="0" w:line="1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are also impacted by the percentage and mix of loans we hold on our balance sheet versus those sold to third-party investors. This is driven by our funding strategy, prevailing capital market conditions, and the supply of capital available from our diverse funding channels and relationships. Because the majority of transactions on our platform result in a loan origination, changes in GMV product mix are generally correlated with the mix of loans purchased from our bank partner or originated through one of our subsidiaries.</w:t>
      </w:r>
    </w:p>
    <w:p>
      <w:pPr>
        <w:spacing w:after="0" w:line="13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composition of loans held for investment, less accrued interest receivable, by loan product, as of the end of each period presented (in thousands):</w:t>
      </w: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21590</wp:posOffset>
            </wp:positionV>
            <wp:extent cx="21856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6" w:lineRule="exact"/>
        <w:rPr>
          <w:sz w:val="20"/>
          <w:szCs w:val="20"/>
          <w:color w:val="auto"/>
        </w:rPr>
      </w:pPr>
    </w:p>
    <w:p>
      <w:pPr>
        <w:ind w:left="4940"/>
        <w:spacing w:after="0"/>
        <w:tabs>
          <w:tab w:leader="none" w:pos="668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21590</wp:posOffset>
            </wp:positionV>
            <wp:extent cx="21856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8" w:lineRule="exact"/>
        <w:rPr>
          <w:sz w:val="20"/>
          <w:szCs w:val="20"/>
          <w:color w:val="auto"/>
        </w:rPr>
      </w:pPr>
    </w:p>
    <w:p>
      <w:pPr>
        <w:sectPr>
          <w:pgSz w:w="11900" w:h="16838" w:orient="portrait"/>
          <w:cols w:equalWidth="0" w:num="2">
            <w:col w:w="7760" w:space="720"/>
            <w:col w:w="2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monthly installment loans</w:t>
            </w: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6,161,610</w:t>
            </w:r>
          </w:p>
        </w:tc>
        <w:tc>
          <w:tcPr>
            <w:tcW w:w="6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4,874,353</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5,064,696</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4,364,673</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 APR monthly installment loans</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1,758,293</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1,327,745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1,473,549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971,014</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Pay-in-X</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563,690</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359,352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419,337</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271,609</w:t>
            </w: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8,483,593</w:t>
            </w:r>
          </w:p>
        </w:tc>
        <w:tc>
          <w:tcPr>
            <w:tcW w:w="6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6,561,450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6,957,582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5,607,296</w:t>
            </w: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composition of the average balance of loans held for investment, less accrued interest receivable, by loan product, for each period presented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18"/>
                <w:szCs w:val="18"/>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8"/>
                <w:szCs w:val="18"/>
                <w:color w:val="auto"/>
              </w:rPr>
            </w:pPr>
          </w:p>
        </w:tc>
        <w:tc>
          <w:tcPr>
            <w:tcW w:w="180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2026 v 2025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160" w:type="dxa"/>
            <w:vAlign w:val="bottom"/>
          </w:tcPr>
          <w:p>
            <w:pPr>
              <w:spacing w:after="0"/>
              <w:rPr>
                <w:sz w:val="18"/>
                <w:szCs w:val="18"/>
                <w:color w:val="auto"/>
              </w:rPr>
            </w:pPr>
          </w:p>
        </w:tc>
        <w:tc>
          <w:tcPr>
            <w:tcW w:w="18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 v 2025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08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00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8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6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Average loan balance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Interest-bearing monthly</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6,124,849</w:t>
            </w:r>
          </w:p>
        </w:tc>
        <w:tc>
          <w:tcPr>
            <w:tcW w:w="3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4,925,231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1,199,618</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5,645,541</w:t>
            </w:r>
          </w:p>
        </w:tc>
        <w:tc>
          <w:tcPr>
            <w:tcW w:w="32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4,788,187</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857,353</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installment loans</w:t>
            </w: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0% APR monthly installment</w:t>
            </w: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1,820,214</w:t>
            </w: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1,295,006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525,209</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1,643,038</w:t>
            </w: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1,145,280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497,758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Pay-in-X</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638,862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420,524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218,338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533,106</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348,319</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184,788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8,583,924</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6,640,761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1,943,164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29 %</w:t>
            </w:r>
          </w:p>
        </w:tc>
        <w:tc>
          <w:tcPr>
            <w:tcW w:w="1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7,821,684</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6,281,786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1,539,898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1414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right="3200" w:firstLine="8"/>
        <w:spacing w:after="0" w:line="516" w:lineRule="auto"/>
        <w:tabs>
          <w:tab w:leader="none" w:pos="165"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average balance of loans held for investment, less accrued interest receivable, is calculated based on the ending balances as of March, December, September, and June, as applicable for the quarter-to-date and year-to-date periods.</w:t>
      </w:r>
    </w:p>
    <w:p>
      <w:pPr>
        <w:spacing w:after="0" w:line="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Loans held for investment increased by 22% and 17%, respectively, over the nine months ended March 31, 2026 and March 31, 2025. The balance and product mix of loans held for investment in a given period is driven by the volume and composition of loan purchases and originations as well as the volume, composition and timing of loan sales to third party investors and securitizations.</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With respect to the three and nine months ended March 31, 2026 and March 31, 2025, loans held for investment increased primarily due to overall GMV growth. The average balance of interest-bearing monthly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installment loans increased by 24% and 18%, respectively, for the three and nine months ended March 31, 2026, compared to the same periods in 2025. Over the same periods, the average balance of 0% APR monthly installment loans increased by 41% and 43%, respectively, and the average balance of Pay-in-X loans increased by 52% and 53%, respectively, compared to the same periods in 2025.</w:t>
      </w:r>
    </w:p>
    <w:p>
      <w:pPr>
        <w:spacing w:after="0" w:line="13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During the three and nine months ended March 31, 2026 our purchased and originated loan volume was 9.4 billion and 2.3 billion, and 28.9 billion and $7.0 billion, respectively. The purchased volume of loans originated by our bank partners during the periods primarily included a mix of interest bearing and 0% APR monthly installment products whereas the volume of loans originated through one of our subsidiaries during the periods was primarily Pay-in-X. The total volume and composition of loans purchased and originated during the periods is correlated with the volume and composition of GMV.</w:t>
      </w:r>
    </w:p>
    <w:p>
      <w:pPr>
        <w:spacing w:after="0" w:line="3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31, 2026, we held substantially all Pay-in-X loans on our balance sheet, while selling a percentage of our interest bearing monthly installment loans and 0% APR monthly installment loans to third party investors, either directly or through off balance sheet securitizations. During both the three and nine months ended March 31, 2026, interest-bearing monthly installment loans and 0% APR monthly installment loans represented 86% and 14%, respectively, of the total $5.0 billion and $15.9 billion unpaid principal balance of loans sold.</w:t>
      </w:r>
    </w:p>
    <w:p>
      <w:pPr>
        <w:spacing w:after="0" w:line="13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Refer to Key Operating Metrics for additional information on GMV for the three and nine months ended March 31, 2026, compared to the same periods in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0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experience seasonal fluctuations in our business as a result of consumer spending patterns, including Affirm Card, which we expect to mimic the seasonality of our general business in the near term. Historically, our GMV has been the strongest during our fiscal second quarter due to increases in retail commerce during the holiday season and our loan delinquencies are at their lowest during our fiscal third and fourth quarter, as consumer savings benefit from tax refunds. Adverse events that occur during our second fiscal quarter could have a disproportionate effect on our financial results for the fiscal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20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regularly monitor the direct and indirect impacts of the current macroeconomic conditions on our business, financial condition, and results of operations. Following the Federal Reserve’s decision to begin reducing the federal funds interest rate in September 2024, interest rates have declined; however, uncertainty remains as to whether and to what extent the federal funds interest rate will remain at current levels, increase or decrease in future periods. Simultaneously, economic uncertainty and unpredictability, including the prospect of economic recession, persistent inflation, and the magnitude, duration and impact of tariffs on global trade, has impacted and may continue to impact both consumer spending and loan repayments. These challenges have affected, and may continue to affect, our business and results of operations in the following ways:</w:t>
      </w:r>
    </w:p>
    <w:p>
      <w:pPr>
        <w:spacing w:after="0" w:line="143" w:lineRule="exact"/>
        <w:rPr>
          <w:sz w:val="20"/>
          <w:szCs w:val="20"/>
          <w:color w:val="auto"/>
        </w:rPr>
      </w:pPr>
    </w:p>
    <w:p>
      <w:pPr>
        <w:ind w:left="660" w:right="40" w:hanging="328"/>
        <w:spacing w:after="0" w:line="26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Shifts in consumer demand and loan repayment: </w:t>
      </w:r>
      <w:r>
        <w:rPr>
          <w:rFonts w:ascii="Times New Roman" w:cs="Times New Roman" w:eastAsia="Times New Roman" w:hAnsi="Times New Roman"/>
          <w:sz w:val="18"/>
          <w:szCs w:val="18"/>
          <w:color w:val="auto"/>
        </w:rPr>
        <w:t>We have experienced, and may continue to experience, fluctuations in consumer demand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 merchandise categories as well as an increase in delinquencies due to economic uncertainty, persistent inflationary pressures, elevated interest rates, and other macroeconomic factors. If such conditions deteriorate in future periods, consumer demand and loan repayments may be negatively impacted.</w:t>
      </w:r>
    </w:p>
    <w:p>
      <w:pPr>
        <w:spacing w:after="0" w:line="203" w:lineRule="exact"/>
        <w:rPr>
          <w:rFonts w:ascii="Times New Roman" w:cs="Times New Roman" w:eastAsia="Times New Roman" w:hAnsi="Times New Roman"/>
          <w:sz w:val="18"/>
          <w:szCs w:val="18"/>
          <w:color w:val="auto"/>
        </w:rPr>
      </w:pPr>
    </w:p>
    <w:p>
      <w:pPr>
        <w:ind w:left="660" w:right="540" w:hanging="328"/>
        <w:spacing w:after="0" w:line="28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Managing delinquency rates: </w:t>
      </w:r>
      <w:r>
        <w:rPr>
          <w:rFonts w:ascii="Times New Roman" w:cs="Times New Roman" w:eastAsia="Times New Roman" w:hAnsi="Times New Roman"/>
          <w:sz w:val="18"/>
          <w:szCs w:val="18"/>
          <w:color w:val="auto"/>
        </w:rPr>
        <w:t>We are continuously optimizing our underwriting to manage delinquency rates. While these actions have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adversely affected our GMV growth rates during fiscal 2026, any future credit tightening could adversely impact GMV growth rates.</w:t>
      </w:r>
    </w:p>
    <w:p>
      <w:pPr>
        <w:spacing w:after="0" w:line="181"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Borrowing costs: </w:t>
      </w:r>
      <w:r>
        <w:rPr>
          <w:rFonts w:ascii="Times New Roman" w:cs="Times New Roman" w:eastAsia="Times New Roman" w:hAnsi="Times New Roman"/>
          <w:sz w:val="18"/>
          <w:szCs w:val="18"/>
          <w:color w:val="auto"/>
        </w:rPr>
        <w:t>The Federal Reserve began decreasing the federal funds interest rate in late 2024, leading to a decline in our average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However, there is continued uncertainty as to whether and to what extent the Federal Reserve may decrease the federal funds rate further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hanging="328"/>
        <w:spacing w:after="0" w:line="28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Volatile capital markets: </w:t>
      </w:r>
      <w:r>
        <w:rPr>
          <w:rFonts w:ascii="Times New Roman" w:cs="Times New Roman" w:eastAsia="Times New Roman" w:hAnsi="Times New Roman"/>
          <w:sz w:val="18"/>
          <w:szCs w:val="18"/>
          <w:color w:val="auto"/>
        </w:rPr>
        <w:t>Since fiscal 2024, capital markets have shown improvement against recent periods. Strong loan performance has allowed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add substantial capacity across funding channels.</w:t>
      </w:r>
    </w:p>
    <w:p>
      <w:pPr>
        <w:spacing w:after="0" w:line="185" w:lineRule="exact"/>
        <w:rPr>
          <w:rFonts w:ascii="Times New Roman" w:cs="Times New Roman" w:eastAsia="Times New Roman" w:hAnsi="Times New Roman"/>
          <w:sz w:val="18"/>
          <w:szCs w:val="18"/>
          <w:color w:val="auto"/>
        </w:rPr>
      </w:pPr>
    </w:p>
    <w:p>
      <w:pPr>
        <w:ind w:left="6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these improvements, uncertainties remain in the macroeconomic environment that may result in fluctuations of available capital in our lending marketplace due to shifts in the risk preferences of our lending partners and institutional investors or for other reasons. For example, there have been recent public reports of instability at certain private credit funds and other financial institutions. The follow-on effects of this instability are unknown and may impair our ability to access funding sources in the future.</w:t>
      </w:r>
    </w:p>
    <w:p>
      <w:pPr>
        <w:spacing w:after="0" w:line="206"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these uncertainties, we leverage our diverse capital ecosystem consisting of multiple funding channels, a diverse set of counterparties, and varying maturity debt schedule to support resilience across various macroeconomic conditions and economic cycles.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Credit Optimization and Loan Performance</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continue to optimize our underwriting and take other actions to manage consumer loan repayment, increase collections and minimize losses. For example, we offer loan modifications to borrowers experiencing 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which may not exceed twenty-four months.</w:t>
      </w:r>
    </w:p>
    <w:p>
      <w:pPr>
        <w:spacing w:after="0" w:line="212"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These loan modification programs also impact our delinquency rates, and such impact can vary over time. The volume of loan modifications during the fiscal quarter ended March 31, 2026 increased to 0.16% up from 0.09% in the same period in 2025. As of March 31, 2026, loans modified within the last twelve months represent 0.28% of the outstanding principal balance of loans held on our balance sheet, compared to 0.21% for the same period in 2025. Our reported delinquency and charge off rates include loans which have become past due or have charged off subsequent to modification. An unknown percentage of loans which have been modified and are current as of March 31, 2026 may become delinquent or charge off in the future. We continue to evaluate the effectiveness of these programs and may modify, expand, or contract their usage, which may affect the timing of reported delinquencies and charge offs in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24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w:t>
      </w:r>
    </w:p>
    <w:p>
      <w:pPr>
        <w:spacing w:after="0" w:line="13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Additionally, state regulatory agencies and state attorneys general have publicly indicated that they plan to increase oversight of financial services companies. Such state authorities may initiate legal proceedings against us under state consumer protection statutes or various federal consumer financial services statutes, subject to the jurisdiction of the CFPB and FTC. These actions may result in financial penalties, which, individually or in aggregate, may adversely impact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Affirm Bank Applications</w:t>
      </w:r>
    </w:p>
    <w:p>
      <w:pPr>
        <w:spacing w:after="0" w:line="175" w:lineRule="exact"/>
        <w:rPr>
          <w:sz w:val="20"/>
          <w:szCs w:val="20"/>
          <w:color w:val="auto"/>
        </w:rPr>
      </w:pPr>
    </w:p>
    <w:p>
      <w:pPr>
        <w:ind w:right="400" w:firstLine="648"/>
        <w:spacing w:after="0" w:line="242" w:lineRule="auto"/>
        <w:rPr>
          <w:sz w:val="20"/>
          <w:szCs w:val="20"/>
          <w:color w:val="auto"/>
        </w:rPr>
      </w:pPr>
      <w:r>
        <w:rPr>
          <w:rFonts w:ascii="Times New Roman" w:cs="Times New Roman" w:eastAsia="Times New Roman" w:hAnsi="Times New Roman"/>
          <w:sz w:val="18"/>
          <w:szCs w:val="18"/>
          <w:color w:val="auto"/>
        </w:rPr>
        <w:t>On January 23, 2026, we submitted applications to the Nevada Financial Institutions Division and the Federal Deposit Insurance Corporation (“FDIC”) to establish Affirm Bank, a proposed Nevada-chartered industrial loan company. If approved, the proposed entity would operate as a wholly owned, Nevada-chartered, FDIC-insured bank subsidiary, and maintain its own independent governance and internal controls. The proposed bank subsidiary would complement our current business and bank partnership models, including by providing greater flexibility and diversification, to help advance responsible innovation in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Income Taxes</w:t>
      </w:r>
    </w:p>
    <w:p>
      <w:pPr>
        <w:spacing w:after="0" w:line="175"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which included certain modifications to U.S. tax law. The Company is currently evaluating the future impact of these provisions of the Act on our Consolidated Financial Statements.</w:t>
      </w:r>
    </w:p>
    <w:p>
      <w:pPr>
        <w:spacing w:after="0" w:line="122"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In addition, our assessment of income taxes is influenced by our recent operating results and expectations regarding future profitability. Recent pretax earnings performance has improved the mix of positive versus negative evidence considered in evaluating the realizability of our deferred tax assets. If these trends continue, we expect that additional positive evidence may be available within our fiscal year ending June 30, 2026 to support the conclusion that a significant portion of the domestic valuation allowance is no longer needed. The timing and amount of any valuation allowance release is subject to change based on multiple factors, including our level of profitability and the extent to which we believe we can sustain it over time. Release of any portion of the valuation allowance would result in the recognition of certain deferred tax assets with a potential corresponding decrease to income tax expense for the period the release is recorded, which would represent a non-cash benefit to net income.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metrics to measure the performance of our business and help determine our strategic direction. In addition to revenue, net income (loss), and other results under U.S. GAAP, the following tables set forth key operating metrics we use to evaluate our business.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Pr>
          <w:p>
            <w:pPr>
              <w:spacing w:after="0"/>
              <w:rPr>
                <w:sz w:val="18"/>
                <w:szCs w:val="18"/>
                <w:color w:val="auto"/>
              </w:rPr>
            </w:pPr>
          </w:p>
        </w:tc>
        <w:tc>
          <w:tcPr>
            <w:tcW w:w="3200" w:type="dxa"/>
            <w:vAlign w:val="bottom"/>
            <w:gridSpan w:val="4"/>
          </w:tcPr>
          <w:p>
            <w:pPr>
              <w:jc w:val="right"/>
              <w:ind w:right="875"/>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30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2"/>
        </w:trPr>
        <w:tc>
          <w:tcPr>
            <w:tcW w:w="3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GMV</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68"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For the three and nine months ended March 31, 2026, GMV was $11.6 billion and $36.1 billion, respectively, which represented an increase of approximately 35% and 37%, respectively, as compared to the same periods in 2025. Overall, the increase in GMV was driven by growth in our direct to consumer products, including Affirm Card, and overall increases in active consumers and average transactions per consumer. In addition, for the three and nine months ended March 31, 2026, GMV from our top five merchants and platform partners collectively grew 26% and 27%, respectively, as compared to the same periods in 2025. The composition of our top five merchants and platform partners is determined based on GMV for each reporting period and, accordingly, the specific merchants and/or platform partners included in the top five may change period-over-period. During the three and nine months ended March 31, 2026, the concentration of GMV derived from our top five partners declined slightly to 42% and 44%, respectively, compared to 45% and 48% for the same periods in 2025 as a result of the continued diversification of GMV across merchants, platform partners and through our direct to consumer products. GMV attributable to Amazon represented 20% and 22% of total GMV for the three and nine months ended March 31, 2026, respectively, compared to 21% and 23% for the same periods in 2025.</w:t>
      </w:r>
    </w:p>
    <w:p>
      <w:pPr>
        <w:spacing w:after="0" w:line="21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March 31, 2026, GMV increased for interest-bearing installment loans, 0% APR monthly installment loans and Pay-in-X, compared to the same periods in 2025; however, the rate of GMV growth varied by product type over the same periods. The variance in growth varied by product is due to seasonality and the timing of certain promotions and campaigns.</w:t>
      </w:r>
    </w:p>
    <w:p>
      <w:pPr>
        <w:spacing w:after="0" w:line="19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GMV from interest-bearing installment loans grew 33% and 31%, respectively, for the three and nine months ended March 31, 2026, as compared to the same periods in 2025. Interest-bearing installment loans represented 70% and 69% of total GMV, respectively, for the three and nine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GMV from Pay-in-X grew 52% and 54%, respectively, for the three and nine months ended March 31, 2026, as compared to the same periods in 2025. Pay-in-X represented 16% of total GMV, for both the three and nine months ended March 31, 2026.</w:t>
      </w:r>
    </w:p>
    <w:p>
      <w:pPr>
        <w:spacing w:after="0" w:line="203"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GMV from 0% APR monthly installment loans grew 30% and 55%, respectively, for the three and nine months ended March 31, 2026, as compared to the same periods in 2025. 0% APR monthly installment loans represented 13% and 14% of total GMV, respectively, for the three and nine months ended March 31, 2026.</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2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360" w:type="dxa"/>
            <w:vAlign w:val="bottom"/>
            <w:tcBorders>
              <w:bottom w:val="single" w:sz="8" w:color="auto"/>
            </w:tcBorders>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3"/>
        </w:trPr>
        <w:tc>
          <w:tcPr>
            <w:tcW w:w="5020" w:type="dxa"/>
            <w:vAlign w:val="bottom"/>
          </w:tcPr>
          <w:p>
            <w:pPr>
              <w:spacing w:after="0"/>
              <w:rPr>
                <w:sz w:val="16"/>
                <w:szCs w:val="16"/>
                <w:color w:val="auto"/>
              </w:rPr>
            </w:pPr>
          </w:p>
        </w:tc>
        <w:tc>
          <w:tcPr>
            <w:tcW w:w="4600" w:type="dxa"/>
            <w:vAlign w:val="bottom"/>
            <w:gridSpan w:val="2"/>
          </w:tcPr>
          <w:p>
            <w:pPr>
              <w:jc w:val="center"/>
              <w:ind w:left="1537"/>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1620" w:type="dxa"/>
            <w:vAlign w:val="bottom"/>
          </w:tcPr>
          <w:p>
            <w:pPr>
              <w:spacing w:after="0"/>
              <w:rPr>
                <w:sz w:val="16"/>
                <w:szCs w:val="16"/>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consumers</w:t>
            </w:r>
          </w:p>
        </w:tc>
        <w:tc>
          <w:tcPr>
            <w:tcW w:w="22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26,787</w:t>
            </w:r>
          </w:p>
        </w:tc>
        <w:tc>
          <w:tcPr>
            <w:tcW w:w="23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21,888</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per active consumer</w:t>
            </w:r>
          </w:p>
        </w:tc>
        <w:tc>
          <w:tcPr>
            <w:tcW w:w="22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6.7</w:t>
            </w:r>
          </w:p>
        </w:tc>
        <w:tc>
          <w:tcPr>
            <w:tcW w:w="23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5.6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Consumers</w:t>
      </w:r>
    </w:p>
    <w:p>
      <w:pPr>
        <w:spacing w:after="0" w:line="1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w:t>
      </w:r>
    </w:p>
    <w:p>
      <w:pPr>
        <w:spacing w:after="0" w:line="14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approximately 26.8 million active consumers, which represented an increase of 22% compared to approximately 21.9 million active consumers as of March 31, 2025. The increase was primarily due to a high retention rate of existing consumers and the acquisition of new consumers through an expansion in active merchants and platform partnerships.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per Active Consumer</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had approximately 6.7 transactions per active consumer, an increase of 20% compared to March 31, 2025. The increase was primarily due to platform growth and a higher frequency of repeat users driven by consumer engagement, including growth of Affirm Card active consumers. As of March 31, 2026 and March 31, 2025, Affirm Card represented approximately 14% and 10%, respectively, of the total number of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interim condensed consolidated statements of operations and comprehensive income (loss) data for each of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9"/>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8"/>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268,027</w:t>
            </w: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213,973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847,553</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643,207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204,346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 network revenue</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44,638</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network revenue</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61,949</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248,984</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6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129,748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291,066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166,741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12,572</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40,335</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26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1,038,765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783,135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255,630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3,095,122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2,347,995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747,127</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32 %</w:t>
            </w:r>
          </w:p>
        </w:tc>
      </w:tr>
      <w:tr>
        <w:trPr>
          <w:trHeight w:val="198"/>
        </w:trPr>
        <w:tc>
          <w:tcPr>
            <w:tcW w:w="26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1"/>
                <w:szCs w:val="21"/>
                <w:b w:val="1"/>
                <w:bCs w:val="1"/>
                <w:color w:val="auto"/>
                <w:vertAlign w:val="superscript"/>
              </w:rPr>
              <w:t>(3)</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on loan purchase commitment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109,472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(105,165)</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3"/>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w:t>
            </w:r>
          </w:p>
        </w:tc>
        <w:tc>
          <w:tcPr>
            <w:tcW w:w="18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spacing w:after="0"/>
              <w:rPr>
                <w:sz w:val="19"/>
                <w:szCs w:val="19"/>
                <w:color w:val="auto"/>
              </w:rPr>
            </w:pPr>
          </w:p>
        </w:tc>
        <w:tc>
          <w:tcPr>
            <w:tcW w:w="7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7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BFE4FF"/>
          </w:tcPr>
          <w:p>
            <w:pPr>
              <w:spacing w:after="0"/>
              <w:rPr>
                <w:sz w:val="19"/>
                <w:szCs w:val="19"/>
                <w:color w:val="auto"/>
              </w:rPr>
            </w:pPr>
          </w:p>
        </w:tc>
        <w:tc>
          <w:tcPr>
            <w:tcW w:w="980" w:type="dxa"/>
            <w:vAlign w:val="bottom"/>
            <w:tcBorders>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spacing w:after="0"/>
              <w:rPr>
                <w:sz w:val="19"/>
                <w:szCs w:val="19"/>
                <w:color w:val="auto"/>
              </w:rPr>
            </w:pPr>
          </w:p>
        </w:tc>
        <w:tc>
          <w:tcPr>
            <w:tcW w:w="7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BFE4FF"/>
          </w:tcPr>
          <w:p>
            <w:pPr>
              <w:spacing w:after="0"/>
              <w:rPr>
                <w:sz w:val="19"/>
                <w:szCs w:val="19"/>
                <w:color w:val="auto"/>
              </w:rPr>
            </w:pPr>
          </w:p>
        </w:tc>
        <w:tc>
          <w:tcPr>
            <w:tcW w:w="980" w:type="dxa"/>
            <w:vAlign w:val="bottom"/>
            <w:tcBorders>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8"/>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950,337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791,527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158,810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2,825,406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2,493,332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332,074</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13 %</w:t>
            </w:r>
          </w:p>
        </w:tc>
      </w:tr>
      <w:tr>
        <w:trPr>
          <w:trHeight w:val="211"/>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88,429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96,822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269,716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(145,337)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415,053</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r>
      <w:tr>
        <w:trPr>
          <w:trHeight w:val="207"/>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(81,303)</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2"/>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107,376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102,031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323,633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333,749</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r>
      <w:tr>
        <w:trPr>
          <w:trHeight w:val="207"/>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102,900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100,096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313,180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330,238</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24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41"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 meaningful (“NM”)</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For loans held for sale,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2"/>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loans purchased or originated, net of refunds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265,676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(71,826)</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104,617</w:t>
            </w:r>
          </w:p>
        </w:tc>
      </w:tr>
      <w:tr>
        <w:trPr>
          <w:trHeight w:val="21"/>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352298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22980" cy="154305"/>
                    </a:xfrm>
                    <a:prstGeom prst="rect">
                      <a:avLst/>
                    </a:prstGeom>
                    <a:noFill/>
                  </pic:spPr>
                </pic:pic>
              </a:graphicData>
            </a:graphic>
          </wp:anchor>
        </w:drawing>
      </w:r>
    </w:p>
    <w:p>
      <w:pPr>
        <w:spacing w:after="0" w:line="377"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7"/>
                <w:szCs w:val="17"/>
                <w:color w:val="auto"/>
              </w:rPr>
            </w:pPr>
          </w:p>
        </w:tc>
        <w:tc>
          <w:tcPr>
            <w:tcW w:w="258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08"/>
        </w:trPr>
        <w:tc>
          <w:tcPr>
            <w:tcW w:w="5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2"/>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170,868</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70,957</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255,938</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141,169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March 31, 2026 and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20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Merchant network revenue is impacted by both GMV and the mix of loans originated on our platform, including the distribution of loans by product. While we generally earn higher merchant fees on 0% versus interest-bearing loan products, merchant fee rates on each transaction are also impacted by the existence of a commercial agreement and negotiated pricing with each merchant, which may vary depending on loan term, loan size, borrower credit risk, pricing incentives and whether the consumer transacts with the merchant through one of our direct to consumer products, including Affirm Card.</w:t>
      </w:r>
    </w:p>
    <w:p>
      <w:pPr>
        <w:spacing w:after="0" w:line="14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Merchant network revenue increased by $54.1 million, or 25%, and $204.3 million, or 32%, for the three and nine months ended March 31, 2026, respectively, compared to the same periods in 2025. The increase is primarily attributed to an increase in GMV of $3.0 billion, or 35%, and $9.8 billion, or 37%, for the three and nine months ended March 31, 2026, respectively, compared to the same periods in 2025. The volume-driven increase in merchant network revenue was offset by an increase in the loss on loan originations by $10.5 million, or 44%, and $46.7 million, or 69%, for the three and nine months ended March 31, 2026, respectively. Additionally, merchant incentives, recorded as a reduction of revenue, increased by $4.3 million and $5.7 million for the three and nine months ended March 31, 2026, respectively, compared to the same periods in 2025.</w:t>
      </w:r>
    </w:p>
    <w:p>
      <w:pPr>
        <w:spacing w:after="0" w:line="14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as a percentage of GMV decreased to 2.3% and 2.4%, respectively, for the three and nine months ended March 31, 2026 from 2.5% for both the three and nine months ended March 31, 2025. The portion of GMV attributed to 0% APR loans, including Pay-in-X, increased by 41% and 55%, respectively, for the three and nine months ending March 31, 2026, compared to the same periods in 2025; however, the impact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higher percentage of GMV attributed to 0% APR loans was offset by an increase in direct to consumer transactions as a percentage of GMV, led by the growth of Affirm Card.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w:t>
      </w:r>
    </w:p>
    <w:p>
      <w:pPr>
        <w:spacing w:after="0" w:line="2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Card network revenue increased by $7.9 million, or 13%, and $44.6 million, or 27%, for the three and nine months ended March 31, 2026, respectively, compared to the same periods in 2025. Card network revenue growth is correlated with the growth of GMV processed by our card-issuing partners. As such, the increase is primarily driven by $4.1 billion and $12.3 billion of GMV processed through our card-issuing partners, an increase of approximately 43% and 46% for the three and nine months ended March 31, 2026, respectively, as compared to the same periods in 2025. This was driven by increased card activity primarily through Affirm Card and our one-time-use virtual debit cards, as well as GMV generated by merchants utilizing our agreement with card-issuing partners as a means of integrating Affirm services. Card network revenue is also impacted by the mix of merchants as different merchants can have different interchange rates depending on their industry or size, among other factors.</w:t>
      </w:r>
    </w:p>
    <w:p>
      <w:pPr>
        <w:spacing w:after="0" w:line="14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volume-driven increase in card network revenue was partially offset by an increase in merchant incentives, which are recorded as a reduction to card network revenue. For the three and nine months ended March 31, 2026, merchant incentives increased by $6.6 million, or 190%, and $10.6 million, or 123%, respectively, compared to the same periods in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increased by $129.7 million, or 32%, and $291.1 million, or 24%, for the three and nine months ended March 31, 2026, respectively, compared to the same periods in 2025. Generally, interest income is correlated with the changes in the average balance of loans held for investment, which increased by 29% to $8.7 billion and 24% to $7.9 billion for the three and nine months ended March 31, 2026, respectively, compared to the same periods in 2025.</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increase was primarily driven by contractual interest income for interest-bearing loans, which grew approximately $110.8 million and $241.2 million for the three and nine months ended March 31, 2026, respectively, compared to the same periods in 2025, comprising 85% and 83%, respectively, of the total increase. Interest income from the amortization of the discount on 0% and below market APR loans grew approximately $22.9 million and $59.4 million, respectively, over the same periods, comprising 18% and 20%, respectively, of the total increase.</w:t>
      </w:r>
    </w:p>
    <w:p>
      <w:pPr>
        <w:spacing w:after="0" w:line="1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average loan balance of interest bearing loans held for investment increased during the three and nine months ended March 31, 2026, compared to the same periods in 2025. However, the rate of loan growth varied by product type over the same periods, as the average balance of 0% APR loans grew more on a percentage basis than the average balance of interest bearing loans. Therefore, the increase in contractual interest income during the period was further accelerated by an increase in interest income from the amortization of loan discount.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187" w:lineRule="exact"/>
        <w:rPr>
          <w:sz w:val="20"/>
          <w:szCs w:val="20"/>
          <w:color w:val="auto"/>
        </w:rPr>
      </w:pPr>
    </w:p>
    <w:p>
      <w:pPr>
        <w:ind w:left="120" w:firstLine="648"/>
        <w:spacing w:after="0" w:line="258" w:lineRule="auto"/>
        <w:rPr>
          <w:sz w:val="20"/>
          <w:szCs w:val="20"/>
          <w:color w:val="auto"/>
        </w:rPr>
      </w:pPr>
      <w:r>
        <w:rPr>
          <w:rFonts w:ascii="Times New Roman" w:cs="Times New Roman" w:eastAsia="Times New Roman" w:hAnsi="Times New Roman"/>
          <w:sz w:val="18"/>
          <w:szCs w:val="18"/>
          <w:color w:val="auto"/>
        </w:rPr>
        <w:t>Gain on sales of loans increased by $51.4 million, or 68%, and $166.7 million, or 63%, for the three and nine months ended March 31, 2026, respectively, compared to the same periods in 2025. The increase is driven by higher loan sale volume to third-party loan buyers and favorable transaction economics, which are primarily driven by market conditions. We sold loans with an unpaid principal balance of $5.0 billion and $15.9 billion for the three and nine months ended March 31, 2026, respectively, compared to $3.6 billion and $11.0 billion for the same periods in 2025, respectively, an increase of 40% and 44%, respectively.</w:t>
      </w:r>
    </w:p>
    <w:p>
      <w:pPr>
        <w:spacing w:after="0" w:line="143"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volume-driven increase in gain on sales of loans, for the three and nine months ended March 31, 2026, was further accelerated by a decrease in our repurchase liability to third-party investors of $7.3 million, or 62%, and $11.5 million, or 43%, respectively, compared to the same periods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187"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5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12. Fair Value of Financial Assets and Liabilities in the notes to the interim condensed consolidated financial statements.</w:t>
      </w:r>
    </w:p>
    <w:p>
      <w:pPr>
        <w:spacing w:after="0" w:line="14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Servicing income increased by $12.6 million, or 39%, and $40.3 million, or 47%, for the three and nine months ended March 31, 2026, respectively, compared to the same periods in 2025. The increase was primarily due to an increase in servicing fee revenue which is calculated as a percentage of the unpaid principal balance of off-balance sheet loans. The average unpaid principal balance of loans held by third-party investors and off-balance sheet securitizations increased to $9.5 billion and $8.8 billion for the three and nine months ended March 31, 2026, respectively, compared to the same periods in 2025, an increase of 39% and 47%,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19"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8"/>
          <w:szCs w:val="18"/>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income (loss). These costs are incurred on a per loan basis.</w:t>
      </w:r>
    </w:p>
    <w:p>
      <w:pPr>
        <w:spacing w:after="0" w:line="15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Loss on loan purchase commitment increased by $10.7 million, or 19%, and $53.8 million, or 30%, for the three and nine months ended March 31, 2026, respectively, compared to the same periods in 2025, primarily due to an increase in total volume of loans purchased. During the three and</w:t>
      </w:r>
    </w:p>
    <w:p>
      <w:pPr>
        <w:ind w:right="200"/>
        <w:spacing w:after="0" w:line="279" w:lineRule="auto"/>
        <w:rPr>
          <w:sz w:val="20"/>
          <w:szCs w:val="20"/>
          <w:color w:val="auto"/>
        </w:rPr>
      </w:pPr>
      <w:r>
        <w:rPr>
          <w:rFonts w:ascii="Times New Roman" w:cs="Times New Roman" w:eastAsia="Times New Roman" w:hAnsi="Times New Roman"/>
          <w:sz w:val="17"/>
          <w:szCs w:val="17"/>
          <w:color w:val="auto"/>
        </w:rPr>
        <w:t>nine months ended March 31, 2026, we purchased $9.4 billion and $28.9 billion, respectively, of loans from our originating bank partners, compared to $7.1 billion and $21.6 billion in the same periods in 2025, respectively, representing an increase of 33% and 34%, respectively. Of the total loans purchased, 0% APR installment loans represented $1.4 billion and $4.5 billion during the three and nine months ended March 31, 2026, respectively, and $1.1 billion and $3.1 billion for the same periods in 2025, respectively, an increase of 30%, and 48%, respectively. The impact of higher loan purchase volume period over period was offset by a decrease in the average loan discount percentage period over period, due to lower benchmark interest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Provision for credit losses generally represents the amount of expense required to maintain the allowance for credit losses within our interim condensed consolidated balance sheet, which represents management’s estimate of future losses on loans and other receivables. In the event that our loans and receivables outperform our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investment on our balance sheet, changes in our estimate of future losses on loans outstanding as of the end of the period and the net charge-offs incurred in the period.</w:t>
      </w:r>
    </w:p>
    <w:p>
      <w:pPr>
        <w:spacing w:after="0" w:line="1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Provision for credit losses increased by $49.3 million, or 33%, and $113.4 million, or 25%, for the three and nine months ended March 31, 2026, respectively, compared to the same periods in 2025. Provision expense is primarily related to loans held for investment, where the amount of provision expense recognized during the period will depend on the balance and composition of loans held for investment, future loss expectations and net charge-offs realized during the period. For the three and nine months ended March 31, 2026, the provision expense for loans held for investment increased by $51.8 million, or 37%, and $114.5 million, or 26%, respectively. Additionally, the average balance of loans held for investment increased by $2.0 billion, or 29%, and $1.5 billion, or 24%, for the three and nine months ended March 31, 2026, respectively, compared to the same periods in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Funding costs increased by $6.1 million, or 6%, and $16.0 million, or 5%, for the three and nine months ended March 31, 2026, respectively, compared to the same periods in 2025. The increase is primarily due to an increase of funding debt and notes issued by securitization trusts during the three and nine months ended March 31, 2026, partially offset by favorable pricing terms. The average total of funding debt from warehouses and securitizations for the three and nine months ended March 31, 2026 was $7.8 billion and $7.2 billion, respectively, compared to $6.1 billion and $5.7 billion during the same periods in 2025, an increase of $1.7 billion, or 29%, and $1.4 billion, or 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Processing and servicing expense increased by $43.9 million, or 37%, and $125.2 million, or 38%, for the three and nine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respectively, compared to the same periods in 2025. This increase is driven partially by an increase in payment processing fees of $28.9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and $82.1 million, or 43%, related to an increase of $3.2 billion, or 36%, and $9.2 billion, or 39%, in payment volume for the three and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2026, respectively, compared to the same periods in 2025. Platform fees increased by $14.8 million, or 62%, and $31.9 million, or 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primarily due to an increase in volume with a large enterprise partner. Additionally, our customer service and collection costs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million, or 36%, and $21.8 million, or 44%, for the three and nine months ended March 31, 2026, respectively, compared to the same periods in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average loans held for investment and average loans serviced for third parties increased by $4.6 billion, or 34%, and $4.4 billion, or 35%,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nine months ended March 31, 2026, respectively, compared to the same periods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35"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increased by $39.0 million, or 26%, and $109.5 million, or 25%, for the three and nine months ended March 31, 2026, respectively, compared to the same periods in 2025. The increase is partially driven by amortization of internally-developed software which increased by $15.7 million, or 27%,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$56.1 million, or 36%, for the three and nine months ended March 31, 2026, respectively, compared to the same periods in 2025, as a result of an increase in the number of capitalized projects. Capitalized projects in service grew by 19% from approximately 1,430 projects as of March 31, 2025 to 1,710 projects as of March 31, 2026. Data infrastructure and hosting costs increased by $10.5 million, or 37%, and $28.4 million, or 36%, for the three and nine months ended March 31, 2026, respectively, compared to the same periods in 2025. The increase in data infrastructure and hosting costs was primarily driven by an increase in the number of consumer transactions. For the three and nine months ended March 31, 2026, the number of consumer transactions increased by 45% and 47%, respectively, from continued growth at our merchants and platform partners when compared to the same periods in 2025. Payroll and personnel-related expenses increased by $7.2 million, or 13%, and $13.2 million, or 8%, for the three and nine months ended March 31, 2026, respectively, compared to the same periods in 2025, primarily due to an increase in headcount.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of the expense related to warrants and other share-based payments granted to our enterprise partners, salaries and personnel-related costs, and costs of marketing and promotional activities.</w:t>
      </w:r>
    </w:p>
    <w:p>
      <w:pPr>
        <w:spacing w:after="0" w:line="12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 decreased by $1.2 million, or 2%, and $105.2 million, or 30% during the three and nine months ended March 31, 2026, respectively, compared to the same periods in 2025. During the nine months ended March 31, 2026, the decrease was primarily driven by a $95.6 million, or 39%, decrease in Amazon warrant expense compared to the same period in 2025, primarily due to a portion of the warrants becoming fully vested as of December 2024. Additionally, the decrease was also driven by a $15.4 million, or 65%, decrease in Shopify warrant expense during the nine months ended March 31, 2026, compared to the same period in 2025, primarily due to an amendment made in our partnership agreement, which extended the period of benefit over which we amortize the commercial agreement asset from six to nine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4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$11.0 million, or 8%, and $19.3 million, or 5%, during the three and nine months ended March 31, 2026, respectively, compared to the same periods in 2025. The increase is primarily due to growth in payroll and personnel costs, excluding stock-based compensation, and software and subscription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income, net includes interest earned on our money market funds included in cash and cash equivalents and restricted cash, interest earned on securities available for sale, impairment or other adjustments to the cost basis of non-marketable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spacing w:after="0" w:line="1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Other income, net, increased by $5.2 million, or 38%, for the three months ended March 31, 2026 and decreased by $81.3 million, or 60%, for the nine months ended March 31, 2026, compared to the same periods in 2025. The increase for the three months ended March 31, 2026 was primarily driven by a gain of $1.2 million related to the fair value of our derivative instruments not designated as hedges, compared to a loss of $2.2 million during the same period in 2025. The decrease for the nine months ended March 31, 2026, was primarily driven by a $80.9 million, or 98% reduction in the gain recognized on the early extinguishment of convertible debt, reflecting fewer repurchases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Despite ongoing macroeconomic uncertainty, including recent reports of stress to certain private credit funds and other institutional investors, we believe our excess funding capacity and committed and long-term relationships with a diverse group of existing funding partners help provide flexibility as we optimize our funding to support the growth in loan volume.</w:t>
      </w:r>
    </w:p>
    <w:p>
      <w:pPr>
        <w:spacing w:after="0" w:line="16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for sale securities, available capacity from warehouse and revolving credit facilities, securitization trusts, forward flow loan sale arrangements, and certain cash flows from our operations. As of March 31, 2026, we had $2.5 billion in cash and cash equivalents and available for sale securities, $5.1 billion in available funding debt capacity, excluding our purchase commitments from third party loan buyers, and $330.0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investments in debt securities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18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1,723,413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1,354,455</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short-term debt securities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652,491</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long-term debt securities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218,934</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 and investments in debt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2,225,880</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200" w:hanging="328"/>
        <w:spacing w:after="0" w:line="235" w:lineRule="auto"/>
        <w:tabs>
          <w:tab w:leader="none" w:pos="64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consist of checking, money market and savings accounts held at financial institutions and short-term highly liquid marketable securities, including money market funds, agency bonds, corporate bonds, commercial paper, and government bonds purchased with an original maturity of three months or less.</w:t>
      </w:r>
    </w:p>
    <w:p>
      <w:pPr>
        <w:spacing w:after="0" w:line="2" w:lineRule="exact"/>
        <w:rPr>
          <w:rFonts w:ascii="Times New Roman" w:cs="Times New Roman" w:eastAsia="Times New Roman" w:hAnsi="Times New Roman"/>
          <w:sz w:val="23"/>
          <w:szCs w:val="23"/>
          <w:color w:val="auto"/>
          <w:vertAlign w:val="superscript"/>
        </w:rPr>
      </w:pPr>
    </w:p>
    <w:p>
      <w:pPr>
        <w:ind w:left="660" w:right="80" w:hanging="328"/>
        <w:spacing w:after="0" w:line="255" w:lineRule="auto"/>
        <w:tabs>
          <w:tab w:leader="none" w:pos="651"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Securities available for sale at fair value primarily consist of certificates of deposits, corporate bonds, municipal bonds, commercial paper, agency bonds, and government bonds. Short-term securities have maturities less than or equal to one year, and long-term securities range from greater than one year to less than five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Debt as of March 31, 2026 primarily includes funding debt, notes issued by securitization trusts, convertible senior notes and our revolving credit facilities. A detailed description of each of our borrowing arrangements is included in Note 8. Debt 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future maturities of our warehouse credit facilities, variable funding notes, sale and repurchase agreements, and notes issued by securitization trusts as of March 31, 2026: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160" w:type="dxa"/>
            <w:vAlign w:val="bottom"/>
          </w:tcPr>
          <w:p>
            <w:pPr>
              <w:spacing w:after="0"/>
              <w:rPr>
                <w:sz w:val="18"/>
                <w:szCs w:val="18"/>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Principal Outstanding</w:t>
            </w:r>
          </w:p>
        </w:tc>
      </w:tr>
      <w:tr>
        <w:trPr>
          <w:trHeight w:val="193"/>
        </w:trPr>
        <w:tc>
          <w:tcPr>
            <w:tcW w:w="7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4"/>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200,356</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1,064,767</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516,868</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755,952</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8,286,684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5,253,838</w:t>
            </w: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12,914,352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7,791,781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20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U.S. warehouse credit facilities allow us to borrow up to an aggregate of $5.4 billion, and mature between fiscal years 2027 and 2032.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loan terms. As of March 31, 2026, we have drawn an aggregate of $1.7 billion on our warehouse credit facilities.</w:t>
      </w:r>
    </w:p>
    <w:p>
      <w:pPr>
        <w:spacing w:after="0" w:line="1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use various credit facilities to finance the origination of loan receivables in Canada and the U.K. Similar to our U.S. warehouse credit facilities, borrowings under these agreements are referred to as funding debt, and proceeds from the borrowings may only be used for the purposes of facilitating loan funding and origination. These facilities are secured by Canadian and British loan receivables pledged to the respective facility as collateral, maturing between fiscal years 2028 and 2031. As of March 31, 2026, the aggregate commitment amount of these facilities was $814.4 million on a revolving basis, of which $552.3 million was drawn.</w:t>
      </w:r>
    </w:p>
    <w:p>
      <w:pPr>
        <w:spacing w:after="0" w:line="135"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18"/>
          <w:szCs w:val="18"/>
          <w:color w:val="auto"/>
        </w:rPr>
        <w:t>As we continue to expand in new geographies, we intend to add the necessary funding capacity to support our growth objectives. As of March 31, 2026, we were in compliance with all applicable covenants in the agreements.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Funding Note</w:t>
      </w:r>
    </w:p>
    <w:p>
      <w:pPr>
        <w:spacing w:after="0" w:line="20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 the level of utilization of the VFN. Our VFN allows us to borrow up to an aggregate of $1.4 billion and matures in fiscal year 2032. As of March 31, 2026, we have drawn an aggregate of $192.3 million on our VFN. As of March 31, 2026, we were in compliance with all applicable covenants in the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20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 notes pledged. We had $8.2 million in debt outstanding under our sale and repurchase agreements disclosed within funding debt in the interim condensed consolidated balance sheets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00"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We finance the origination and purchase of loans through our asset-backed securitization program using a combination of term,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For each securitization, the residual trust certificates represent the right to receive excess cash on the loans each collection period after all fees and required distributions have been made to the note holders. In addition to the retained residual trust certificates, our continued involvement includes loan servicing responsibilities over the life of the underlying loans. Refer to Note 9. Securitization and Variable Interest Entities in the notes to the interim condensed consolidated financial statements for further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have a Revolving Credit Agreement with a syndicate of banks for a $330.0 million unsecured revolving credit facility, with a final maturity date of June 26, 2027. Proceeds from the borrowings under this facility will be used for general corporate purposes in the ordinary course of business. As of March 31, 2026, there are no borrowings outstanding under the facility. The facility contains certain covenants and restrictions, including certain financial maintenance covenants. As of March 31, 2026, we were in compliance with all applicable covenants in the agreements. Refer to Note 8. Debt in the notes to the interim condensed consolidated financial statements for further details on our revolving credit facility.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had outstanding: (i) $221.3 million aggregate principal amount of our 0.00% 2026 Notes due November 15, 2026 and</w:t>
      </w:r>
    </w:p>
    <w:p>
      <w:pPr>
        <w:spacing w:after="0" w:line="16" w:lineRule="exact"/>
        <w:rPr>
          <w:sz w:val="20"/>
          <w:szCs w:val="20"/>
          <w:color w:val="auto"/>
        </w:rPr>
      </w:pPr>
    </w:p>
    <w:p>
      <w:pPr>
        <w:ind w:right="180" w:firstLine="8"/>
        <w:spacing w:after="0" w:line="243"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$920.0 million principal amount of our 0.75% 2029 Notes due December 15, 2029, in each case unless earlier converted, redeemed, or repurchased in accordance with their terms. Refer to Note 8. Debt in the notes to the interim condensed consolidated financial statements for further details.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Flow Loan Sale Arrangements</w:t>
      </w:r>
    </w:p>
    <w:p>
      <w:pPr>
        <w:spacing w:after="0" w:line="17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 As part of our capital strategy, we seek to partner with counterparties that can provide long-term, stable funding to support the ongoing growth and diversification of our loan portfolio.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during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Borders>
              <w:bottom w:val="single" w:sz="8" w:color="auto"/>
            </w:tcBorders>
            <w:gridSpan w:val="2"/>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right"/>
              <w:ind w:right="14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2"/>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7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934,811</w:t>
            </w:r>
          </w:p>
        </w:tc>
        <w:tc>
          <w:tcPr>
            <w:tcW w:w="13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719,272</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78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(1,355,168)</w:t>
            </w:r>
          </w:p>
        </w:tc>
        <w:tc>
          <w:tcPr>
            <w:tcW w:w="13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(628,550)</w:t>
            </w: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7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1,144,040</w:t>
            </w:r>
          </w:p>
        </w:tc>
        <w:tc>
          <w:tcPr>
            <w:tcW w:w="13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364,166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22"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$934.8 million for the nine months ended March 31, 2026, which reflected adjustments for significant non-cash items, including provision for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$621.6 million.</w:t>
      </w:r>
    </w:p>
    <w:p>
      <w:pPr>
        <w:spacing w:after="0" w:line="2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$719.3 million for the nine months ended March 31, 2025, which reflected adjustments for significant non-cash items, including provision for credit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$736.3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Net cash used in investing activities was $1.4 billion for the nine months ended March 31, 2026. Cash outflows were primarily driven by purchases and origination of loans held for investment of $33.4 billion, purchases of securities available for sale of $544.9 million, and property, equipment and software additions of $171.5 million. Cash inflows included $17.9 billion from principal repayments and other loan servicing activity, $14.1 billion in proceeds from the sale of loans held for investment, and $730.2 million of proceeds from maturities and repayments of securities available for sale.</w:t>
      </w:r>
    </w:p>
    <w:p>
      <w:pPr>
        <w:spacing w:after="0" w:line="13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Net cash used in investing activities was $628.6 million for the nine months ended March 31, 2025. Cash outflows were primarily driven by purchases and origination of loans held for investment of $22.7 billion, purchases of securities available for sale of $553.6 million, and property, equipment and software additions of $141.1 million. Cash inflows included $13.6 billion of principal repayments and other loan servicing activity, $8.1 billion in proceeds from the sale of loans held for investment, and $984.4 million of proceeds from maturities and repayments of securities available for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$1.1 billion for the nine months ended March 31, 2026. Cash inflows were driven by $30.2 billion in proceeds from the issuance of secured debt, including funding debt and securitization notes and certificates, and $142.7 million from the exercise of common stock options and warrants and employee contributions to ESPP. Cash outflows included $28.9 billion related to principal repayments of secured debt and $251.2 million for taxes paid on vested equity awards.</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$364.2 million for the nine months ended March 31, 2025. Cash inflows were primarily driven by $15.8 billion in proceeds from the issuance of secured debt, including funding debt and securitization notes and certificates. Cash outflows included $14.8 billion related to principal repayments on secured debt, $1.0 billion related to the extinguishment of a portion of our 2026 Notes, $250.0 million related to the repurchase of shares of our Class A common stock in connection with the issuance of the 2029 Notes, and $241.6 million related to taxes paid on vested equity awards.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for the three and nine months ended March 31, 2026 from the commitments and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obligations disclosed in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 —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set forth in our Annual Report on Form 10-K for the fiscal year ended June 30, 2025, which was filed with the SEC on August 28,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within our interim condensed consolidated balance sheets, generally referred to as off-balance sheet arrangements. These activities involve transactions with unconsolidated VIEs, including securitization and forward flow transactions. Across these transactions, ongoing involvement typically includes contractual loan servicing arrangements and loan repurchase obligations in connection with breaches in ordinary course of business representations and warranties.</w:t>
      </w:r>
    </w:p>
    <w:p>
      <w:pPr>
        <w:spacing w:after="0" w:line="193"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We have entered into unconsolidated securitization transactions where Affirm is the sponsor and risk retention holder; accordingly,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certain other forward flow loan sale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20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to risk sharing arrangements, we may hold beneficial interests in certain off-balance sheet VIEs that have been established by third-party loan buyers in connection with structured transactions. These beneficial interests represent our right to receive a portion of the residual cash flows from the underlying loans sold in connection with these transactions.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Risk sharing arrangements and beneficial interests are considered variable interests in the unconsolidated VIEs holding the loan assets transferred, as their value is exposed to the performance of those loans. For off-balance sheet VIEs where we hold variable interest, we have determined that our exposure to transaction economics is insignificant relative to the expected losses or residual returns.</w:t>
      </w:r>
    </w:p>
    <w:p>
      <w:pPr>
        <w:spacing w:after="0" w:line="20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aggregate outstanding balance of loans held by third-party investors and off-balance sheet securitizations was $9.4 billion. Refer to Note 9. Securitization and Variable Interest Entities and Note 12. Fair Value of Financial Assets and Liabilities of the accompanying notes to our interim condensed consolidated financial statements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w:t>
      </w:r>
    </w:p>
    <w:p>
      <w:pPr>
        <w:spacing w:after="0" w:line="16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evaluate our critical accounting policies and estimates on an ongoing basis and update them as necessary based on changes in market conditions or factors specific to us. There have been no material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or critical accounting estimates during the three and nine months ended March 31, 2026.</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and critical accounting estimates, refer to our Annual Report on Form 10-K for the year ended June 30, 2025 within Note 2 to the Notes to Consolidated Financial Statements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Critical Accounting Policies and Estimates.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within the United States, Canada and U.K.,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securities available for sale at fair value as of March 31, 2026, included $752.1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Continued volatility in interest rates and inflation, which may persist longer than previously expected, may adversely impact our consumers’ spending levels, and ability and willingness to pay outstanding amounts owed to us. Elevated interest rates may lead to higher payment obligations on our future credit products but also for consumers’ other financial commitments, including their mortgages, credit cards, and other types of loans. Therefore, elevated interest rates may lead to increased delinquencies, charge-offs, and allowances for loans and interest receivable, which could have an adverse effect on our operating results.</w:t>
      </w:r>
    </w:p>
    <w:p>
      <w:pPr>
        <w:spacing w:after="0" w:line="1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March 31, 2026, we estimate that a hypothetical instantaneous 100 basis point upward parallel shock to interest rates would have a less than $80.0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monitor portfolio performance, we utilize a wide range of internal and external metrics to review user and loan populations. Each week, management reviews performance for each consumer segment, typically split by ITACs model score at the time of origination,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and June 30, 2025, we were exposed to credit risk on $8.6 billion and $7.0 billion, respectively, of loans held within our interim condensed consolidated balance sheet. Loan receivables are diversified geographically. As of both March 31, 2026 and June 30, 2025, approximately 11% and 10% of loan receivables related to customers residing in the states of California and Texas, respectively. No other states or provinces represent 10% or more of total loan receivables.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have credit risk exposure in relation to certain off-balance sheet loans sold to third parties where we have entered into risk sharing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retained interests in unconsolidated securitization trusts and our residual interests in structured transactions. As of March 31, 2026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2025, we have sold $11.2 billion and $8.6 billion, respectively, in unpaid principal balance loans which are subject to risk sharing arrangements,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our maximum exposure to losses was $65.6 million and $91.1 million, respectively. The fair value of notes receivable and residual trust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retained interests in unconsolidated securitization trusts was $56.5 million and $50.9 million as of March 31, 2026 and March 31, 2025, respectively.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residual interests in structured transactions was $5.8 million as of March 31, 2026, of which our maximum exposure to losses was $17.0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34"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7. Commitments and Contingencies of the accompanying notes to our interim condensed consolidated financial statements.</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risks described under the heading “Risk Factors” in our Annual Report on Form 10-K for the fiscal year ended June 30, 2025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You should carefully read and consider such risks, together with all of the other information in our Annual Report on Form 10-K for the fiscal year ended June 30, 2025,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Except as may be reflected in the updated risk factor included below, there have been no material changes from the risk factors previously disclosed under the heading “Risk Factors” in our Annual Report on Form 10-K for the fiscal year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high-velocity, capital efficient funding model is integral to the success of our commerce platform. To support this model and the growth of our business, we must maintain a variety of funding arrangements, including warehouse credit facilities, securities repurchase agreements, securitization trusts, pass-through securitizations, master trust facilities, and forward flow arrangements with a diverse set of funding sources, including private credit funds and other institutional investors. If we are unable to maintain access to, or to expand, our network and diversity of funding arrangements, our business, results of operations, financial condition, and future prospects could be materially and adversely affected.</w:t>
      </w:r>
    </w:p>
    <w:p>
      <w:pPr>
        <w:spacing w:after="0" w:line="21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cannot guarantee that these funding arrangements will continue to be available on favorable terms or at all, and our funding strategy may change over time and depends on the availability of such funding arrangements. Disruptions in the credit markets or other factors, such as the current inflationary environment, elevated interest rates and increasing recessionary concerns, could adversely affect the availability, diversity, cost, and terms of our funding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funding sources may reassess their exposure to our industry and either curtail access to uncommitted financing capacity, fail to renew or extend facilities, or impose higher costs to access funding. While most of our facilities are committed capital, some facilities are uncommitted, which may allow such funding providers to, among other things, reduce available funding limits, subject to certain structural protections (including penalty fees in certain transactions). Further, our debt financing and loan sale forward flow facilities are generally fixed term in nature, with term lengths ranging between one to three years, during which we have access to committed and uncommitted capital pursuant to such facilities. If our existing funding arrangements are not renewed or replaced or our existing funding sources are unwilling or unable to provide funding to us on terms acceptable to us, or at all, we may need to secure additional sources of funding or reduce our operations. The availability and diversity of our funding arrangements depends on various factors and are subject to numerous risks, many of which are outside of our control.</w:t>
      </w:r>
    </w:p>
    <w:p>
      <w:pPr>
        <w:spacing w:after="0" w:line="2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portion of our funding is provided by private credit funds and other institutional investors through forward flow arrangements. These counterparties are subject to their own liquidity, fundraising, leverage, and market conditions. In particular, certain of these counterparties may be structured as pooled investment vehicles whose investors may request redemptions or be unable to meet capital calls, which could limit the funds available to purchase loans from us. One or more of these counterparties have experienced redemption pressures in the past, and if additional counterparties experience redemption pressures, fundraising shortfalls, or have other constraints on available capital, they may be unable to fulfill purchase commitments (which may constitute a default under the respective forward flow arrangement), seek to renegotiate commercial terms, or fail to renew existing arrangements. Any such reduction in participation could reduce our funding capacity, increase our cost of funds, require us to retain more loans on our balance sheet, or constrain our ability to originate loans, any of which could adversely affect our business, financial condition, and results of operations.</w:t>
      </w:r>
    </w:p>
    <w:p>
      <w:pPr>
        <w:spacing w:after="0" w:line="21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such funding prior to its scheduled maturity. Certain of these covenants are tied to our consumer default rates, which may be significantly affected by factors, such as economic downturns, inflationary conditions, elevated interest rates and/or general economic conditions, that are beyond our control and beyond the control of individual consumers. In addition, our revolving credit facility contains (a) certain covenants and restrictions that limit our and our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 and (b) certain financial maintenance covenants that require us and our subsidiaries to not exceed a specified leverage ratio, to maintain a minimum tangible net worth, and to maintain a minimum level of unrestricted cash while any borrowings under the revolving credit facility are outstanding.</w:t>
      </w:r>
    </w:p>
    <w:p>
      <w:pPr>
        <w:spacing w:after="0" w:line="2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 parties with whom we do business may incur increased costs or business disruption and this could adversely affect our business relationships with such third parties, which in turn could have a material adverse effect on our business, results of operations, financial condition, cash flows,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771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440" w:hanging="432"/>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directors or officers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1" w:right="12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Pr>
          <w:p>
            <w:pPr>
              <w:spacing w:after="0"/>
              <w:rPr>
                <w:sz w:val="17"/>
                <w:szCs w:val="17"/>
                <w:color w:val="auto"/>
              </w:rPr>
            </w:pPr>
          </w:p>
        </w:tc>
        <w:tc>
          <w:tcPr>
            <w:tcW w:w="308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5"/>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31.1</w:t>
            </w:r>
          </w:p>
        </w:tc>
        <w:tc>
          <w:tcPr>
            <w:tcW w:w="4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34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80" w:type="dxa"/>
            <w:vAlign w:val="bottom"/>
            <w:tcBorders>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 the</w:t>
            </w:r>
          </w:p>
        </w:tc>
        <w:tc>
          <w:tcPr>
            <w:tcW w:w="2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31.2</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w:t>
            </w:r>
          </w:p>
        </w:tc>
        <w:tc>
          <w:tcPr>
            <w:tcW w:w="14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FF"/>
                <w:w w:val="75"/>
              </w:rPr>
              <w:t>the</w:t>
            </w:r>
          </w:p>
        </w:tc>
        <w:tc>
          <w:tcPr>
            <w:tcW w:w="2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32.1</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26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32.2</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460" w:type="dxa"/>
            <w:vAlign w:val="bottom"/>
            <w:tcBorders>
              <w:top w:val="single" w:sz="8" w:color="0000FF"/>
            </w:tcBorders>
            <w:gridSpan w:val="6"/>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101.INS</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101.SCH</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101.CAL</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101.DEF</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101.LAB</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101.PRE</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104</w:t>
            </w: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Exhibit 101)</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5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AFFIRM HOLDINGS, INC.</w:t>
            </w:r>
          </w:p>
        </w:tc>
      </w:tr>
      <w:tr>
        <w:trPr>
          <w:trHeight w:val="54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50"/>
        </w:trPr>
        <w:tc>
          <w:tcPr>
            <w:tcW w:w="28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Levchin</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2860" w:type="dxa"/>
            <w:vAlign w:val="bottom"/>
          </w:tcPr>
          <w:p>
            <w:pPr>
              <w:spacing w:after="0"/>
              <w:rPr>
                <w:sz w:val="24"/>
                <w:szCs w:val="24"/>
                <w:color w:val="auto"/>
              </w:rPr>
            </w:pP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 O’Hare</w:t>
            </w:r>
          </w:p>
        </w:tc>
      </w:tr>
      <w:tr>
        <w:trPr>
          <w:trHeight w:val="250"/>
        </w:trPr>
        <w:tc>
          <w:tcPr>
            <w:tcW w:w="28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 O’Hare</w:t>
            </w:r>
          </w:p>
        </w:tc>
      </w:tr>
      <w:tr>
        <w:trPr>
          <w:trHeight w:val="256"/>
        </w:trPr>
        <w:tc>
          <w:tcPr>
            <w:tcW w:w="28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121" w:right="4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50" w:lineRule="auto"/>
        <w:tabs>
          <w:tab w:leader="none" w:pos="13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89" w:name="page90"/>
    <w:bookmarkEnd w:id="89"/>
    <w:p>
      <w:pPr>
        <w:ind w:left="1280" w:firstLine="166"/>
        <w:spacing w:after="0" w:line="282" w:lineRule="auto"/>
        <w:tabs>
          <w:tab w:leader="none" w:pos="19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34290</wp:posOffset>
            </wp:positionV>
            <wp:extent cx="2511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40" w:top="1012" w:right="4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 O’Hare, certify that:</w:t>
      </w:r>
    </w:p>
    <w:p>
      <w:pPr>
        <w:spacing w:after="0" w:line="252"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74" w:lineRule="auto"/>
        <w:tabs>
          <w:tab w:leader="none" w:pos="13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4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91" w:name="page92"/>
    <w:bookmarkEnd w:id="91"/>
    <w:p>
      <w:pPr>
        <w:ind w:left="1280" w:firstLine="166"/>
        <w:spacing w:after="0" w:line="282" w:lineRule="auto"/>
        <w:tabs>
          <w:tab w:leader="none" w:pos="19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25114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Rob O’Hare</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40" w:top="1012" w:right="4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7, 2026</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7, 2026</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Rob O’Hare</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lvl>
    <w:lvl w:ilvl="1">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lvl w:ilvl="1">
      <w:lvlJc w:val="left"/>
      <w:lvlText w:val="(%2)"/>
      <w:numFmt w:val="decimal"/>
      <w:start w:val="1"/>
    </w:lvl>
  </w:abstractNum>
  <w:abstractNum w:abstractNumId="28">
    <w:nsid w:val="5072367"/>
    <w:multiLevelType w:val="hybridMultilevel"/>
    <w:lvl w:ilvl="0">
      <w:lvlJc w:val="left"/>
      <w:lvlText w:val="%1."/>
      <w:numFmt w:val="decimal"/>
      <w:start w:val="13"/>
    </w:lvl>
    <w:lvl w:ilvl="1">
      <w:lvlJc w:val="left"/>
      <w:lvlText w:val="%2"/>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3"/>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lowerRoman"/>
      <w:start w:val="2"/>
    </w:lvl>
  </w:abstractNum>
  <w:abstractNum w:abstractNumId="38">
    <w:nsid w:val="153EA438"/>
    <w:multiLevelType w:val="hybridMultilevel"/>
    <w:lvl w:ilvl="0">
      <w:lvlJc w:val="left"/>
      <w:lvlText w:val="(%1)"/>
      <w:numFmt w:val="lowerLetter"/>
      <w:start w:val="3"/>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lowerLetter"/>
      <w:start w:val="2"/>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2026-05-07T16:16:27Z</dcterms:created>
  <dcterms:modified xsi:type="dcterms:W3CDTF">2026-05-07T16:16:27Z</dcterms:modified>
</cp:coreProperties>
</file>