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128905</wp:posOffset>
            </wp:positionV>
            <wp:extent cx="1414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January 13, 2026</w:t>
      </w:r>
    </w:p>
    <w:p>
      <w:pPr>
        <w:spacing w:after="0" w:line="3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ectPr>
          <w:pgSz w:w="11900" w:h="16838" w:orient="portrait"/>
          <w:cols w:equalWidth="0" w:num="1">
            <w:col w:w="11180"/>
          </w:cols>
          <w:pgMar w:left="320" w:top="1440" w:right="399" w:bottom="1440" w:gutter="0" w:footer="0" w:header="0"/>
        </w:sectPr>
      </w:pPr>
    </w:p>
    <w:p>
      <w:pPr>
        <w:spacing w:after="0" w:line="256"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001-39888</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6"/>
          <w:szCs w:val="16"/>
          <w:b w:val="1"/>
          <w:bCs w:val="1"/>
          <w:color w:val="auto"/>
        </w:rPr>
        <w:t>84-2224323</w:t>
      </w:r>
    </w:p>
    <w:p>
      <w:pPr>
        <w:spacing w:after="0" w:line="52" w:lineRule="exact"/>
        <w:rPr>
          <w:sz w:val="24"/>
          <w:szCs w:val="24"/>
          <w:color w:val="auto"/>
        </w:rPr>
      </w:pPr>
    </w:p>
    <w:p>
      <w:pPr>
        <w:sectPr>
          <w:pgSz w:w="11900" w:h="16838" w:orient="portrait"/>
          <w:cols w:equalWidth="0" w:num="3">
            <w:col w:w="4560" w:space="720"/>
            <w:col w:w="2180" w:space="720"/>
            <w:col w:w="3000"/>
          </w:cols>
          <w:pgMar w:left="320" w:top="1440" w:right="39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27"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color w:val="auto"/>
        </w:rPr>
        <w:t>(IRS Employer</w:t>
      </w:r>
    </w:p>
    <w:p>
      <w:pPr>
        <w:spacing w:after="0" w:line="27"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3">
            <w:col w:w="4520" w:space="720"/>
            <w:col w:w="2080" w:space="720"/>
            <w:col w:w="3140"/>
          </w:cols>
          <w:pgMar w:left="320" w:top="1440" w:right="399" w:bottom="1440" w:gutter="0" w:footer="0" w:header="0"/>
          <w:type w:val="continuous"/>
        </w:sectPr>
      </w:pPr>
    </w:p>
    <w:p>
      <w:pPr>
        <w:spacing w:after="0" w:line="25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650 California Street</w:t>
      </w:r>
    </w:p>
    <w:p>
      <w:pPr>
        <w:sectPr>
          <w:pgSz w:w="11900" w:h="16838" w:orient="portrait"/>
          <w:cols w:equalWidth="0" w:num="1">
            <w:col w:w="11180"/>
          </w:cols>
          <w:pgMar w:left="320" w:top="1440" w:right="399" w:bottom="1440" w:gutter="0" w:footer="0" w:header="0"/>
          <w:type w:val="continuous"/>
        </w:sectPr>
      </w:pPr>
    </w:p>
    <w:p>
      <w:pPr>
        <w:spacing w:after="0" w:line="8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94108</w:t>
      </w:r>
    </w:p>
    <w:p>
      <w:pPr>
        <w:spacing w:after="0" w:line="93" w:lineRule="exact"/>
        <w:rPr>
          <w:sz w:val="24"/>
          <w:szCs w:val="24"/>
          <w:color w:val="auto"/>
        </w:rPr>
      </w:pPr>
    </w:p>
    <w:p>
      <w:pPr>
        <w:sectPr>
          <w:pgSz w:w="11900" w:h="16838" w:orient="portrait"/>
          <w:cols w:equalWidth="0" w:num="2">
            <w:col w:w="6820" w:space="720"/>
            <w:col w:w="3640"/>
          </w:cols>
          <w:pgMar w:left="320" w:top="1440" w:right="399"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6700" w:space="720"/>
            <w:col w:w="3760"/>
          </w:cols>
          <w:pgMar w:left="320" w:top="1440" w:right="399" w:bottom="1440" w:gutter="0" w:footer="0" w:header="0"/>
          <w:type w:val="continuous"/>
        </w:sectPr>
      </w:pPr>
    </w:p>
    <w:p>
      <w:pPr>
        <w:spacing w:after="0" w:line="1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(415) 960-1518</w:t>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510" w:type="dxa"/>
        <w:tblCellMar>
          <w:top w:w="0" w:type="dxa"/>
          <w:left w:w="0" w:type="dxa"/>
          <w:bottom w:w="0" w:type="dxa"/>
          <w:right w:w="0" w:type="dxa"/>
        </w:tblCellMar>
      </w:tblPr>
      <w:tr>
        <w:trPr>
          <w:trHeight w:val="250"/>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12529"/>
              </w:rPr>
              <w:t>Name of exchange on which registered</w:t>
            </w:r>
          </w:p>
        </w:tc>
      </w:tr>
      <w:tr>
        <w:trPr>
          <w:trHeight w:val="237"/>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12529"/>
              </w:rPr>
              <w:t>Class A common stock, $0.00001 par value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12529"/>
              </w:rPr>
              <w:t>AFRM</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12529"/>
              </w:rPr>
              <w:t>Nasdaq Global Select Market</w:t>
            </w:r>
          </w:p>
        </w:tc>
      </w:tr>
    </w:tbl>
    <w:p>
      <w:pPr>
        <w:spacing w:after="0" w:line="94"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3" w:lineRule="exact"/>
        <w:rPr>
          <w:sz w:val="24"/>
          <w:szCs w:val="24"/>
          <w:color w:val="auto"/>
        </w:rPr>
      </w:pPr>
    </w:p>
    <w:p>
      <w:pPr>
        <w:ind w:right="52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1140460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ind w:right="2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Grant of Annual Equity Award to Founder and Chief Executive Officer</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January 13, 2026, at the recommendation of its Compensation Committee (the “Committee”), the Board of Directors of Affirm Holdings, Inc. (the “Company”) approved the grant of an equity award under the Company’s Amended and Restated 2012 Stock Plan (the “Plan”) consisting of performance stock units (“PSUs”) that vest into shares of the Company’s Class A Common Stock, par value $0.00001 per share (the “Class A Common Stock”), to Max Levchin, its Founder and Chief Executive Officer. The grant consisted of 333,667 PSUs (the “PSU Grant”).</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PSU Grant is subject to time-based, service-based, and Company financial performance-based conditions. These conditions align with those applicable to the grants of PSUs awarded to the Company’s other executive officers in September 2025.</w:t>
      </w:r>
    </w:p>
    <w:p>
      <w:pPr>
        <w:spacing w:after="0" w:line="18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The shares of Class A Common Stock subject to the PSUs may be earned, if at all, based on Company financial performance during a three-year performance period (the “Performance Period”) that commenced on July 1, 2025. The Committee selected annual growth rates of revenue less transaction costs (weighted at 50%) and adjusted operating income (weighted at 50%) as the Company financial performance measures for the PSUs. Performance targets for each of the three Company fiscal years occurring during the Performance Period were approved by the Committee in September 2025, with each annual performance target expressed in terms of growth over the level of actual performance achieved during the preceding fiscal year. Actual Company performance against the applicable targets will be measured at the end of each of the three fiscal years during the Performance Period and averaged at the end of the Performance Period such that no shares of Class A Common Stock may be earned until the end of the Performance Period. If the average performance over the Performance Period represents at least a threshold level of performance, the number of shares of Class A Common Stock earned will range from 50% (threshold performance) to 200% (maximum performance) of the number of PSUs granted, with target performance set at 100%.</w:t>
      </w:r>
    </w:p>
    <w:p>
      <w:pPr>
        <w:spacing w:after="0" w:line="200"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Once earned based on the satisfaction of the applicable performance conditions, as determined and certified by the Committee, the earned PSUs will vest in full, if at all, at the end of the Performance Period subject to Mr. Levchin’s continued service with the Company through the end of that period.</w:t>
      </w:r>
    </w:p>
    <w:p>
      <w:pPr>
        <w:spacing w:after="0" w:line="16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PSU Grant is subject to the terms and conditions of the Plan and a form of PSU grant agreement, a copy of which was filed as an exhibit to the Company’s Quarterly Report on Form 10-Q for the fiscal quarter ended September 30, 2025.</w:t>
      </w:r>
    </w:p>
    <w:p>
      <w:pPr>
        <w:spacing w:after="0" w:line="18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PSU Grant follows the expiration of Mr. Levchin’s value creation award, which was granted on January 12, 2021 in advance of the Company’s IPO with a five-year performance period that expired on January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0" w:right="3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37" w:lineRule="exact"/>
        <w:rPr>
          <w:sz w:val="20"/>
          <w:szCs w:val="20"/>
          <w:color w:val="auto"/>
        </w:rPr>
      </w:pPr>
    </w:p>
    <w:p>
      <w:pPr>
        <w:ind w:left="692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 Rob O'Hare</w:t>
      </w:r>
    </w:p>
    <w:p>
      <w:pPr>
        <w:spacing w:after="0" w:line="6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0920"/>
      </w:cols>
      <w:pgMar w:left="320" w:top="14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2026-01-16T16:15:40Z</dcterms:created>
  <dcterms:modified xsi:type="dcterms:W3CDTF">2026-01-16T16:15:40Z</dcterms:modified>
</cp:coreProperties>
</file>